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myxccoy81n0" w:id="0"/>
      <w:bookmarkEnd w:id="0"/>
      <w:r w:rsidDel="00000000" w:rsidR="00000000" w:rsidRPr="00000000">
        <w:rPr>
          <w:rtl w:val="0"/>
        </w:rPr>
        <w:t xml:space="preserve">scGPT Human Validation: Category-Specific Precision and Recall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snjdmaw2olei" w:id="1"/>
      <w:bookmarkEnd w:id="1"/>
      <w:r w:rsidDel="00000000" w:rsidR="00000000" w:rsidRPr="00000000">
        <w:rPr>
          <w:rtl w:val="0"/>
        </w:rPr>
        <w:t xml:space="preserve">Provisional results and re-review recommendation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</w:rPr>
      </w:pPr>
      <w:bookmarkStart w:colFirst="0" w:colLast="0" w:name="_ozst0nyrtgc0" w:id="2"/>
      <w:bookmarkEnd w:id="2"/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summarizes category-specific precision and recall for the 40-study classified validation sample, using the two-reviewer human consensus as the reference standard. The separate 10-study abstention and process-audit sample is not included in these classification metrics.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Each use category is evaluated independently in a one-vs-rest framework. A study may be positive for more than one use category. Unweighted precision describes the reviewed sample; inverse-probability-weighted (IPW) precision estimates performance in the corrected 400-study classified population.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b w:val="1"/>
          <w:bCs w:val="1"/>
        </w:rPr>
      </w:pPr>
      <w:bookmarkStart w:colFirst="0" w:colLast="0" w:name="_dwcdh4h42lpw" w:id="3"/>
      <w:bookmarkEnd w:id="3"/>
      <w:r w:rsidDel="00000000" w:rsidR="00000000" w:rsidRPr="00000000">
        <w:rPr>
          <w:b w:val="1"/>
          <w:bCs w:val="1"/>
          <w:rtl w:val="0"/>
        </w:rPr>
        <w:t xml:space="preserve">Category-specific results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Counts are shown as human-reference positives (H+), true positives (TP), false positives (FP), and false negatives (FN). “N/E” means not estimable because no human or agent positives were observed.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200"/>
        <w:gridCol w:w="2080"/>
        <w:gridCol w:w="2080"/>
        <w:tblGridChange w:id="0">
          <w:tblGrid>
            <w:gridCol w:w="3000"/>
            <w:gridCol w:w="2200"/>
            <w:gridCol w:w="2080"/>
            <w:gridCol w:w="2080"/>
          </w:tblGrid>
        </w:tblGridChange>
      </w:tblGrid>
      <w:tr>
        <w:trPr>
          <w:cantSplit w:val="0"/>
          <w:tblHeader w:val="0"/>
        </w:trPr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  <w:color w:val="1a334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a334d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b w:val="1"/>
                <w:bCs w:val="1"/>
                <w:color w:val="1a334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a334d"/>
                <w:sz w:val="19"/>
                <w:szCs w:val="19"/>
                <w:rtl w:val="0"/>
              </w:rPr>
              <w:t xml:space="preserve">H+ / TP / FP / FN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b w:val="1"/>
                <w:bCs w:val="1"/>
                <w:color w:val="1a334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a334d"/>
                <w:sz w:val="19"/>
                <w:szCs w:val="19"/>
                <w:rtl w:val="0"/>
              </w:rPr>
              <w:t xml:space="preserve">Precision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b w:val="1"/>
                <w:bCs w:val="1"/>
                <w:color w:val="1a334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a334d"/>
                <w:sz w:val="19"/>
                <w:szCs w:val="19"/>
                <w:rtl w:val="0"/>
              </w:rPr>
              <w:t xml:space="preserve">Sample / IPW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b w:val="1"/>
                <w:bCs w:val="1"/>
                <w:color w:val="1a334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a334d"/>
                <w:sz w:val="19"/>
                <w:szCs w:val="19"/>
                <w:rtl w:val="0"/>
              </w:rPr>
              <w:t xml:space="preserve">Recall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b w:val="1"/>
                <w:bCs w:val="1"/>
                <w:color w:val="1a334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a334d"/>
                <w:sz w:val="19"/>
                <w:szCs w:val="19"/>
                <w:rtl w:val="0"/>
              </w:rPr>
              <w:t xml:space="preserve">Sample / IPW</w:t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Apply to biological data</w:t>
            </w:r>
          </w:p>
        </w:tc>
        <w:tc>
          <w:tcPr>
            <w:shd w:fill="f6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/ 5 / 4 / 0</w:t>
            </w:r>
          </w:p>
        </w:tc>
        <w:tc>
          <w:tcPr>
            <w:shd w:fill="f6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0.556 / 0.521</w:t>
            </w:r>
          </w:p>
        </w:tc>
        <w:tc>
          <w:tcPr>
            <w:shd w:fill="f6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1.000 / 1.000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Extend or develop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 / 6 / 9 /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0.400 / 0.380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1.000 / 1.000</w:t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Benchmark or evaluate</w:t>
            </w:r>
          </w:p>
        </w:tc>
        <w:tc>
          <w:tcPr>
            <w:shd w:fill="f6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 / 11 / 6 / 0</w:t>
            </w:r>
          </w:p>
        </w:tc>
        <w:tc>
          <w:tcPr>
            <w:shd w:fill="f6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0.647 / 0.804</w:t>
            </w:r>
          </w:p>
        </w:tc>
        <w:tc>
          <w:tcPr>
            <w:shd w:fill="f6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1.000 / 1.000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 / 20 / 0 /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1.000 / 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1.000 / 1.000</w:t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Other executed use</w:t>
            </w:r>
          </w:p>
        </w:tc>
        <w:tc>
          <w:tcPr>
            <w:shd w:fill="f6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 / 0 / 0 / 0</w:t>
            </w:r>
          </w:p>
        </w:tc>
        <w:tc>
          <w:tcPr>
            <w:shd w:fill="f6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N/E / N/E</w:t>
            </w:r>
          </w:p>
        </w:tc>
        <w:tc>
          <w:tcPr>
            <w:shd w:fill="f6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N/E / N/E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>
          <w:b w:val="1"/>
          <w:bCs w:val="1"/>
        </w:rPr>
      </w:pPr>
      <w:bookmarkStart w:colFirst="0" w:colLast="0" w:name="_k2kcuo3gsos8" w:id="4"/>
      <w:bookmarkEnd w:id="4"/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agent recovered every human-positive category in this sample (no false negatives), but it assigned additional Apply, Extend, and Benchmark labels. Over-labeling was greatest for Extend or develop. The recall values of 1.000 are point estimates based on small category counts and require uncertainty intervals before manuscript reporting.</w:t>
      </w:r>
    </w:p>
    <w:p w:rsidR="00000000" w:rsidDel="00000000" w:rsidP="00000000" w:rsidRDefault="00000000" w:rsidRPr="00000000" w14:paraId="00000028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These values are precision and recall at the agent’s fixed classification rule, not precision–recall curves or area under the precision–recall curve (AUPRC). A curve requires a prespecified continuous score for each category; the current hard labels alone cannot provide one.</w:t>
      </w:r>
    </w:p>
    <w:p w:rsidR="00000000" w:rsidDel="00000000" w:rsidP="00000000" w:rsidRDefault="00000000" w:rsidRPr="00000000" w14:paraId="0000002A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</w:rPr>
      </w:pPr>
      <w:bookmarkStart w:colFirst="0" w:colLast="0" w:name="_1b3265sp80oy" w:id="5"/>
      <w:bookmarkEnd w:id="5"/>
      <w:r w:rsidDel="00000000" w:rsidR="00000000" w:rsidRPr="00000000">
        <w:rPr>
          <w:b w:val="1"/>
          <w:bCs w:val="1"/>
          <w:rtl w:val="0"/>
        </w:rPr>
        <w:t xml:space="preserve">Why the first-round labels should be revisited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first-round review form asked for a singular “Primary use” and presented the use categories as a single list. That wording may have encouraged reviewers to select one category even when a paper served more than one purpose. By contrast, the agent contract used non-exclusive use_labels. After reconciliation, HV-022 and HV-049 were recorded as both Apply to biological data and Extend or develop, suggesting that additional multi-purpose uses may remain under-annotated.</w:t>
      </w:r>
    </w:p>
    <w:p w:rsidR="00000000" w:rsidDel="00000000" w:rsidP="00000000" w:rsidRDefault="00000000" w:rsidRPr="00000000" w14:paraId="0000002D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b w:val="1"/>
          <w:bCs w:val="1"/>
        </w:rPr>
      </w:pPr>
      <w:bookmarkStart w:colFirst="0" w:colLast="0" w:name="_2oipu2pw6v0m" w:id="6"/>
      <w:bookmarkEnd w:id="6"/>
      <w:r w:rsidDel="00000000" w:rsidR="00000000" w:rsidRPr="00000000">
        <w:rPr>
          <w:b w:val="1"/>
          <w:bCs w:val="1"/>
          <w:rtl w:val="0"/>
        </w:rPr>
        <w:t xml:space="preserve">Recommended blinded re-review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Before these category-level metrics are used in a manuscript, both reviewers should independently revisit all 20 studies in the classified validation subset for which scGPT was judged executed. The revised question should read: “Select all applicable uses of scGPT: Apply to biological data; Extend or develop; Benchmark or evaluate; Other executed use.” A separate primary-use field may be completed afterward for descriptive summaries only.</w:t>
      </w:r>
    </w:p>
    <w:p w:rsidR="00000000" w:rsidDel="00000000" w:rsidP="00000000" w:rsidRDefault="00000000" w:rsidRPr="00000000" w14:paraId="00000030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Reviewers should remain blinded to all agent labels, confidence, and evidence selections during this revisit. Their revised multi-label records should then be reconciled, frozen, and used to rerun the one-vs-rest precision, recall, F1, exact-set agreement, and Jaccard calculations. The three human-executed studies in the separate abstention/process audit may also be revisited, but their results should remain outside the 40-study classification-accuracy denominator.</w:t>
      </w:r>
    </w:p>
    <w:p w:rsidR="00000000" w:rsidDel="00000000" w:rsidP="00000000" w:rsidRDefault="00000000" w:rsidRPr="00000000" w14:paraId="00000032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</w:rPr>
      </w:pPr>
      <w:bookmarkStart w:colFirst="0" w:colLast="0" w:name="_v5q5n5ym4l08" w:id="7"/>
      <w:bookmarkEnd w:id="7"/>
      <w:r w:rsidDel="00000000" w:rsidR="00000000" w:rsidRPr="00000000">
        <w:rPr>
          <w:b w:val="1"/>
          <w:bCs w:val="1"/>
          <w:rtl w:val="0"/>
        </w:rPr>
        <w:t xml:space="preserve">Reporting status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All values in the table are provisional. They should not be treated as manuscript-final category performance until the multi-select re-review is completed.</w:t>
      </w:r>
    </w:p>
    <w:p w:rsidR="00000000" w:rsidDel="00000000" w:rsidP="00000000" w:rsidRDefault="00000000" w:rsidRPr="00000000" w14:paraId="00000035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