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406B" w14:textId="112A44E9" w:rsidR="001D1FF9" w:rsidRPr="00E705AA" w:rsidRDefault="00000000" w:rsidP="00566B94">
      <w:pPr>
        <w:spacing w:after="120"/>
        <w:jc w:val="center"/>
        <w:rPr>
          <w:rFonts w:hint="eastAsia"/>
          <w:color w:val="000000" w:themeColor="text1"/>
          <w:sz w:val="28"/>
          <w:szCs w:val="32"/>
        </w:rPr>
      </w:pPr>
      <w:r w:rsidRPr="00E705AA">
        <w:rPr>
          <w:b/>
          <w:color w:val="000000" w:themeColor="text1"/>
          <w:sz w:val="36"/>
          <w:szCs w:val="36"/>
        </w:rPr>
        <w:t>Regime-Aware Experience Replay for Non-Stationary Financial Reinforcement Learning</w:t>
      </w:r>
    </w:p>
    <w:p w14:paraId="6ED61F7C" w14:textId="77777777" w:rsidR="001D1FF9" w:rsidRPr="009D65BA" w:rsidRDefault="00000000">
      <w:pPr>
        <w:keepNext/>
        <w:spacing w:before="90" w:after="40"/>
        <w:rPr>
          <w:color w:val="000000" w:themeColor="text1"/>
          <w:sz w:val="24"/>
          <w:szCs w:val="28"/>
        </w:rPr>
      </w:pPr>
      <w:r w:rsidRPr="009D65BA">
        <w:rPr>
          <w:b/>
          <w:color w:val="000000" w:themeColor="text1"/>
          <w:szCs w:val="22"/>
        </w:rPr>
        <w:t>1. Motivation and Gap</w:t>
      </w:r>
    </w:p>
    <w:p w14:paraId="2782D75A" w14:textId="66DE8F30" w:rsidR="001D1FF9" w:rsidRPr="009D65BA" w:rsidRDefault="00000000">
      <w:pPr>
        <w:spacing w:after="70"/>
        <w:rPr>
          <w:rFonts w:hint="eastAsia"/>
          <w:color w:val="000000" w:themeColor="text1"/>
          <w:sz w:val="24"/>
          <w:szCs w:val="28"/>
        </w:rPr>
      </w:pPr>
      <w:r w:rsidRPr="009D65BA">
        <w:rPr>
          <w:color w:val="000000" w:themeColor="text1"/>
          <w:sz w:val="20"/>
          <w:szCs w:val="20"/>
        </w:rPr>
        <w:t>Financial markets are non-stationary</w:t>
      </w:r>
      <w:r w:rsidR="00566B94" w:rsidRPr="009D65BA">
        <w:rPr>
          <w:rFonts w:hint="eastAsia"/>
          <w:color w:val="000000" w:themeColor="text1"/>
          <w:sz w:val="20"/>
          <w:szCs w:val="20"/>
        </w:rPr>
        <w:t>, which</w:t>
      </w:r>
      <w:r w:rsidRPr="009D65BA">
        <w:rPr>
          <w:color w:val="000000" w:themeColor="text1"/>
          <w:sz w:val="20"/>
          <w:szCs w:val="20"/>
        </w:rPr>
        <w:t xml:space="preserve"> make</w:t>
      </w:r>
      <w:r w:rsidR="00566B94" w:rsidRPr="009D65BA">
        <w:rPr>
          <w:rFonts w:hint="eastAsia"/>
          <w:color w:val="000000" w:themeColor="text1"/>
          <w:sz w:val="20"/>
          <w:szCs w:val="20"/>
        </w:rPr>
        <w:t>s</w:t>
      </w:r>
      <w:r w:rsidRPr="009D65BA">
        <w:rPr>
          <w:color w:val="000000" w:themeColor="text1"/>
          <w:sz w:val="20"/>
          <w:szCs w:val="20"/>
        </w:rPr>
        <w:t xml:space="preserve"> historical trading experience unevenly useful. Off-policy RL methods rely on replay buffers, but a standard buffer may mix transitions from incompatible regimes and repeatedly train on stale experience. Recent work such as </w:t>
      </w:r>
      <w:proofErr w:type="spellStart"/>
      <w:r w:rsidRPr="009D65BA">
        <w:rPr>
          <w:color w:val="000000" w:themeColor="text1"/>
          <w:sz w:val="20"/>
          <w:szCs w:val="20"/>
        </w:rPr>
        <w:t>ReCAP</w:t>
      </w:r>
      <w:proofErr w:type="spellEnd"/>
      <w:r w:rsidRPr="009D65BA">
        <w:rPr>
          <w:color w:val="000000" w:themeColor="text1"/>
          <w:sz w:val="20"/>
          <w:szCs w:val="20"/>
        </w:rPr>
        <w:t xml:space="preserve"> studies policy-level regime adaptation for portfolio management, while DEER studies non-stationary replay in general control tasks. The remaining </w:t>
      </w:r>
      <w:r w:rsidR="007E4143" w:rsidRPr="009D65BA">
        <w:rPr>
          <w:rFonts w:hint="eastAsia"/>
          <w:color w:val="000000" w:themeColor="text1"/>
          <w:sz w:val="20"/>
          <w:szCs w:val="20"/>
        </w:rPr>
        <w:t>gap is that</w:t>
      </w:r>
      <w:r w:rsidRPr="009D65BA">
        <w:rPr>
          <w:color w:val="000000" w:themeColor="text1"/>
          <w:sz w:val="20"/>
          <w:szCs w:val="20"/>
        </w:rPr>
        <w:t xml:space="preserve"> we want to </w:t>
      </w:r>
      <w:r w:rsidR="007E4143" w:rsidRPr="009D65BA">
        <w:rPr>
          <w:rFonts w:hint="eastAsia"/>
          <w:color w:val="000000" w:themeColor="text1"/>
          <w:sz w:val="20"/>
          <w:szCs w:val="20"/>
        </w:rPr>
        <w:t xml:space="preserve">utilize the mindset we get from DEER to </w:t>
      </w:r>
      <w:r w:rsidR="00566B94" w:rsidRPr="009D65BA">
        <w:rPr>
          <w:rFonts w:hint="eastAsia"/>
          <w:color w:val="000000" w:themeColor="text1"/>
          <w:sz w:val="20"/>
          <w:szCs w:val="20"/>
        </w:rPr>
        <w:t>solve</w:t>
      </w:r>
      <w:r w:rsidRPr="009D65BA">
        <w:rPr>
          <w:color w:val="000000" w:themeColor="text1"/>
          <w:sz w:val="20"/>
          <w:szCs w:val="20"/>
        </w:rPr>
        <w:t xml:space="preserve"> </w:t>
      </w:r>
      <w:r w:rsidR="007E4143" w:rsidRPr="009D65BA">
        <w:rPr>
          <w:rFonts w:hint="eastAsia"/>
          <w:color w:val="000000" w:themeColor="text1"/>
          <w:sz w:val="20"/>
          <w:szCs w:val="20"/>
        </w:rPr>
        <w:t>the</w:t>
      </w:r>
      <w:r w:rsidRPr="009D65BA">
        <w:rPr>
          <w:color w:val="000000" w:themeColor="text1"/>
          <w:sz w:val="20"/>
          <w:szCs w:val="20"/>
        </w:rPr>
        <w:t xml:space="preserve"> transition-level replay contamination in financial RL, </w:t>
      </w:r>
      <w:r w:rsidR="007E4143" w:rsidRPr="009D65BA">
        <w:rPr>
          <w:rFonts w:hint="eastAsia"/>
          <w:color w:val="000000" w:themeColor="text1"/>
          <w:sz w:val="20"/>
          <w:szCs w:val="20"/>
        </w:rPr>
        <w:t xml:space="preserve">then </w:t>
      </w:r>
      <w:r w:rsidRPr="009D65BA">
        <w:rPr>
          <w:color w:val="000000" w:themeColor="text1"/>
          <w:sz w:val="20"/>
          <w:szCs w:val="20"/>
        </w:rPr>
        <w:t xml:space="preserve">evaluated with </w:t>
      </w:r>
      <w:r w:rsidR="00566B94" w:rsidRPr="009D65BA">
        <w:rPr>
          <w:rFonts w:hint="eastAsia"/>
          <w:color w:val="000000" w:themeColor="text1"/>
          <w:sz w:val="20"/>
          <w:szCs w:val="20"/>
        </w:rPr>
        <w:t>robustness test</w:t>
      </w:r>
      <w:r w:rsidRPr="009D65BA">
        <w:rPr>
          <w:color w:val="000000" w:themeColor="text1"/>
          <w:sz w:val="20"/>
          <w:szCs w:val="20"/>
        </w:rPr>
        <w:t xml:space="preserve"> such as</w:t>
      </w:r>
      <w:r w:rsidR="00566B94" w:rsidRPr="009D65BA">
        <w:rPr>
          <w:rFonts w:hint="eastAsia"/>
          <w:color w:val="000000" w:themeColor="text1"/>
          <w:sz w:val="20"/>
          <w:szCs w:val="20"/>
        </w:rPr>
        <w:t xml:space="preserve"> </w:t>
      </w:r>
      <w:r w:rsidR="00566B94" w:rsidRPr="009D65BA">
        <w:rPr>
          <w:rFonts w:hint="eastAsia"/>
          <w:color w:val="000000" w:themeColor="text1"/>
          <w:sz w:val="20"/>
          <w:szCs w:val="20"/>
        </w:rPr>
        <w:t>performance comparison</w:t>
      </w:r>
      <w:r w:rsidR="00566B94" w:rsidRPr="009D65BA">
        <w:rPr>
          <w:rFonts w:hint="eastAsia"/>
          <w:color w:val="000000" w:themeColor="text1"/>
          <w:sz w:val="20"/>
          <w:szCs w:val="20"/>
        </w:rPr>
        <w:t xml:space="preserve"> in</w:t>
      </w:r>
      <w:r w:rsidRPr="009D65BA">
        <w:rPr>
          <w:color w:val="000000" w:themeColor="text1"/>
          <w:sz w:val="20"/>
          <w:szCs w:val="20"/>
        </w:rPr>
        <w:t xml:space="preserve"> </w:t>
      </w:r>
      <w:r w:rsidR="00566B94" w:rsidRPr="009D65BA">
        <w:rPr>
          <w:rFonts w:hint="eastAsia"/>
          <w:color w:val="000000" w:themeColor="text1"/>
          <w:sz w:val="20"/>
          <w:szCs w:val="20"/>
        </w:rPr>
        <w:t xml:space="preserve">multiple </w:t>
      </w:r>
      <w:r w:rsidR="00181038" w:rsidRPr="009D65BA">
        <w:rPr>
          <w:rFonts w:hint="eastAsia"/>
          <w:color w:val="000000" w:themeColor="text1"/>
          <w:sz w:val="20"/>
          <w:szCs w:val="20"/>
        </w:rPr>
        <w:t xml:space="preserve">allocation </w:t>
      </w:r>
      <w:r w:rsidR="00566B94" w:rsidRPr="009D65BA">
        <w:rPr>
          <w:rFonts w:hint="eastAsia"/>
          <w:color w:val="000000" w:themeColor="text1"/>
          <w:sz w:val="20"/>
          <w:szCs w:val="20"/>
        </w:rPr>
        <w:t xml:space="preserve">pools, </w:t>
      </w:r>
      <w:r w:rsidRPr="009D65BA">
        <w:rPr>
          <w:color w:val="000000" w:themeColor="text1"/>
          <w:sz w:val="20"/>
          <w:szCs w:val="20"/>
        </w:rPr>
        <w:t>transaction costs</w:t>
      </w:r>
      <w:r w:rsidR="00566B94" w:rsidRPr="009D65BA">
        <w:rPr>
          <w:rFonts w:hint="eastAsia"/>
          <w:color w:val="000000" w:themeColor="text1"/>
          <w:sz w:val="20"/>
          <w:szCs w:val="20"/>
        </w:rPr>
        <w:t xml:space="preserve"> sensitivity</w:t>
      </w:r>
      <w:r w:rsidRPr="009D65BA">
        <w:rPr>
          <w:color w:val="000000" w:themeColor="text1"/>
          <w:sz w:val="20"/>
          <w:szCs w:val="20"/>
        </w:rPr>
        <w:t>,</w:t>
      </w:r>
      <w:r w:rsidR="00566B94" w:rsidRPr="009D65BA">
        <w:rPr>
          <w:rFonts w:hint="eastAsia"/>
          <w:color w:val="000000" w:themeColor="text1"/>
          <w:sz w:val="20"/>
          <w:szCs w:val="20"/>
        </w:rPr>
        <w:t xml:space="preserve"> and</w:t>
      </w:r>
      <w:r w:rsidRPr="009D65BA">
        <w:rPr>
          <w:color w:val="000000" w:themeColor="text1"/>
          <w:sz w:val="20"/>
          <w:szCs w:val="20"/>
        </w:rPr>
        <w:t xml:space="preserve"> regime</w:t>
      </w:r>
      <w:r w:rsidR="00566B94" w:rsidRPr="009D65BA">
        <w:rPr>
          <w:rFonts w:hint="eastAsia"/>
          <w:color w:val="000000" w:themeColor="text1"/>
          <w:sz w:val="20"/>
          <w:szCs w:val="20"/>
        </w:rPr>
        <w:t xml:space="preserve"> shuffling</w:t>
      </w:r>
      <w:r w:rsidRPr="009D65BA">
        <w:rPr>
          <w:color w:val="000000" w:themeColor="text1"/>
          <w:sz w:val="20"/>
          <w:szCs w:val="20"/>
        </w:rPr>
        <w:t>.</w:t>
      </w:r>
      <w:r w:rsidR="007E4143" w:rsidRPr="009D65BA">
        <w:rPr>
          <w:rFonts w:hint="eastAsia"/>
          <w:color w:val="000000" w:themeColor="text1"/>
          <w:sz w:val="20"/>
          <w:szCs w:val="20"/>
        </w:rPr>
        <w:t xml:space="preserve"> </w:t>
      </w:r>
      <w:r w:rsidR="007E4143" w:rsidRPr="009D65BA">
        <w:rPr>
          <w:color w:val="000000" w:themeColor="text1"/>
          <w:sz w:val="20"/>
          <w:szCs w:val="20"/>
        </w:rPr>
        <w:t>The key idea is to use regime information at the replay level rather than primarily as an additional state feature. Instead of only making the policy regime-aware, we tag each stored transition with its market regime and use this information to sample more training examples from the current or similar regimes.</w:t>
      </w:r>
    </w:p>
    <w:p w14:paraId="618C628C" w14:textId="77777777" w:rsidR="001D1FF9" w:rsidRPr="009D65BA" w:rsidRDefault="00000000">
      <w:pPr>
        <w:keepNext/>
        <w:spacing w:before="90" w:after="40"/>
        <w:rPr>
          <w:color w:val="000000" w:themeColor="text1"/>
          <w:sz w:val="24"/>
          <w:szCs w:val="28"/>
        </w:rPr>
      </w:pPr>
      <w:r w:rsidRPr="009D65BA">
        <w:rPr>
          <w:b/>
          <w:color w:val="000000" w:themeColor="text1"/>
          <w:szCs w:val="22"/>
        </w:rPr>
        <w:t>2. Research Question</w:t>
      </w:r>
    </w:p>
    <w:p w14:paraId="3BD4A781" w14:textId="12F44B2C" w:rsidR="001B3F23" w:rsidRPr="009D65BA" w:rsidRDefault="001B3F23">
      <w:pPr>
        <w:spacing w:after="70"/>
        <w:rPr>
          <w:rFonts w:hint="eastAsia"/>
          <w:color w:val="000000" w:themeColor="text1"/>
          <w:sz w:val="20"/>
          <w:szCs w:val="20"/>
        </w:rPr>
      </w:pPr>
      <w:r w:rsidRPr="009D65BA">
        <w:rPr>
          <w:rFonts w:hint="eastAsia"/>
          <w:color w:val="000000" w:themeColor="text1"/>
          <w:sz w:val="20"/>
          <w:szCs w:val="20"/>
        </w:rPr>
        <w:t xml:space="preserve">A. </w:t>
      </w:r>
      <w:r w:rsidR="00000000" w:rsidRPr="009D65BA">
        <w:rPr>
          <w:color w:val="000000" w:themeColor="text1"/>
          <w:sz w:val="20"/>
          <w:szCs w:val="20"/>
        </w:rPr>
        <w:t>When market regimes shift, does replaying transitions from mismatched historical regimes hurt off-policy RL adaptation</w:t>
      </w:r>
      <w:r w:rsidRPr="009D65BA">
        <w:rPr>
          <w:rFonts w:hint="eastAsia"/>
          <w:color w:val="000000" w:themeColor="text1"/>
          <w:sz w:val="20"/>
          <w:szCs w:val="20"/>
        </w:rPr>
        <w:t>?</w:t>
      </w:r>
    </w:p>
    <w:p w14:paraId="61AD804E" w14:textId="7ECA158C" w:rsidR="001D1FF9" w:rsidRPr="009D65BA" w:rsidRDefault="001B3F23">
      <w:pPr>
        <w:spacing w:after="70"/>
        <w:rPr>
          <w:color w:val="000000" w:themeColor="text1"/>
          <w:sz w:val="24"/>
          <w:szCs w:val="28"/>
        </w:rPr>
      </w:pPr>
      <w:r w:rsidRPr="009D65BA">
        <w:rPr>
          <w:rFonts w:hint="eastAsia"/>
          <w:color w:val="000000" w:themeColor="text1"/>
          <w:sz w:val="20"/>
          <w:szCs w:val="20"/>
        </w:rPr>
        <w:t>B. C</w:t>
      </w:r>
      <w:r w:rsidR="00000000" w:rsidRPr="009D65BA">
        <w:rPr>
          <w:color w:val="000000" w:themeColor="text1"/>
          <w:sz w:val="20"/>
          <w:szCs w:val="20"/>
        </w:rPr>
        <w:t>an a lightweight regime-aware replay sampler improve adaptation speed and risk stability compared with uniform replay, prioritized experience replay, and sliding-window replay?</w:t>
      </w:r>
    </w:p>
    <w:p w14:paraId="58201C4E" w14:textId="77777777" w:rsidR="001D1FF9" w:rsidRPr="009D65BA" w:rsidRDefault="00000000">
      <w:pPr>
        <w:keepNext/>
        <w:spacing w:before="90" w:after="40"/>
        <w:rPr>
          <w:color w:val="000000" w:themeColor="text1"/>
          <w:sz w:val="24"/>
          <w:szCs w:val="28"/>
        </w:rPr>
      </w:pPr>
      <w:r w:rsidRPr="009D65BA">
        <w:rPr>
          <w:b/>
          <w:color w:val="000000" w:themeColor="text1"/>
          <w:szCs w:val="22"/>
        </w:rPr>
        <w:t>3. Proposed Approach</w:t>
      </w:r>
    </w:p>
    <w:p w14:paraId="62EAD2B9" w14:textId="77777777" w:rsidR="001D1FF9" w:rsidRPr="009D65BA" w:rsidRDefault="00000000">
      <w:pPr>
        <w:spacing w:after="35"/>
        <w:ind w:left="360" w:hanging="180"/>
        <w:rPr>
          <w:color w:val="000000" w:themeColor="text1"/>
          <w:sz w:val="24"/>
          <w:szCs w:val="28"/>
        </w:rPr>
      </w:pPr>
      <w:r w:rsidRPr="009D65BA">
        <w:rPr>
          <w:color w:val="000000" w:themeColor="text1"/>
          <w:sz w:val="20"/>
          <w:szCs w:val="20"/>
        </w:rPr>
        <w:t>- Build a minimal off-policy financial RL testbed: first a synthetic bull/bear/high-volatility market, then a simple ETF allocation task using SPY, TLT, GLD, and cash.</w:t>
      </w:r>
    </w:p>
    <w:p w14:paraId="65A2DCBF" w14:textId="5B875DAA" w:rsidR="001D1FF9" w:rsidRPr="009D65BA" w:rsidRDefault="00000000">
      <w:pPr>
        <w:spacing w:after="35"/>
        <w:ind w:left="360" w:hanging="180"/>
        <w:rPr>
          <w:color w:val="000000" w:themeColor="text1"/>
          <w:sz w:val="24"/>
          <w:szCs w:val="28"/>
        </w:rPr>
      </w:pPr>
      <w:r w:rsidRPr="009D65BA">
        <w:rPr>
          <w:color w:val="000000" w:themeColor="text1"/>
          <w:sz w:val="20"/>
          <w:szCs w:val="20"/>
        </w:rPr>
        <w:t>- Start with discrete actions and DQN for speed and interpretability; consider SAC only after the replay signal is clear.</w:t>
      </w:r>
    </w:p>
    <w:p w14:paraId="33FB678D" w14:textId="73213ADD" w:rsidR="001D1FF9" w:rsidRPr="009D65BA" w:rsidRDefault="00000000">
      <w:pPr>
        <w:spacing w:after="35"/>
        <w:ind w:left="360" w:hanging="180"/>
        <w:rPr>
          <w:color w:val="000000" w:themeColor="text1"/>
          <w:sz w:val="24"/>
          <w:szCs w:val="28"/>
        </w:rPr>
      </w:pPr>
      <w:r w:rsidRPr="009D65BA">
        <w:rPr>
          <w:color w:val="000000" w:themeColor="text1"/>
          <w:sz w:val="20"/>
          <w:szCs w:val="20"/>
        </w:rPr>
        <w:t>- Label regimes using rolling trend and volatility rules first; test HMM/GMM soft regimes later.</w:t>
      </w:r>
    </w:p>
    <w:p w14:paraId="4EC04FBC" w14:textId="0CB0D9BF" w:rsidR="001D1FF9" w:rsidRPr="009D65BA" w:rsidRDefault="00000000">
      <w:pPr>
        <w:spacing w:after="35"/>
        <w:ind w:left="360" w:hanging="180"/>
        <w:rPr>
          <w:color w:val="000000" w:themeColor="text1"/>
          <w:sz w:val="24"/>
          <w:szCs w:val="28"/>
        </w:rPr>
      </w:pPr>
      <w:r w:rsidRPr="009D65BA">
        <w:rPr>
          <w:color w:val="000000" w:themeColor="text1"/>
          <w:sz w:val="20"/>
          <w:szCs w:val="20"/>
        </w:rPr>
        <w:t xml:space="preserve">- </w:t>
      </w:r>
      <w:r w:rsidR="008326F3" w:rsidRPr="009D65BA">
        <w:rPr>
          <w:rFonts w:hint="eastAsia"/>
          <w:color w:val="000000" w:themeColor="text1"/>
          <w:sz w:val="20"/>
          <w:szCs w:val="20"/>
        </w:rPr>
        <w:t>R</w:t>
      </w:r>
      <w:r w:rsidRPr="009D65BA">
        <w:rPr>
          <w:color w:val="000000" w:themeColor="text1"/>
          <w:sz w:val="20"/>
          <w:szCs w:val="20"/>
        </w:rPr>
        <w:t>eplay diagnostics: sampled-regime distribution, mismatch rate between current regime and sampled transitions, TD-error by regime, recovery time after regime shifts, drawdown, and turnover spikes.</w:t>
      </w:r>
    </w:p>
    <w:p w14:paraId="42BFAC06" w14:textId="7C03DD59" w:rsidR="001D1FF9" w:rsidRPr="009D65BA" w:rsidRDefault="00000000">
      <w:pPr>
        <w:spacing w:after="35"/>
        <w:ind w:left="360" w:hanging="180"/>
        <w:rPr>
          <w:color w:val="000000" w:themeColor="text1"/>
          <w:sz w:val="24"/>
          <w:szCs w:val="28"/>
        </w:rPr>
      </w:pPr>
      <w:r w:rsidRPr="009D65BA">
        <w:rPr>
          <w:color w:val="000000" w:themeColor="text1"/>
          <w:sz w:val="20"/>
          <w:szCs w:val="20"/>
        </w:rPr>
        <w:t>- Compare replay variants: uniform replay, prioritized experience replay (PER), sliding-window replay, and regime-aware replay.</w:t>
      </w:r>
    </w:p>
    <w:p w14:paraId="673D5DCC" w14:textId="77777777" w:rsidR="001D1FF9" w:rsidRPr="009D65BA" w:rsidRDefault="00000000">
      <w:pPr>
        <w:keepNext/>
        <w:spacing w:before="90" w:after="40"/>
        <w:rPr>
          <w:color w:val="000000" w:themeColor="text1"/>
          <w:sz w:val="24"/>
          <w:szCs w:val="28"/>
        </w:rPr>
      </w:pPr>
      <w:r w:rsidRPr="009D65BA">
        <w:rPr>
          <w:b/>
          <w:color w:val="000000" w:themeColor="text1"/>
          <w:szCs w:val="22"/>
        </w:rPr>
        <w:t>4. Expected Contribution</w:t>
      </w:r>
    </w:p>
    <w:p w14:paraId="38444FB3" w14:textId="68F02E77" w:rsidR="001D1FF9" w:rsidRPr="009D65BA" w:rsidRDefault="00000000">
      <w:pPr>
        <w:spacing w:after="70"/>
        <w:rPr>
          <w:color w:val="000000" w:themeColor="text1"/>
          <w:sz w:val="24"/>
          <w:szCs w:val="28"/>
        </w:rPr>
      </w:pPr>
      <w:r w:rsidRPr="009D65BA">
        <w:rPr>
          <w:color w:val="000000" w:themeColor="text1"/>
          <w:sz w:val="20"/>
          <w:szCs w:val="20"/>
        </w:rPr>
        <w:t>The project is not claiming to be the first regime-aware portfolio RL method. Instead, it aims to contribute: (</w:t>
      </w:r>
      <w:proofErr w:type="spellStart"/>
      <w:r w:rsidRPr="009D65BA">
        <w:rPr>
          <w:color w:val="000000" w:themeColor="text1"/>
          <w:sz w:val="20"/>
          <w:szCs w:val="20"/>
        </w:rPr>
        <w:t>i</w:t>
      </w:r>
      <w:proofErr w:type="spellEnd"/>
      <w:r w:rsidRPr="009D65BA">
        <w:rPr>
          <w:color w:val="000000" w:themeColor="text1"/>
          <w:sz w:val="20"/>
          <w:szCs w:val="20"/>
        </w:rPr>
        <w:t>) a diagnostic analysis of replay-buffer contamination under financial regime shifts; (ii) a regime-aware replay sampler; and (iii) finance-specific evaluation under transaction costs, risk metrics, and regime-wise analysis. A successful result would show that regime-aware replay improves adaptation</w:t>
      </w:r>
      <w:r w:rsidR="00181038" w:rsidRPr="009D65BA">
        <w:rPr>
          <w:rFonts w:hint="eastAsia"/>
          <w:color w:val="000000" w:themeColor="text1"/>
          <w:sz w:val="20"/>
          <w:szCs w:val="20"/>
        </w:rPr>
        <w:t xml:space="preserve">, </w:t>
      </w:r>
      <w:r w:rsidRPr="009D65BA">
        <w:rPr>
          <w:color w:val="000000" w:themeColor="text1"/>
          <w:sz w:val="20"/>
          <w:szCs w:val="20"/>
        </w:rPr>
        <w:t>risk control</w:t>
      </w:r>
      <w:r w:rsidR="00181038" w:rsidRPr="009D65BA">
        <w:rPr>
          <w:rFonts w:hint="eastAsia"/>
          <w:color w:val="000000" w:themeColor="text1"/>
          <w:sz w:val="20"/>
          <w:szCs w:val="20"/>
        </w:rPr>
        <w:t>, or return performance</w:t>
      </w:r>
      <w:r w:rsidRPr="009D65BA">
        <w:rPr>
          <w:color w:val="000000" w:themeColor="text1"/>
          <w:sz w:val="20"/>
          <w:szCs w:val="20"/>
        </w:rPr>
        <w:t>.</w:t>
      </w:r>
    </w:p>
    <w:p w14:paraId="2FB251C8" w14:textId="77777777" w:rsidR="001D1FF9" w:rsidRPr="009D65BA" w:rsidRDefault="00000000">
      <w:pPr>
        <w:keepNext/>
        <w:spacing w:before="90" w:after="40"/>
        <w:rPr>
          <w:color w:val="000000" w:themeColor="text1"/>
          <w:sz w:val="24"/>
          <w:szCs w:val="28"/>
        </w:rPr>
      </w:pPr>
      <w:r w:rsidRPr="009D65BA">
        <w:rPr>
          <w:b/>
          <w:color w:val="000000" w:themeColor="text1"/>
          <w:szCs w:val="22"/>
        </w:rPr>
        <w:t>5. Planned Validation</w:t>
      </w:r>
    </w:p>
    <w:p w14:paraId="66F831A2" w14:textId="4A945B68" w:rsidR="001D1FF9" w:rsidRPr="009D65BA" w:rsidRDefault="00000000">
      <w:pPr>
        <w:spacing w:after="35"/>
        <w:ind w:left="360" w:hanging="180"/>
        <w:rPr>
          <w:color w:val="000000" w:themeColor="text1"/>
          <w:sz w:val="24"/>
          <w:szCs w:val="28"/>
        </w:rPr>
      </w:pPr>
      <w:r w:rsidRPr="009D65BA">
        <w:rPr>
          <w:color w:val="000000" w:themeColor="text1"/>
          <w:sz w:val="20"/>
          <w:szCs w:val="20"/>
        </w:rPr>
        <w:t xml:space="preserve">- </w:t>
      </w:r>
      <w:r w:rsidR="00181038" w:rsidRPr="009D65BA">
        <w:rPr>
          <w:color w:val="000000" w:themeColor="text1"/>
          <w:sz w:val="20"/>
          <w:szCs w:val="20"/>
        </w:rPr>
        <w:t>ETF portfolio</w:t>
      </w:r>
      <w:r w:rsidRPr="009D65BA">
        <w:rPr>
          <w:color w:val="000000" w:themeColor="text1"/>
          <w:sz w:val="20"/>
          <w:szCs w:val="20"/>
        </w:rPr>
        <w:t>: test whether regime-aware replay reduces adaptation lag after known regime switches.</w:t>
      </w:r>
    </w:p>
    <w:p w14:paraId="5A94F4BC" w14:textId="4DF68753" w:rsidR="001D1FF9" w:rsidRPr="009D65BA" w:rsidRDefault="00000000">
      <w:pPr>
        <w:spacing w:after="35"/>
        <w:ind w:left="360" w:hanging="180"/>
        <w:rPr>
          <w:rFonts w:hint="eastAsia"/>
          <w:color w:val="000000" w:themeColor="text1"/>
          <w:sz w:val="24"/>
          <w:szCs w:val="28"/>
        </w:rPr>
      </w:pPr>
      <w:r w:rsidRPr="009D65BA">
        <w:rPr>
          <w:color w:val="000000" w:themeColor="text1"/>
          <w:sz w:val="20"/>
          <w:szCs w:val="20"/>
        </w:rPr>
        <w:t xml:space="preserve">- </w:t>
      </w:r>
      <w:r w:rsidR="00181038" w:rsidRPr="009D65BA">
        <w:rPr>
          <w:rFonts w:hint="eastAsia"/>
          <w:color w:val="000000" w:themeColor="text1"/>
          <w:sz w:val="20"/>
          <w:szCs w:val="20"/>
        </w:rPr>
        <w:t>Stock</w:t>
      </w:r>
      <w:r w:rsidRPr="009D65BA">
        <w:rPr>
          <w:color w:val="000000" w:themeColor="text1"/>
          <w:sz w:val="20"/>
          <w:szCs w:val="20"/>
        </w:rPr>
        <w:t xml:space="preserve"> portfolio: evaluate </w:t>
      </w:r>
      <w:r w:rsidR="00181038" w:rsidRPr="009D65BA">
        <w:rPr>
          <w:rFonts w:hint="eastAsia"/>
          <w:color w:val="000000" w:themeColor="text1"/>
          <w:sz w:val="20"/>
          <w:szCs w:val="20"/>
        </w:rPr>
        <w:t xml:space="preserve">with </w:t>
      </w:r>
      <w:r w:rsidR="00181038" w:rsidRPr="009D65BA">
        <w:rPr>
          <w:color w:val="000000" w:themeColor="text1"/>
          <w:sz w:val="20"/>
          <w:szCs w:val="20"/>
        </w:rPr>
        <w:t>DOW3</w:t>
      </w:r>
      <w:r w:rsidR="00181038" w:rsidRPr="009D65BA">
        <w:rPr>
          <w:rFonts w:hint="eastAsia"/>
          <w:color w:val="000000" w:themeColor="text1"/>
          <w:sz w:val="20"/>
          <w:szCs w:val="20"/>
        </w:rPr>
        <w:t xml:space="preserve">0, </w:t>
      </w:r>
      <w:r w:rsidR="00181038" w:rsidRPr="009D65BA">
        <w:rPr>
          <w:color w:val="000000" w:themeColor="text1"/>
          <w:sz w:val="20"/>
          <w:szCs w:val="20"/>
        </w:rPr>
        <w:t>NAS</w:t>
      </w:r>
      <w:r w:rsidR="00181038" w:rsidRPr="009D65BA">
        <w:rPr>
          <w:rFonts w:hint="eastAsia"/>
          <w:color w:val="000000" w:themeColor="text1"/>
          <w:sz w:val="20"/>
          <w:szCs w:val="20"/>
        </w:rPr>
        <w:t xml:space="preserve">DAQ </w:t>
      </w:r>
      <w:r w:rsidR="00181038" w:rsidRPr="009D65BA">
        <w:rPr>
          <w:color w:val="000000" w:themeColor="text1"/>
          <w:sz w:val="20"/>
          <w:szCs w:val="20"/>
        </w:rPr>
        <w:t>100</w:t>
      </w:r>
      <w:r w:rsidR="00181038" w:rsidRPr="009D65BA">
        <w:rPr>
          <w:rFonts w:hint="eastAsia"/>
          <w:color w:val="000000" w:themeColor="text1"/>
          <w:sz w:val="20"/>
          <w:szCs w:val="20"/>
        </w:rPr>
        <w:t xml:space="preserve">, and </w:t>
      </w:r>
      <w:r w:rsidR="00181038" w:rsidRPr="009D65BA">
        <w:rPr>
          <w:color w:val="000000" w:themeColor="text1"/>
          <w:sz w:val="20"/>
          <w:szCs w:val="20"/>
        </w:rPr>
        <w:t>SP500</w:t>
      </w:r>
      <w:r w:rsidR="00181038" w:rsidRPr="009D65BA">
        <w:rPr>
          <w:rFonts w:hint="eastAsia"/>
          <w:color w:val="000000" w:themeColor="text1"/>
          <w:sz w:val="20"/>
          <w:szCs w:val="20"/>
        </w:rPr>
        <w:t xml:space="preserve"> on</w:t>
      </w:r>
      <w:r w:rsidRPr="009D65BA">
        <w:rPr>
          <w:color w:val="000000" w:themeColor="text1"/>
          <w:sz w:val="20"/>
          <w:szCs w:val="20"/>
        </w:rPr>
        <w:t xml:space="preserve"> Sharpe ratio, max drawdown, </w:t>
      </w:r>
      <w:r w:rsidR="00181038" w:rsidRPr="009D65BA">
        <w:rPr>
          <w:rFonts w:hint="eastAsia"/>
          <w:color w:val="000000" w:themeColor="text1"/>
          <w:sz w:val="20"/>
          <w:szCs w:val="20"/>
        </w:rPr>
        <w:t xml:space="preserve">and </w:t>
      </w:r>
      <w:r w:rsidRPr="009D65BA">
        <w:rPr>
          <w:color w:val="000000" w:themeColor="text1"/>
          <w:sz w:val="20"/>
          <w:szCs w:val="20"/>
        </w:rPr>
        <w:t>turnover</w:t>
      </w:r>
      <w:r w:rsidR="00181038" w:rsidRPr="009D65BA">
        <w:rPr>
          <w:rFonts w:hint="eastAsia"/>
          <w:color w:val="000000" w:themeColor="text1"/>
          <w:sz w:val="20"/>
          <w:szCs w:val="20"/>
        </w:rPr>
        <w:t>, benchmarked on other replay methods.</w:t>
      </w:r>
    </w:p>
    <w:p w14:paraId="7EC2CAB2" w14:textId="6C4B9258" w:rsidR="001D1FF9" w:rsidRDefault="00000000" w:rsidP="007E4143">
      <w:pPr>
        <w:spacing w:after="35"/>
        <w:ind w:left="360" w:hanging="180"/>
        <w:rPr>
          <w:color w:val="000000" w:themeColor="text1"/>
          <w:sz w:val="20"/>
          <w:szCs w:val="20"/>
        </w:rPr>
      </w:pPr>
      <w:r w:rsidRPr="009D65BA">
        <w:rPr>
          <w:color w:val="000000" w:themeColor="text1"/>
          <w:sz w:val="20"/>
          <w:szCs w:val="20"/>
        </w:rPr>
        <w:t>- Ablation: remove the regime-similarity term to test whether the regime signal actually matters.</w:t>
      </w:r>
    </w:p>
    <w:p w14:paraId="512D1217" w14:textId="5A06FC91" w:rsidR="009D65BA" w:rsidRDefault="009D65BA" w:rsidP="009D65BA">
      <w:pPr>
        <w:keepNext/>
        <w:spacing w:before="90" w:after="40"/>
        <w:rPr>
          <w:b/>
          <w:color w:val="000000" w:themeColor="text1"/>
          <w:szCs w:val="22"/>
        </w:rPr>
      </w:pPr>
      <w:r>
        <w:rPr>
          <w:rFonts w:hint="eastAsia"/>
          <w:b/>
          <w:color w:val="000000" w:themeColor="text1"/>
          <w:szCs w:val="22"/>
        </w:rPr>
        <w:t>6</w:t>
      </w:r>
      <w:r w:rsidRPr="009D65BA">
        <w:rPr>
          <w:b/>
          <w:color w:val="000000" w:themeColor="text1"/>
          <w:szCs w:val="22"/>
        </w:rPr>
        <w:t xml:space="preserve">. </w:t>
      </w:r>
      <w:r>
        <w:rPr>
          <w:rFonts w:hint="eastAsia"/>
          <w:b/>
          <w:color w:val="000000" w:themeColor="text1"/>
          <w:szCs w:val="22"/>
        </w:rPr>
        <w:t xml:space="preserve">Core Reference </w:t>
      </w:r>
    </w:p>
    <w:p w14:paraId="744B3B91" w14:textId="6802DE93" w:rsidR="009D65BA" w:rsidRPr="009D65BA" w:rsidRDefault="009D65BA" w:rsidP="009D65BA">
      <w:pPr>
        <w:spacing w:after="35"/>
        <w:rPr>
          <w:color w:val="000000" w:themeColor="text1"/>
          <w:sz w:val="20"/>
          <w:szCs w:val="20"/>
        </w:rPr>
      </w:pPr>
      <w:r w:rsidRPr="009D65BA">
        <w:rPr>
          <w:color w:val="000000" w:themeColor="text1"/>
          <w:sz w:val="20"/>
          <w:szCs w:val="20"/>
        </w:rPr>
        <w:t>DEER</w:t>
      </w:r>
      <w:r>
        <w:rPr>
          <w:rFonts w:hint="eastAsia"/>
          <w:color w:val="000000" w:themeColor="text1"/>
          <w:sz w:val="20"/>
          <w:szCs w:val="20"/>
        </w:rPr>
        <w:t xml:space="preserve">: </w:t>
      </w:r>
      <w:r w:rsidRPr="009D65BA">
        <w:rPr>
          <w:color w:val="000000" w:themeColor="text1"/>
          <w:sz w:val="20"/>
          <w:szCs w:val="20"/>
        </w:rPr>
        <w:t>Duan, T., Zhang, Z., Guo, S., Zhao, Y., Lin, Z., Fang, Z., Liu, Y., Luan, D., Huang, D., Cui, H., &amp; Cui, Y. (2025). Sample Efficient Experience Replay in Non-stationary Environments. arXiv:2509.15032.</w:t>
      </w:r>
    </w:p>
    <w:p w14:paraId="166BAFB7" w14:textId="4C66939D" w:rsidR="009D65BA" w:rsidRPr="009D65BA" w:rsidRDefault="009D65BA" w:rsidP="009D65BA">
      <w:pPr>
        <w:spacing w:after="35"/>
        <w:rPr>
          <w:rFonts w:hint="eastAsia"/>
          <w:color w:val="000000" w:themeColor="text1"/>
          <w:sz w:val="20"/>
          <w:szCs w:val="20"/>
        </w:rPr>
      </w:pPr>
      <w:proofErr w:type="spellStart"/>
      <w:r w:rsidRPr="009D65BA">
        <w:rPr>
          <w:color w:val="000000" w:themeColor="text1"/>
          <w:sz w:val="20"/>
          <w:szCs w:val="20"/>
        </w:rPr>
        <w:t>ReCAP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: </w:t>
      </w:r>
      <w:r w:rsidRPr="009D65BA">
        <w:rPr>
          <w:color w:val="000000" w:themeColor="text1"/>
          <w:sz w:val="20"/>
          <w:szCs w:val="20"/>
        </w:rPr>
        <w:t>Pan, C., Ren, L., Xiong, L., Li, Y., Wei, W., &amp; Yang, X. (2026). Regime-Adaptive Continual Learning for Portfolio Management. In Proceedings of the 32nd ACM SIGKDD Conference on Knowledge Discovery and Data Mining (KDD 2026). https://doi.org/10.1145/3770855.3817620</w:t>
      </w:r>
    </w:p>
    <w:sectPr w:rsidR="009D65BA" w:rsidRPr="009D65BA">
      <w:pgSz w:w="11906" w:h="16838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UwtzC0NDA2NrQwNTJU0lEKTi0uzszPAykwrAUAtTmOpSwAAAA="/>
  </w:docVars>
  <w:rsids>
    <w:rsidRoot w:val="001D1FF9"/>
    <w:rsid w:val="00181038"/>
    <w:rsid w:val="001A4AAF"/>
    <w:rsid w:val="001B3F23"/>
    <w:rsid w:val="001D1FF9"/>
    <w:rsid w:val="00230841"/>
    <w:rsid w:val="00502837"/>
    <w:rsid w:val="00566B94"/>
    <w:rsid w:val="007E4143"/>
    <w:rsid w:val="008326F3"/>
    <w:rsid w:val="009D65BA"/>
    <w:rsid w:val="00E7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06A6"/>
  <w15:docId w15:val="{4C4E3F3E-F41A-4C29-BC7D-6FD8903A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Juncheng Su</cp:lastModifiedBy>
  <cp:revision>9</cp:revision>
  <dcterms:created xsi:type="dcterms:W3CDTF">2026-06-14T02:36:00Z</dcterms:created>
  <dcterms:modified xsi:type="dcterms:W3CDTF">2026-06-14T03:11:00Z</dcterms:modified>
</cp:coreProperties>
</file>