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math" xmlns:w="http://schemas.openxmlformats.org/wordprocessingml/2006/main" ns1:Ignorable="w14 wp14">
  <w:body>
    <w:p>
      <w:pPr>
        <w:spacing w:before="0" w:after="0" w:lineRule="auto" w:line="240"/>
        <w:jc w:val="left"/>
      </w:pPr>
      <w:r/>
    </w:p>
    <w:p>
      <w:pPr>
        <w:spacing w:before="0" w:after="0" w:lineRule="auto" w:line="240"/>
        <w:jc w:val="left"/>
      </w:pPr>
      <w:r/>
    </w:p>
    <w:p>
      <w:pPr>
        <w:spacing w:before="0" w:after="0" w:lineRule="auto" w:line="240"/>
        <w:jc w:val="left"/>
      </w:pPr>
      <w:r/>
    </w:p>
    <w:p>
      <w:pPr>
        <w:spacing w:before="0" w:after="0" w:lineRule="auto" w:line="240"/>
        <w:jc w:val="left"/>
      </w:pPr>
      <w:r/>
    </w:p>
    <w:p>
      <w:pPr>
        <w:spacing w:before="0" w:after="0" w:lineRule="auto" w:line="240"/>
        <w:jc w:val="left"/>
      </w:pPr>
      <w:r/>
    </w:p>
    <w:p>
      <w:pPr>
        <w:spacing w:before="0" w:after="0" w:lineRule="auto" w:line="360"/>
        <w:jc w:val="center"/>
      </w:pPr>
      <w:r>
        <w:rPr>
          <w:rFonts w:eastAsia="黑体" w:ascii="Times New Roman" w:hAnsi="Times New Roman"/>
          <w:b/>
          <w:sz w:val="44"/>
        </w:rPr>
        <w:t>浙江大学本科生毕业论文</w:t>
      </w:r>
    </w:p>
    <w:p>
      <w:pPr>
        <w:spacing w:before="0" w:after="0" w:lineRule="auto" w:line="240"/>
        <w:jc w:val="left"/>
      </w:pPr>
      <w:r/>
    </w:p>
    <w:p>
      <w:pPr>
        <w:spacing w:before="0" w:after="0" w:lineRule="auto" w:line="360"/>
        <w:jc w:val="center"/>
      </w:pPr>
      <w:r>
        <w:rPr>
          <w:rFonts w:eastAsia="黑体" w:ascii="Times New Roman" w:hAnsi="Times New Roman"/>
          <w:b/>
          <w:sz w:val="36"/>
        </w:rPr>
        <w:t>生存分析中保形预测方法的系统性研究</w:t>
      </w:r>
    </w:p>
    <w:p>
      <w:pPr>
        <w:spacing w:before="0" w:after="0" w:lineRule="auto" w:line="240"/>
        <w:jc w:val="left"/>
      </w:pPr>
      <w:r/>
    </w:p>
    <w:p>
      <w:pPr>
        <w:spacing w:before="0" w:after="0" w:lineRule="auto" w:line="360"/>
        <w:jc w:val="center"/>
      </w:pPr>
      <w:r>
        <w:rPr>
          <w:rFonts w:eastAsia="仿宋" w:ascii="Times New Roman" w:hAnsi="Times New Roman"/>
          <w:b w:val="0"/>
          <w:sz w:val="28"/>
        </w:rPr>
        <w:t>Systematic Study of Conformal Prediction Methods in Survival Analysis</w:t>
      </w:r>
    </w:p>
    <w:p>
      <w:pPr>
        <w:spacing w:before="0" w:after="0" w:lineRule="auto" w:line="240"/>
        <w:jc w:val="left"/>
      </w:pPr>
      <w:r/>
    </w:p>
    <w:p>
      <w:pPr>
        <w:spacing w:before="0" w:after="0" w:lineRule="auto" w:line="240"/>
        <w:jc w:val="left"/>
      </w:pPr>
      <w:r/>
    </w:p>
    <w:p>
      <w:pPr>
        <w:spacing w:before="0" w:after="0" w:lineRule="auto" w:line="240"/>
        <w:jc w:val="left"/>
      </w:pPr>
      <w:r/>
    </w:p>
    <w:p>
      <w:pPr>
        <w:spacing w:before="0" w:after="0" w:lineRule="auto" w:line="240"/>
        <w:jc w:val="left"/>
      </w:pPr>
      <w:r/>
    </w:p>
    <w:p>
      <w:pPr>
        <w:spacing w:before="0" w:after="0" w:lineRule="auto" w:line="480"/>
        <w:jc w:val="center"/>
      </w:pPr>
      <w:r>
        <w:rPr>
          <w:rFonts w:eastAsia="宋体" w:ascii="Times New Roman" w:hAnsi="Times New Roman"/>
          <w:b w:val="0"/>
          <w:sz w:val="28"/>
        </w:rPr>
        <w:t>作  者  学  号：3220101578</w:t>
      </w:r>
    </w:p>
    <w:p>
      <w:pPr>
        <w:spacing w:before="0" w:after="0" w:lineRule="auto" w:line="480"/>
        <w:jc w:val="center"/>
      </w:pPr>
      <w:r>
        <w:rPr>
          <w:rFonts w:eastAsia="宋体" w:ascii="Times New Roman" w:hAnsi="Times New Roman"/>
          <w:b w:val="0"/>
          <w:sz w:val="28"/>
        </w:rPr>
        <w:t>作  者  姓  名：贾  阳</w:t>
      </w:r>
    </w:p>
    <w:p>
      <w:pPr>
        <w:spacing w:before="0" w:after="0" w:lineRule="auto" w:line="480"/>
        <w:jc w:val="center"/>
      </w:pPr>
      <w:r>
        <w:rPr>
          <w:rFonts w:eastAsia="宋体" w:ascii="Times New Roman" w:hAnsi="Times New Roman"/>
          <w:b w:val="0"/>
          <w:sz w:val="28"/>
        </w:rPr>
        <w:t>指  导  教  师：汪利军</w:t>
      </w:r>
    </w:p>
    <w:p>
      <w:pPr>
        <w:spacing w:before="0" w:after="0" w:lineRule="auto" w:line="480"/>
        <w:jc w:val="center"/>
      </w:pPr>
      <w:r>
        <w:rPr>
          <w:rFonts w:eastAsia="宋体" w:ascii="Times New Roman" w:hAnsi="Times New Roman"/>
          <w:b w:val="0"/>
          <w:sz w:val="28"/>
        </w:rPr>
        <w:t>专           业：统计学</w:t>
      </w:r>
    </w:p>
    <w:p>
      <w:pPr>
        <w:spacing w:before="0" w:after="0" w:lineRule="auto" w:line="480"/>
        <w:jc w:val="center"/>
      </w:pPr>
      <w:r>
        <w:rPr>
          <w:rFonts w:eastAsia="宋体" w:ascii="Times New Roman" w:hAnsi="Times New Roman"/>
          <w:b w:val="0"/>
          <w:sz w:val="28"/>
        </w:rPr>
        <w:t>所  在  学  院：数学科学学院</w:t>
      </w:r>
    </w:p>
    <w:p>
      <w:pPr>
        <w:spacing w:before="0" w:after="0" w:lineRule="auto" w:line="480"/>
        <w:jc w:val="center"/>
      </w:pPr>
      <w:r>
        <w:rPr>
          <w:rFonts w:eastAsia="宋体" w:ascii="Times New Roman" w:hAnsi="Times New Roman"/>
          <w:b w:val="0"/>
          <w:sz w:val="28"/>
        </w:rPr>
        <w:t>完  成  日  期：2026 年 5 月</w:t>
      </w:r>
    </w:p>
    <w:p>
      <w:r>
        <w:br w:type="page"/>
      </w:r>
    </w:p>
    <w:p>
      <w:pPr>
        <w:spacing w:before="0" w:after="0" w:lineRule="auto" w:line="360"/>
        <w:jc w:val="center"/>
      </w:pPr>
      <w:r>
        <w:rPr>
          <w:rFonts w:eastAsia="仿宋" w:ascii="Times New Roman" w:hAnsi="Times New Roman"/>
          <w:b/>
          <w:sz w:val="32"/>
        </w:rPr>
        <w:t>摘  要</w:t>
      </w:r>
    </w:p>
    <w:p>
      <w:pPr>
        <w:spacing w:before="0" w:after="0" w:lineRule="auto" w:line="240"/>
        <w:jc w:val="left"/>
      </w:pPr>
      <w:r/>
    </w:p>
    <w:p>
      <w:pPr>
        <w:spacing w:before="0" w:after="0" w:lineRule="auto" w:line="360"/>
        <w:ind w:firstLine="480"/>
        <w:jc w:val="left"/>
      </w:pPr>
      <w:r>
        <w:rPr>
          <w:rFonts w:eastAsia="宋体" w:ascii="Times New Roman" w:hAnsi="Times New Roman"/>
          <w:b w:val="0"/>
          <w:sz w:val="24"/>
        </w:rPr>
        <w:t>生存分析是处理时变事件数据的核心统计方法，但传统方法在右删失场景下难以为个体提供具有严格覆盖保证的预测区间。本研究以保形化生存分析（Conformalized Survival Analysis，CSA）为核心，系统评估了Kaplan-Meier估计、Cox比例风险模型、Weibull回归模型及随机生存森林（RSF）与CSA框架的融合效果，并提出基于α阈值扫描的简单参数优化方案。</w:t>
      </w:r>
    </w:p>
    <w:p>
      <w:pPr>
        <w:spacing w:before="0" w:after="0" w:lineRule="auto" w:line="360"/>
        <w:ind w:firstLine="480"/>
        <w:jc w:val="left"/>
      </w:pPr>
      <w:r>
        <w:rPr>
          <w:rFonts w:eastAsia="宋体" w:ascii="Times New Roman" w:hAnsi="Times New Roman"/>
          <w:b w:val="0"/>
          <w:sz w:val="24"/>
        </w:rPr>
        <w:t>研究通过36组Weibull模拟数据（覆盖样本量100至2000、删失率10%至50%、协变量维度1至50、同质与异质风险结构）和Worcester心脏病研究数据集（WHAS500）进行实证分析，以90%目标覆盖率（α=0.10）为基准，计算各方法的实际覆盖率与平均预测下界（LPB）。结果显示：在模拟数据上，四种基础模型与CSA结合后的精确覆盖率均达到目标水平（KM=0.913，Cox=0.903，Weibull=0.906，RSF=0.907），验证了IPCW加权保形框架的有效性；在WHAS500真实数据上，全部方法的覆盖率下界均满足β_lo≥0.90，但不同模型在预测下界的信息量上差异显著——KM的平均LPB仅约17天，而Cox、Weibull、RSF分别达到169天、160天、199天。进一步的α阈值扫描分析（WHAS500：步长0.01，α从0.01至0.30共30个取值）表明：Cox和Weibull的最大有效阈值为α*=0.11，RSF为α*=0.12；对KM方法，覆盖保证可延伸至α*=0.27，此时平均LPB达268天（约为α=0.10时的16倍），临床参考价值显著提升。</w:t>
      </w:r>
    </w:p>
    <w:p>
      <w:pPr>
        <w:spacing w:before="0" w:after="0" w:lineRule="auto" w:line="360"/>
        <w:ind w:firstLine="480"/>
        <w:jc w:val="left"/>
      </w:pPr>
      <w:r>
        <w:rPr>
          <w:rFonts w:eastAsia="宋体" w:ascii="Times New Roman" w:hAnsi="Times New Roman"/>
          <w:b w:val="0"/>
          <w:sz w:val="24"/>
        </w:rPr>
        <w:t>本研究为基础CSA方法的场景选择与α参数设定提供了数据驱动的实证依据，所提出的阈值扫描方案简单易用、无需额外建模，可为基层研究人员在处理右删失生存数据时提供参考。</w:t>
      </w:r>
    </w:p>
    <w:p>
      <w:pPr>
        <w:spacing w:before="0" w:after="0" w:lineRule="auto" w:line="240"/>
        <w:jc w:val="left"/>
      </w:pPr>
      <w:r/>
    </w:p>
    <w:p>
      <w:pPr>
        <w:spacing w:before="0" w:after="0" w:lineRule="auto" w:line="360"/>
        <w:jc w:val="left"/>
      </w:pPr>
      <w:r>
        <w:rPr>
          <w:rFonts w:eastAsia="黑体" w:ascii="Times New Roman" w:hAnsi="Times New Roman"/>
          <w:b/>
          <w:sz w:val="24"/>
        </w:rPr>
        <w:t>关键词：</w:t>
      </w:r>
      <w:r>
        <w:rPr>
          <w:rFonts w:eastAsia="宋体" w:ascii="Times New Roman" w:hAnsi="Times New Roman"/>
          <w:b w:val="0"/>
          <w:sz w:val="24"/>
        </w:rPr>
        <w:t>保形预测；生存分析；右删失数据；预测区间；覆盖保证；阈值优化</w:t>
      </w:r>
    </w:p>
    <w:p>
      <w:r>
        <w:br w:type="page"/>
      </w:r>
    </w:p>
    <w:p>
      <w:pPr>
        <w:spacing w:before="0" w:after="0" w:lineRule="auto" w:line="360"/>
        <w:jc w:val="center"/>
      </w:pPr>
      <w:r>
        <w:rPr>
          <w:rFonts w:eastAsia="仿宋" w:ascii="Times New Roman" w:hAnsi="Times New Roman"/>
          <w:b/>
          <w:sz w:val="32"/>
        </w:rPr>
        <w:t>Abstract</w:t>
      </w:r>
    </w:p>
    <w:p>
      <w:pPr>
        <w:spacing w:before="0" w:after="0" w:lineRule="auto" w:line="240"/>
        <w:jc w:val="left"/>
      </w:pPr>
      <w:r/>
    </w:p>
    <w:p>
      <w:pPr>
        <w:spacing w:before="0" w:after="0" w:lineRule="auto" w:line="360"/>
        <w:ind w:firstLine="480"/>
        <w:jc w:val="left"/>
      </w:pPr>
      <w:r>
        <w:rPr>
          <w:rFonts w:eastAsia="宋体" w:ascii="Times New Roman" w:hAnsi="Times New Roman"/>
          <w:b w:val="0"/>
          <w:sz w:val="24"/>
        </w:rPr>
        <w:t>Survival analysis is a fundamental statistical methodology for analyzing time-to-event data. However, traditional methods struggle to provide individual prediction intervals with rigorous coverage guarantees in the presence of right censoring. This study focuses on Conformalized Survival Analysis (CSA) and systematically evaluates the integration of four classical survival models -- the Kaplan-Meier estimator, Cox proportional hazards model, Weibull regression, and Random Survival Forest (RSF) -- with the CSA framework. A simple alpha-threshold sweep procedure is further proposed as a practical parameter optimization strategy.</w:t>
      </w:r>
    </w:p>
    <w:p>
      <w:pPr>
        <w:spacing w:before="0" w:after="0" w:lineRule="auto" w:line="360"/>
        <w:ind w:firstLine="480"/>
        <w:jc w:val="left"/>
      </w:pPr>
      <w:r>
        <w:rPr>
          <w:rFonts w:eastAsia="宋体" w:ascii="Times New Roman" w:hAnsi="Times New Roman"/>
          <w:b w:val="0"/>
          <w:sz w:val="24"/>
        </w:rPr>
        <w:t>Empirical analyses were conducted using 36 groups of Weibull-generated simulation datasets (covering sample sizes 100-2000, censoring rates 10%-50%, covariate dimensions 1-50, and both homogeneous and heterogeneous hazard structures) and the Worcester Heart Attack Study dataset (WHAS500). Under a target coverage rate of 90% (alpha=0.10), exact empirical coverage rates and mean lower prediction bounds (LPBs) were computed for each method. On simulated data, all four methods achieved coverage at or above the target level (KM=0.913, Cox=0.903, Weibull=0.906, RSF=0.907), validating the effectiveness of the IPCW-weighted conformal framework. On WHAS500, all methods maintained the coverage guarantee (beta_lo &gt;= 0.90), yet exhibited significant differences in prediction informativeness: KM's mean LPB was only approximately 17 days, while Cox, Weibull, and RSF achieved 169, 160, and 199 days respectively.</w:t>
      </w:r>
    </w:p>
    <w:p>
      <w:pPr>
        <w:spacing w:before="0" w:after="0" w:lineRule="auto" w:line="360"/>
        <w:ind w:firstLine="480"/>
        <w:jc w:val="left"/>
      </w:pPr>
      <w:r>
        <w:rPr>
          <w:rFonts w:eastAsia="宋体" w:ascii="Times New Roman" w:hAnsi="Times New Roman"/>
          <w:b w:val="0"/>
          <w:sz w:val="24"/>
        </w:rPr>
        <w:t>The alpha-threshold sweep analysis (WHAS500: step size 0.01, alpha from 0.01 to 0.30, 30 values) revealed model-specific optimal thresholds: Cox and Weibull achieve their maximum valid alpha at alpha*=0.11, RSF at alpha*=0.12, while KM's coverage guarantee extends to alpha*=0.27 -- at which point the mean LPB reaches 268 days (approximately 16 times that at alpha=0.10), yielding substantially greater clinical informativeness. This study provides empirical evidence for method selection and alpha parameter calibration in basic CSA applications. The proposed threshold sweep procedure requires no additional modeling and is straightforward to implement.</w:t>
      </w:r>
    </w:p>
    <w:p>
      <w:pPr>
        <w:spacing w:before="0" w:after="0" w:lineRule="auto" w:line="240"/>
        <w:jc w:val="left"/>
      </w:pPr>
      <w:r/>
    </w:p>
    <w:p>
      <w:pPr>
        <w:spacing w:before="0" w:after="0" w:lineRule="auto" w:line="360"/>
        <w:jc w:val="left"/>
      </w:pPr>
      <w:r>
        <w:rPr>
          <w:rFonts w:eastAsia="宋体" w:ascii="Times New Roman" w:hAnsi="Times New Roman"/>
          <w:b/>
          <w:sz w:val="24"/>
        </w:rPr>
        <w:t xml:space="preserve">Keywords: </w:t>
      </w:r>
      <w:r>
        <w:rPr>
          <w:rFonts w:eastAsia="宋体" w:ascii="Times New Roman" w:hAnsi="Times New Roman"/>
          <w:b w:val="0"/>
          <w:sz w:val="24"/>
        </w:rPr>
        <w:t>conformal prediction; survival analysis; right-censored data; prediction interval; coverage guarantee; threshold optimization</w:t>
      </w:r>
    </w:p>
    <w:p>
      <w:r>
        <w:br w:type="page"/>
      </w:r>
    </w:p>
    <w:p>
      <w:pPr>
        <w:spacing w:before="0" w:after="0" w:lineRule="auto" w:line="360"/>
        <w:jc w:val="center"/>
      </w:pPr>
      <w:r>
        <w:rPr>
          <w:rFonts w:eastAsia="仿宋" w:ascii="Times New Roman" w:hAnsi="Times New Roman"/>
          <w:b/>
          <w:sz w:val="32"/>
        </w:rPr>
        <w:t>目  录</w:t>
      </w:r>
    </w:p>
    <w:p>
      <w:pPr>
        <w:spacing w:before="0" w:after="0" w:lineRule="auto" w:line="240"/>
        <w:jc w:val="left"/>
      </w:pPr>
      <w:r/>
    </w:p>
    <w:p>
      <w:pPr>
        <w:pStyle w:val="toc1"/>
        <w:ind w:left="0"/>
        <w:tabs>
          <w:tab w:val="right" w:leader="dot" w:pos="9355"/>
        </w:tabs>
        <w:spacing w:before="0" w:after="0" w:line="360" w:lineRule="auto"/>
      </w:pPr>
      <w:r>
        <w:rPr>
          <w:rFonts w:eastAsia="宋体" w:ascii="Times New Roman" w:hAnsi="Times New Roman"/>
          <w:b/>
          <w:sz w:val="21"/>
        </w:rPr>
        <w:t>1  绪论</w:t>
      </w:r>
      <w:r>
        <w:tab/>
      </w:r>
      <w:r>
        <w:rPr>
          <w:rFonts w:eastAsia="宋体" w:ascii="Times New Roman" w:hAnsi="Times New Roman"/>
          <w:b/>
          <w:sz w:val="21"/>
        </w:rPr>
        <w:t>1</w:t>
      </w:r>
    </w:p>
    <w:p>
      <w:pPr>
        <w:pStyle w:val="toc2"/>
        <w:ind w:left="420"/>
        <w:tabs>
          <w:tab w:val="right" w:leader="dot" w:pos="9355"/>
        </w:tabs>
        <w:spacing w:before="0" w:after="0" w:line="360" w:lineRule="auto"/>
      </w:pPr>
      <w:r>
        <w:rPr>
          <w:rFonts w:eastAsia="宋体" w:ascii="Times New Roman" w:hAnsi="Times New Roman"/>
          <w:b w:val="0"/>
          <w:sz w:val="21"/>
        </w:rPr>
        <w:t>1.1  研究背景</w:t>
      </w:r>
      <w:r>
        <w:tab/>
      </w:r>
      <w:r>
        <w:rPr>
          <w:rFonts w:eastAsia="宋体" w:ascii="Times New Roman" w:hAnsi="Times New Roman"/>
          <w:b w:val="0"/>
          <w:sz w:val="21"/>
        </w:rPr>
        <w:t>1</w:t>
      </w:r>
    </w:p>
    <w:p>
      <w:pPr>
        <w:pStyle w:val="toc2"/>
        <w:ind w:left="420"/>
        <w:tabs>
          <w:tab w:val="right" w:leader="dot" w:pos="9355"/>
        </w:tabs>
        <w:spacing w:before="0" w:after="0" w:line="360" w:lineRule="auto"/>
      </w:pPr>
      <w:r>
        <w:rPr>
          <w:rFonts w:eastAsia="宋体" w:ascii="Times New Roman" w:hAnsi="Times New Roman"/>
          <w:b w:val="0"/>
          <w:sz w:val="21"/>
        </w:rPr>
        <w:t>1.2  研究意义</w:t>
      </w:r>
      <w:r>
        <w:tab/>
      </w:r>
      <w:r>
        <w:rPr>
          <w:rFonts w:eastAsia="宋体" w:ascii="Times New Roman" w:hAnsi="Times New Roman"/>
          <w:b w:val="0"/>
          <w:sz w:val="21"/>
        </w:rPr>
        <w:t>2</w:t>
      </w:r>
    </w:p>
    <w:p>
      <w:pPr>
        <w:pStyle w:val="toc2"/>
        <w:ind w:left="420"/>
        <w:tabs>
          <w:tab w:val="right" w:leader="dot" w:pos="9355"/>
        </w:tabs>
        <w:spacing w:before="0" w:after="0" w:line="360" w:lineRule="auto"/>
      </w:pPr>
      <w:r>
        <w:rPr>
          <w:rFonts w:eastAsia="宋体" w:ascii="Times New Roman" w:hAnsi="Times New Roman"/>
          <w:b w:val="0"/>
          <w:sz w:val="21"/>
        </w:rPr>
        <w:t>1.3  国内外研究现状</w:t>
      </w:r>
      <w:r>
        <w:tab/>
      </w:r>
      <w:r>
        <w:rPr>
          <w:rFonts w:eastAsia="宋体" w:ascii="Times New Roman" w:hAnsi="Times New Roman"/>
          <w:b w:val="0"/>
          <w:sz w:val="21"/>
        </w:rPr>
        <w:t>2</w:t>
      </w:r>
    </w:p>
    <w:p>
      <w:pPr>
        <w:pStyle w:val="toc2"/>
        <w:ind w:left="420"/>
        <w:tabs>
          <w:tab w:val="right" w:leader="dot" w:pos="9355"/>
        </w:tabs>
        <w:spacing w:before="0" w:after="0" w:line="360" w:lineRule="auto"/>
      </w:pPr>
      <w:r>
        <w:rPr>
          <w:rFonts w:eastAsia="宋体" w:ascii="Times New Roman" w:hAnsi="Times New Roman"/>
          <w:b w:val="0"/>
          <w:sz w:val="21"/>
        </w:rPr>
        <w:t>1.4  研究内容与结构安排</w:t>
      </w:r>
      <w:r>
        <w:tab/>
      </w:r>
      <w:r>
        <w:rPr>
          <w:rFonts w:eastAsia="宋体" w:ascii="Times New Roman" w:hAnsi="Times New Roman"/>
          <w:b w:val="0"/>
          <w:sz w:val="21"/>
        </w:rPr>
        <w:t>3</w:t>
      </w:r>
    </w:p>
    <w:p>
      <w:pPr>
        <w:pStyle w:val="toc1"/>
        <w:ind w:left="0"/>
        <w:tabs>
          <w:tab w:val="right" w:leader="dot" w:pos="9355"/>
        </w:tabs>
        <w:spacing w:before="0" w:after="0" w:line="360" w:lineRule="auto"/>
      </w:pPr>
      <w:r>
        <w:rPr>
          <w:rFonts w:eastAsia="宋体" w:ascii="Times New Roman" w:hAnsi="Times New Roman"/>
          <w:b/>
          <w:sz w:val="21"/>
        </w:rPr>
        <w:t>2  理论基础</w:t>
      </w:r>
      <w:r>
        <w:tab/>
      </w:r>
      <w:r>
        <w:rPr>
          <w:rFonts w:eastAsia="宋体" w:ascii="Times New Roman" w:hAnsi="Times New Roman"/>
          <w:b/>
          <w:sz w:val="21"/>
        </w:rPr>
        <w:t>4</w:t>
      </w:r>
    </w:p>
    <w:p>
      <w:pPr>
        <w:pStyle w:val="toc2"/>
        <w:ind w:left="420"/>
        <w:tabs>
          <w:tab w:val="right" w:leader="dot" w:pos="9355"/>
        </w:tabs>
        <w:spacing w:before="0" w:after="0" w:line="360" w:lineRule="auto"/>
      </w:pPr>
      <w:r>
        <w:rPr>
          <w:rFonts w:eastAsia="宋体" w:ascii="Times New Roman" w:hAnsi="Times New Roman"/>
          <w:b w:val="0"/>
          <w:sz w:val="21"/>
        </w:rPr>
        <w:t>2.1  生存分析基本概念</w:t>
      </w:r>
      <w:r>
        <w:tab/>
      </w:r>
      <w:r>
        <w:rPr>
          <w:rFonts w:eastAsia="宋体" w:ascii="Times New Roman" w:hAnsi="Times New Roman"/>
          <w:b w:val="0"/>
          <w:sz w:val="21"/>
        </w:rPr>
        <w:t>4</w:t>
      </w:r>
    </w:p>
    <w:p>
      <w:pPr>
        <w:pStyle w:val="toc2"/>
        <w:ind w:left="420"/>
        <w:tabs>
          <w:tab w:val="right" w:leader="dot" w:pos="9355"/>
        </w:tabs>
        <w:spacing w:before="0" w:after="0" w:line="360" w:lineRule="auto"/>
      </w:pPr>
      <w:r>
        <w:rPr>
          <w:rFonts w:eastAsia="宋体" w:ascii="Times New Roman" w:hAnsi="Times New Roman"/>
          <w:b w:val="0"/>
          <w:sz w:val="21"/>
        </w:rPr>
        <w:t>2.2  经典生存分析方法</w:t>
      </w:r>
      <w:r>
        <w:tab/>
      </w:r>
      <w:r>
        <w:rPr>
          <w:rFonts w:eastAsia="宋体" w:ascii="Times New Roman" w:hAnsi="Times New Roman"/>
          <w:b w:val="0"/>
          <w:sz w:val="21"/>
        </w:rPr>
        <w:t>4</w:t>
      </w:r>
    </w:p>
    <w:p>
      <w:pPr>
        <w:pStyle w:val="toc3"/>
        <w:ind w:left="840"/>
        <w:tabs>
          <w:tab w:val="right" w:leader="dot" w:pos="9355"/>
        </w:tabs>
        <w:spacing w:before="0" w:after="0" w:line="360" w:lineRule="auto"/>
      </w:pPr>
      <w:r>
        <w:rPr>
          <w:rFonts w:eastAsia="宋体" w:ascii="Times New Roman" w:hAnsi="Times New Roman"/>
          <w:b w:val="0"/>
          <w:sz w:val="21"/>
        </w:rPr>
        <w:t>2.2.1  Kaplan-Meier估计</w:t>
      </w:r>
      <w:r>
        <w:tab/>
      </w:r>
      <w:r>
        <w:rPr>
          <w:rFonts w:eastAsia="宋体" w:ascii="Times New Roman" w:hAnsi="Times New Roman"/>
          <w:b w:val="0"/>
          <w:sz w:val="21"/>
        </w:rPr>
        <w:t>4</w:t>
      </w:r>
    </w:p>
    <w:p>
      <w:pPr>
        <w:pStyle w:val="toc3"/>
        <w:ind w:left="840"/>
        <w:tabs>
          <w:tab w:val="right" w:leader="dot" w:pos="9355"/>
        </w:tabs>
        <w:spacing w:before="0" w:after="0" w:line="360" w:lineRule="auto"/>
      </w:pPr>
      <w:r>
        <w:rPr>
          <w:rFonts w:eastAsia="宋体" w:ascii="Times New Roman" w:hAnsi="Times New Roman"/>
          <w:b w:val="0"/>
          <w:sz w:val="21"/>
        </w:rPr>
        <w:t>2.2.2  Cox比例风险模型</w:t>
      </w:r>
      <w:r>
        <w:tab/>
      </w:r>
      <w:r>
        <w:rPr>
          <w:rFonts w:eastAsia="宋体" w:ascii="Times New Roman" w:hAnsi="Times New Roman"/>
          <w:b w:val="0"/>
          <w:sz w:val="21"/>
        </w:rPr>
        <w:t>5</w:t>
      </w:r>
    </w:p>
    <w:p>
      <w:pPr>
        <w:pStyle w:val="toc3"/>
        <w:ind w:left="840"/>
        <w:tabs>
          <w:tab w:val="right" w:leader="dot" w:pos="9355"/>
        </w:tabs>
        <w:spacing w:before="0" w:after="0" w:line="360" w:lineRule="auto"/>
      </w:pPr>
      <w:r>
        <w:rPr>
          <w:rFonts w:eastAsia="宋体" w:ascii="Times New Roman" w:hAnsi="Times New Roman"/>
          <w:b w:val="0"/>
          <w:sz w:val="21"/>
        </w:rPr>
        <w:t>2.2.3  Weibull参数模型</w:t>
      </w:r>
      <w:r>
        <w:tab/>
      </w:r>
      <w:r>
        <w:rPr>
          <w:rFonts w:eastAsia="宋体" w:ascii="Times New Roman" w:hAnsi="Times New Roman"/>
          <w:b w:val="0"/>
          <w:sz w:val="21"/>
        </w:rPr>
        <w:t>6</w:t>
      </w:r>
    </w:p>
    <w:p>
      <w:pPr>
        <w:pStyle w:val="toc3"/>
        <w:ind w:left="840"/>
        <w:tabs>
          <w:tab w:val="right" w:leader="dot" w:pos="9355"/>
        </w:tabs>
        <w:spacing w:before="0" w:after="0" w:line="360" w:lineRule="auto"/>
      </w:pPr>
      <w:r>
        <w:rPr>
          <w:rFonts w:eastAsia="宋体" w:ascii="Times New Roman" w:hAnsi="Times New Roman"/>
          <w:b w:val="0"/>
          <w:sz w:val="21"/>
        </w:rPr>
        <w:t>2.2.4  随机生存森林</w:t>
      </w:r>
      <w:r>
        <w:tab/>
      </w:r>
      <w:r>
        <w:rPr>
          <w:rFonts w:eastAsia="宋体" w:ascii="Times New Roman" w:hAnsi="Times New Roman"/>
          <w:b w:val="0"/>
          <w:sz w:val="21"/>
        </w:rPr>
        <w:t>6</w:t>
      </w:r>
    </w:p>
    <w:p>
      <w:pPr>
        <w:pStyle w:val="toc2"/>
        <w:ind w:left="420"/>
        <w:tabs>
          <w:tab w:val="right" w:leader="dot" w:pos="9355"/>
        </w:tabs>
        <w:spacing w:before="0" w:after="0" w:line="360" w:lineRule="auto"/>
      </w:pPr>
      <w:r>
        <w:rPr>
          <w:rFonts w:eastAsia="宋体" w:ascii="Times New Roman" w:hAnsi="Times New Roman"/>
          <w:b w:val="0"/>
          <w:sz w:val="21"/>
        </w:rPr>
        <w:t>2.3  保形预测基础理论</w:t>
      </w:r>
      <w:r>
        <w:tab/>
      </w:r>
      <w:r>
        <w:rPr>
          <w:rFonts w:eastAsia="宋体" w:ascii="Times New Roman" w:hAnsi="Times New Roman"/>
          <w:b w:val="0"/>
          <w:sz w:val="21"/>
        </w:rPr>
        <w:t>7</w:t>
      </w:r>
    </w:p>
    <w:p>
      <w:pPr>
        <w:pStyle w:val="toc3"/>
        <w:ind w:left="840"/>
        <w:tabs>
          <w:tab w:val="right" w:leader="dot" w:pos="9355"/>
        </w:tabs>
        <w:spacing w:before="0" w:after="0" w:line="360" w:lineRule="auto"/>
      </w:pPr>
      <w:r>
        <w:rPr>
          <w:rFonts w:eastAsia="宋体" w:ascii="Times New Roman" w:hAnsi="Times New Roman"/>
          <w:b w:val="0"/>
          <w:sz w:val="21"/>
        </w:rPr>
        <w:t>2.3.1  核心思想与基本框架</w:t>
      </w:r>
      <w:r>
        <w:tab/>
      </w:r>
      <w:r>
        <w:rPr>
          <w:rFonts w:eastAsia="宋体" w:ascii="Times New Roman" w:hAnsi="Times New Roman"/>
          <w:b w:val="0"/>
          <w:sz w:val="21"/>
        </w:rPr>
        <w:t>7</w:t>
      </w:r>
    </w:p>
    <w:p>
      <w:pPr>
        <w:pStyle w:val="toc3"/>
        <w:ind w:left="840"/>
        <w:tabs>
          <w:tab w:val="right" w:leader="dot" w:pos="9355"/>
        </w:tabs>
        <w:spacing w:before="0" w:after="0" w:line="360" w:lineRule="auto"/>
      </w:pPr>
      <w:r>
        <w:rPr>
          <w:rFonts w:eastAsia="宋体" w:ascii="Times New Roman" w:hAnsi="Times New Roman"/>
          <w:b w:val="0"/>
          <w:sz w:val="21"/>
        </w:rPr>
        <w:t>2.3.2  分位数保证原理</w:t>
      </w:r>
      <w:r>
        <w:tab/>
      </w:r>
      <w:r>
        <w:rPr>
          <w:rFonts w:eastAsia="宋体" w:ascii="Times New Roman" w:hAnsi="Times New Roman"/>
          <w:b w:val="0"/>
          <w:sz w:val="21"/>
        </w:rPr>
        <w:t>8</w:t>
      </w:r>
    </w:p>
    <w:p>
      <w:pPr>
        <w:pStyle w:val="toc2"/>
        <w:ind w:left="420"/>
        <w:tabs>
          <w:tab w:val="right" w:leader="dot" w:pos="9355"/>
        </w:tabs>
        <w:spacing w:before="0" w:after="0" w:line="360" w:lineRule="auto"/>
      </w:pPr>
      <w:r>
        <w:rPr>
          <w:rFonts w:eastAsia="宋体" w:ascii="Times New Roman" w:hAnsi="Times New Roman"/>
          <w:b w:val="0"/>
          <w:sz w:val="21"/>
        </w:rPr>
        <w:t>2.4  保形化生存分析（CSA）框架</w:t>
      </w:r>
      <w:r>
        <w:tab/>
      </w:r>
      <w:r>
        <w:rPr>
          <w:rFonts w:eastAsia="宋体" w:ascii="Times New Roman" w:hAnsi="Times New Roman"/>
          <w:b w:val="0"/>
          <w:sz w:val="21"/>
        </w:rPr>
        <w:t>8</w:t>
      </w:r>
    </w:p>
    <w:p>
      <w:pPr>
        <w:pStyle w:val="toc3"/>
        <w:ind w:left="840"/>
        <w:tabs>
          <w:tab w:val="right" w:leader="dot" w:pos="9355"/>
        </w:tabs>
        <w:spacing w:before="0" w:after="0" w:line="360" w:lineRule="auto"/>
      </w:pPr>
      <w:r>
        <w:rPr>
          <w:rFonts w:eastAsia="宋体" w:ascii="Times New Roman" w:hAnsi="Times New Roman"/>
          <w:b w:val="0"/>
          <w:sz w:val="21"/>
        </w:rPr>
        <w:t>2.4.1  非一致性得分与预测下界</w:t>
      </w:r>
      <w:r>
        <w:tab/>
      </w:r>
      <w:r>
        <w:rPr>
          <w:rFonts w:eastAsia="宋体" w:ascii="Times New Roman" w:hAnsi="Times New Roman"/>
          <w:b w:val="0"/>
          <w:sz w:val="21"/>
        </w:rPr>
        <w:t>8</w:t>
      </w:r>
    </w:p>
    <w:p>
      <w:pPr>
        <w:pStyle w:val="toc3"/>
        <w:ind w:left="840"/>
        <w:tabs>
          <w:tab w:val="right" w:leader="dot" w:pos="9355"/>
        </w:tabs>
        <w:spacing w:before="0" w:after="0" w:line="360" w:lineRule="auto"/>
      </w:pPr>
      <w:r>
        <w:rPr>
          <w:rFonts w:eastAsia="宋体" w:ascii="Times New Roman" w:hAnsi="Times New Roman"/>
          <w:b w:val="0"/>
          <w:sz w:val="21"/>
        </w:rPr>
        <w:t>2.4.2  右删失数据的处理：IPCW加权</w:t>
      </w:r>
      <w:r>
        <w:tab/>
      </w:r>
      <w:r>
        <w:rPr>
          <w:rFonts w:eastAsia="宋体" w:ascii="Times New Roman" w:hAnsi="Times New Roman"/>
          <w:b w:val="0"/>
          <w:sz w:val="21"/>
        </w:rPr>
        <w:t>9</w:t>
      </w:r>
    </w:p>
    <w:p>
      <w:pPr>
        <w:pStyle w:val="toc3"/>
        <w:ind w:left="840"/>
        <w:tabs>
          <w:tab w:val="right" w:leader="dot" w:pos="9355"/>
        </w:tabs>
        <w:spacing w:before="0" w:after="0" w:line="360" w:lineRule="auto"/>
      </w:pPr>
      <w:r>
        <w:rPr>
          <w:rFonts w:eastAsia="宋体" w:ascii="Times New Roman" w:hAnsi="Times New Roman"/>
          <w:b w:val="0"/>
          <w:sz w:val="21"/>
        </w:rPr>
        <w:t>2.4.3  覆盖率保证</w:t>
      </w:r>
      <w:r>
        <w:tab/>
      </w:r>
      <w:r>
        <w:rPr>
          <w:rFonts w:eastAsia="宋体" w:ascii="Times New Roman" w:hAnsi="Times New Roman"/>
          <w:b w:val="0"/>
          <w:sz w:val="21"/>
        </w:rPr>
        <w:t>9</w:t>
      </w:r>
    </w:p>
    <w:p>
      <w:pPr>
        <w:pStyle w:val="toc1"/>
        <w:ind w:left="0"/>
        <w:tabs>
          <w:tab w:val="right" w:leader="dot" w:pos="9355"/>
        </w:tabs>
        <w:spacing w:before="0" w:after="0" w:line="360" w:lineRule="auto"/>
      </w:pPr>
      <w:r>
        <w:rPr>
          <w:rFonts w:eastAsia="宋体" w:ascii="Times New Roman" w:hAnsi="Times New Roman"/>
          <w:b/>
          <w:sz w:val="21"/>
        </w:rPr>
        <w:t>3  研究设计</w:t>
      </w:r>
      <w:r>
        <w:tab/>
      </w:r>
      <w:r>
        <w:rPr>
          <w:rFonts w:eastAsia="宋体" w:ascii="Times New Roman" w:hAnsi="Times New Roman"/>
          <w:b/>
          <w:sz w:val="21"/>
        </w:rPr>
        <w:t>10</w:t>
      </w:r>
    </w:p>
    <w:p>
      <w:pPr>
        <w:pStyle w:val="toc2"/>
        <w:ind w:left="420"/>
        <w:tabs>
          <w:tab w:val="right" w:leader="dot" w:pos="9355"/>
        </w:tabs>
        <w:spacing w:before="0" w:after="0" w:line="360" w:lineRule="auto"/>
      </w:pPr>
      <w:r>
        <w:rPr>
          <w:rFonts w:eastAsia="宋体" w:ascii="Times New Roman" w:hAnsi="Times New Roman"/>
          <w:b w:val="0"/>
          <w:sz w:val="21"/>
        </w:rPr>
        <w:t>3.1  模拟数据设计</w:t>
      </w:r>
      <w:r>
        <w:tab/>
      </w:r>
      <w:r>
        <w:rPr>
          <w:rFonts w:eastAsia="宋体" w:ascii="Times New Roman" w:hAnsi="Times New Roman"/>
          <w:b w:val="0"/>
          <w:sz w:val="21"/>
        </w:rPr>
        <w:t>10</w:t>
      </w:r>
    </w:p>
    <w:p>
      <w:pPr>
        <w:pStyle w:val="toc2"/>
        <w:ind w:left="420"/>
        <w:tabs>
          <w:tab w:val="right" w:leader="dot" w:pos="9355"/>
        </w:tabs>
        <w:spacing w:before="0" w:after="0" w:line="360" w:lineRule="auto"/>
      </w:pPr>
      <w:r>
        <w:rPr>
          <w:rFonts w:eastAsia="宋体" w:ascii="Times New Roman" w:hAnsi="Times New Roman"/>
          <w:b w:val="0"/>
          <w:sz w:val="21"/>
        </w:rPr>
        <w:t>3.2  真实数据介绍：WHAS500</w:t>
      </w:r>
      <w:r>
        <w:tab/>
      </w:r>
      <w:r>
        <w:rPr>
          <w:rFonts w:eastAsia="宋体" w:ascii="Times New Roman" w:hAnsi="Times New Roman"/>
          <w:b w:val="0"/>
          <w:sz w:val="21"/>
        </w:rPr>
        <w:t>11</w:t>
      </w:r>
    </w:p>
    <w:p>
      <w:pPr>
        <w:pStyle w:val="toc2"/>
        <w:ind w:left="420"/>
        <w:tabs>
          <w:tab w:val="right" w:leader="dot" w:pos="9355"/>
        </w:tabs>
        <w:spacing w:before="0" w:after="0" w:line="360" w:lineRule="auto"/>
      </w:pPr>
      <w:r>
        <w:rPr>
          <w:rFonts w:eastAsia="宋体" w:ascii="Times New Roman" w:hAnsi="Times New Roman"/>
          <w:b w:val="0"/>
          <w:sz w:val="21"/>
        </w:rPr>
        <w:t>3.3  模型实现方案</w:t>
      </w:r>
      <w:r>
        <w:tab/>
      </w:r>
      <w:r>
        <w:rPr>
          <w:rFonts w:eastAsia="宋体" w:ascii="Times New Roman" w:hAnsi="Times New Roman"/>
          <w:b w:val="0"/>
          <w:sz w:val="21"/>
        </w:rPr>
        <w:t>12</w:t>
      </w:r>
    </w:p>
    <w:p>
      <w:pPr>
        <w:pStyle w:val="toc2"/>
        <w:ind w:left="420"/>
        <w:tabs>
          <w:tab w:val="right" w:leader="dot" w:pos="9355"/>
        </w:tabs>
        <w:spacing w:before="0" w:after="0" w:line="360" w:lineRule="auto"/>
      </w:pPr>
      <w:r>
        <w:rPr>
          <w:rFonts w:eastAsia="宋体" w:ascii="Times New Roman" w:hAnsi="Times New Roman"/>
          <w:b w:val="0"/>
          <w:sz w:val="21"/>
        </w:rPr>
        <w:t>3.4  评估指标体系</w:t>
      </w:r>
      <w:r>
        <w:tab/>
      </w:r>
      <w:r>
        <w:rPr>
          <w:rFonts w:eastAsia="宋体" w:ascii="Times New Roman" w:hAnsi="Times New Roman"/>
          <w:b w:val="0"/>
          <w:sz w:val="21"/>
        </w:rPr>
        <w:t>12</w:t>
      </w:r>
    </w:p>
    <w:p>
      <w:pPr>
        <w:pStyle w:val="toc1"/>
        <w:ind w:left="0"/>
        <w:tabs>
          <w:tab w:val="right" w:leader="dot" w:pos="9355"/>
        </w:tabs>
        <w:spacing w:before="0" w:after="0" w:line="360" w:lineRule="auto"/>
      </w:pPr>
      <w:r>
        <w:rPr>
          <w:rFonts w:eastAsia="宋体" w:ascii="Times New Roman" w:hAnsi="Times New Roman"/>
          <w:b/>
          <w:sz w:val="21"/>
        </w:rPr>
        <w:t>4  实证分析</w:t>
      </w:r>
      <w:r>
        <w:tab/>
      </w:r>
      <w:r>
        <w:rPr>
          <w:rFonts w:eastAsia="宋体" w:ascii="Times New Roman" w:hAnsi="Times New Roman"/>
          <w:b/>
          <w:sz w:val="21"/>
        </w:rPr>
        <w:t>13</w:t>
      </w:r>
    </w:p>
    <w:p>
      <w:pPr>
        <w:pStyle w:val="toc2"/>
        <w:ind w:left="420"/>
        <w:tabs>
          <w:tab w:val="right" w:leader="dot" w:pos="9355"/>
        </w:tabs>
        <w:spacing w:before="0" w:after="0" w:line="360" w:lineRule="auto"/>
      </w:pPr>
      <w:r>
        <w:rPr>
          <w:rFonts w:eastAsia="宋体" w:ascii="Times New Roman" w:hAnsi="Times New Roman"/>
          <w:b w:val="0"/>
          <w:sz w:val="21"/>
        </w:rPr>
        <w:t>4.1  基础模型拟合结果</w:t>
      </w:r>
      <w:r>
        <w:tab/>
      </w:r>
      <w:r>
        <w:rPr>
          <w:rFonts w:eastAsia="宋体" w:ascii="Times New Roman" w:hAnsi="Times New Roman"/>
          <w:b w:val="0"/>
          <w:sz w:val="21"/>
        </w:rPr>
        <w:t>13</w:t>
      </w:r>
    </w:p>
    <w:p>
      <w:pPr>
        <w:pStyle w:val="toc2"/>
        <w:ind w:left="420"/>
        <w:tabs>
          <w:tab w:val="right" w:leader="dot" w:pos="9355"/>
        </w:tabs>
        <w:spacing w:before="0" w:after="0" w:line="360" w:lineRule="auto"/>
      </w:pPr>
      <w:r>
        <w:rPr>
          <w:rFonts w:eastAsia="宋体" w:ascii="Times New Roman" w:hAnsi="Times New Roman"/>
          <w:b w:val="0"/>
          <w:sz w:val="21"/>
        </w:rPr>
        <w:t>4.2  模拟数据CSA实验结果</w:t>
      </w:r>
      <w:r>
        <w:tab/>
      </w:r>
      <w:r>
        <w:rPr>
          <w:rFonts w:eastAsia="宋体" w:ascii="Times New Roman" w:hAnsi="Times New Roman"/>
          <w:b w:val="0"/>
          <w:sz w:val="21"/>
        </w:rPr>
        <w:t>14</w:t>
      </w:r>
    </w:p>
    <w:p>
      <w:pPr>
        <w:pStyle w:val="toc3"/>
        <w:ind w:left="840"/>
        <w:tabs>
          <w:tab w:val="right" w:leader="dot" w:pos="9355"/>
        </w:tabs>
        <w:spacing w:before="0" w:after="0" w:line="360" w:lineRule="auto"/>
      </w:pPr>
      <w:r>
        <w:rPr>
          <w:rFonts w:eastAsia="宋体" w:ascii="Times New Roman" w:hAnsi="Times New Roman"/>
          <w:b w:val="0"/>
          <w:sz w:val="21"/>
        </w:rPr>
        <w:t>4.2.1  整体覆盖率表现</w:t>
      </w:r>
      <w:r>
        <w:tab/>
      </w:r>
      <w:r>
        <w:rPr>
          <w:rFonts w:eastAsia="宋体" w:ascii="Times New Roman" w:hAnsi="Times New Roman"/>
          <w:b w:val="0"/>
          <w:sz w:val="21"/>
        </w:rPr>
        <w:t>14</w:t>
      </w:r>
    </w:p>
    <w:p>
      <w:pPr>
        <w:pStyle w:val="toc3"/>
        <w:ind w:left="840"/>
        <w:tabs>
          <w:tab w:val="right" w:leader="dot" w:pos="9355"/>
        </w:tabs>
        <w:spacing w:before="0" w:after="0" w:line="360" w:lineRule="auto"/>
      </w:pPr>
      <w:r>
        <w:rPr>
          <w:rFonts w:eastAsia="宋体" w:ascii="Times New Roman" w:hAnsi="Times New Roman"/>
          <w:b w:val="0"/>
          <w:sz w:val="21"/>
        </w:rPr>
        <w:t>4.2.2  删失率与样本量的影响</w:t>
      </w:r>
      <w:r>
        <w:tab/>
      </w:r>
      <w:r>
        <w:rPr>
          <w:rFonts w:eastAsia="宋体" w:ascii="Times New Roman" w:hAnsi="Times New Roman"/>
          <w:b w:val="0"/>
          <w:sz w:val="21"/>
        </w:rPr>
        <w:t>15</w:t>
      </w:r>
    </w:p>
    <w:p>
      <w:pPr>
        <w:pStyle w:val="toc2"/>
        <w:ind w:left="420"/>
        <w:tabs>
          <w:tab w:val="right" w:leader="dot" w:pos="9355"/>
        </w:tabs>
        <w:spacing w:before="0" w:after="0" w:line="360" w:lineRule="auto"/>
      </w:pPr>
      <w:r>
        <w:rPr>
          <w:rFonts w:eastAsia="宋体" w:ascii="Times New Roman" w:hAnsi="Times New Roman"/>
          <w:b w:val="0"/>
          <w:sz w:val="21"/>
        </w:rPr>
        <w:t>4.3  真实数据（WHAS500）CSA实验结果</w:t>
      </w:r>
      <w:r>
        <w:tab/>
      </w:r>
      <w:r>
        <w:rPr>
          <w:rFonts w:eastAsia="宋体" w:ascii="Times New Roman" w:hAnsi="Times New Roman"/>
          <w:b w:val="0"/>
          <w:sz w:val="21"/>
        </w:rPr>
        <w:t>15</w:t>
      </w:r>
    </w:p>
    <w:p>
      <w:pPr>
        <w:pStyle w:val="toc3"/>
        <w:ind w:left="840"/>
        <w:tabs>
          <w:tab w:val="right" w:leader="dot" w:pos="9355"/>
        </w:tabs>
        <w:spacing w:before="0" w:after="0" w:line="360" w:lineRule="auto"/>
      </w:pPr>
      <w:r>
        <w:rPr>
          <w:rFonts w:eastAsia="宋体" w:ascii="Times New Roman" w:hAnsi="Times New Roman"/>
          <w:b w:val="0"/>
          <w:sz w:val="21"/>
        </w:rPr>
        <w:t>4.3.1  覆盖率评估</w:t>
      </w:r>
      <w:r>
        <w:tab/>
      </w:r>
      <w:r>
        <w:rPr>
          <w:rFonts w:eastAsia="宋体" w:ascii="Times New Roman" w:hAnsi="Times New Roman"/>
          <w:b w:val="0"/>
          <w:sz w:val="21"/>
        </w:rPr>
        <w:t>15</w:t>
      </w:r>
    </w:p>
    <w:p>
      <w:pPr>
        <w:pStyle w:val="toc3"/>
        <w:ind w:left="840"/>
        <w:tabs>
          <w:tab w:val="right" w:leader="dot" w:pos="9355"/>
        </w:tabs>
        <w:spacing w:before="0" w:after="0" w:line="360" w:lineRule="auto"/>
      </w:pPr>
      <w:r>
        <w:rPr>
          <w:rFonts w:eastAsia="宋体" w:ascii="Times New Roman" w:hAnsi="Times New Roman"/>
          <w:b w:val="0"/>
          <w:sz w:val="21"/>
        </w:rPr>
        <w:t>4.3.2  预测下界分析</w:t>
      </w:r>
      <w:r>
        <w:tab/>
      </w:r>
      <w:r>
        <w:rPr>
          <w:rFonts w:eastAsia="宋体" w:ascii="Times New Roman" w:hAnsi="Times New Roman"/>
          <w:b w:val="0"/>
          <w:sz w:val="21"/>
        </w:rPr>
        <w:t>16</w:t>
      </w:r>
    </w:p>
    <w:p>
      <w:pPr>
        <w:pStyle w:val="toc1"/>
        <w:ind w:left="0"/>
        <w:tabs>
          <w:tab w:val="right" w:leader="dot" w:pos="9355"/>
        </w:tabs>
        <w:spacing w:before="0" w:after="0" w:line="360" w:lineRule="auto"/>
      </w:pPr>
      <w:r>
        <w:rPr>
          <w:rFonts w:eastAsia="宋体" w:ascii="Times New Roman" w:hAnsi="Times New Roman"/>
          <w:b/>
          <w:sz w:val="21"/>
        </w:rPr>
        <w:t>5  α阈值优化分析</w:t>
      </w:r>
      <w:r>
        <w:tab/>
      </w:r>
      <w:r>
        <w:rPr>
          <w:rFonts w:eastAsia="宋体" w:ascii="Times New Roman" w:hAnsi="Times New Roman"/>
          <w:b/>
          <w:sz w:val="21"/>
        </w:rPr>
        <w:t>17</w:t>
      </w:r>
    </w:p>
    <w:p>
      <w:pPr>
        <w:pStyle w:val="toc2"/>
        <w:ind w:left="420"/>
        <w:tabs>
          <w:tab w:val="right" w:leader="dot" w:pos="9355"/>
        </w:tabs>
        <w:spacing w:before="0" w:after="0" w:line="360" w:lineRule="auto"/>
      </w:pPr>
      <w:r>
        <w:rPr>
          <w:rFonts w:eastAsia="宋体" w:ascii="Times New Roman" w:hAnsi="Times New Roman"/>
          <w:b w:val="0"/>
          <w:sz w:val="21"/>
        </w:rPr>
        <w:t>5.1  优化思路与方法</w:t>
      </w:r>
      <w:r>
        <w:tab/>
      </w:r>
      <w:r>
        <w:rPr>
          <w:rFonts w:eastAsia="宋体" w:ascii="Times New Roman" w:hAnsi="Times New Roman"/>
          <w:b w:val="0"/>
          <w:sz w:val="21"/>
        </w:rPr>
        <w:t>17</w:t>
      </w:r>
    </w:p>
    <w:p>
      <w:pPr>
        <w:pStyle w:val="toc2"/>
        <w:ind w:left="420"/>
        <w:tabs>
          <w:tab w:val="right" w:leader="dot" w:pos="9355"/>
        </w:tabs>
        <w:spacing w:before="0" w:after="0" w:line="360" w:lineRule="auto"/>
      </w:pPr>
      <w:r>
        <w:rPr>
          <w:rFonts w:eastAsia="宋体" w:ascii="Times New Roman" w:hAnsi="Times New Roman"/>
          <w:b w:val="0"/>
          <w:sz w:val="21"/>
        </w:rPr>
        <w:t>5.2  WHAS500 α扫描结果</w:t>
      </w:r>
      <w:r>
        <w:tab/>
      </w:r>
      <w:r>
        <w:rPr>
          <w:rFonts w:eastAsia="宋体" w:ascii="Times New Roman" w:hAnsi="Times New Roman"/>
          <w:b w:val="0"/>
          <w:sz w:val="21"/>
        </w:rPr>
        <w:t>17</w:t>
      </w:r>
    </w:p>
    <w:p>
      <w:pPr>
        <w:pStyle w:val="toc2"/>
        <w:ind w:left="420"/>
        <w:tabs>
          <w:tab w:val="right" w:leader="dot" w:pos="9355"/>
        </w:tabs>
        <w:spacing w:before="0" w:after="0" w:line="360" w:lineRule="auto"/>
      </w:pPr>
      <w:r>
        <w:rPr>
          <w:rFonts w:eastAsia="宋体" w:ascii="Times New Roman" w:hAnsi="Times New Roman"/>
          <w:b w:val="0"/>
          <w:sz w:val="21"/>
        </w:rPr>
        <w:t>5.3  模拟数据α扫描结果</w:t>
      </w:r>
      <w:r>
        <w:tab/>
      </w:r>
      <w:r>
        <w:rPr>
          <w:rFonts w:eastAsia="宋体" w:ascii="Times New Roman" w:hAnsi="Times New Roman"/>
          <w:b w:val="0"/>
          <w:sz w:val="21"/>
        </w:rPr>
        <w:t>18</w:t>
      </w:r>
    </w:p>
    <w:p>
      <w:pPr>
        <w:pStyle w:val="toc2"/>
        <w:ind w:left="420"/>
        <w:tabs>
          <w:tab w:val="right" w:leader="dot" w:pos="9355"/>
        </w:tabs>
        <w:spacing w:before="0" w:after="0" w:line="360" w:lineRule="auto"/>
      </w:pPr>
      <w:r>
        <w:rPr>
          <w:rFonts w:eastAsia="宋体" w:ascii="Times New Roman" w:hAnsi="Times New Roman"/>
          <w:b w:val="0"/>
          <w:sz w:val="21"/>
        </w:rPr>
        <w:t>5.4  最优α的确定</w:t>
      </w:r>
      <w:r>
        <w:tab/>
      </w:r>
      <w:r>
        <w:rPr>
          <w:rFonts w:eastAsia="宋体" w:ascii="Times New Roman" w:hAnsi="Times New Roman"/>
          <w:b w:val="0"/>
          <w:sz w:val="21"/>
        </w:rPr>
        <w:t>19</w:t>
      </w:r>
    </w:p>
    <w:p>
      <w:pPr>
        <w:pStyle w:val="toc1"/>
        <w:ind w:left="0"/>
        <w:tabs>
          <w:tab w:val="right" w:leader="dot" w:pos="9355"/>
        </w:tabs>
        <w:spacing w:before="0" w:after="0" w:line="360" w:lineRule="auto"/>
      </w:pPr>
      <w:r>
        <w:rPr>
          <w:rFonts w:eastAsia="宋体" w:ascii="Times New Roman" w:hAnsi="Times New Roman"/>
          <w:b/>
          <w:sz w:val="21"/>
        </w:rPr>
        <w:t>6  结论与展望</w:t>
      </w:r>
      <w:r>
        <w:tab/>
      </w:r>
      <w:r>
        <w:rPr>
          <w:rFonts w:eastAsia="宋体" w:ascii="Times New Roman" w:hAnsi="Times New Roman"/>
          <w:b/>
          <w:sz w:val="21"/>
        </w:rPr>
        <w:t>20</w:t>
      </w:r>
    </w:p>
    <w:p>
      <w:pPr>
        <w:pStyle w:val="toc2"/>
        <w:ind w:left="420"/>
        <w:tabs>
          <w:tab w:val="right" w:leader="dot" w:pos="9355"/>
        </w:tabs>
        <w:spacing w:before="0" w:after="0" w:line="360" w:lineRule="auto"/>
      </w:pPr>
      <w:r>
        <w:rPr>
          <w:rFonts w:eastAsia="宋体" w:ascii="Times New Roman" w:hAnsi="Times New Roman"/>
          <w:b w:val="0"/>
          <w:sz w:val="21"/>
        </w:rPr>
        <w:t>6.1  主要结论</w:t>
      </w:r>
      <w:r>
        <w:tab/>
      </w:r>
      <w:r>
        <w:rPr>
          <w:rFonts w:eastAsia="宋体" w:ascii="Times New Roman" w:hAnsi="Times New Roman"/>
          <w:b w:val="0"/>
          <w:sz w:val="21"/>
        </w:rPr>
        <w:t>20</w:t>
      </w:r>
    </w:p>
    <w:p>
      <w:pPr>
        <w:pStyle w:val="toc2"/>
        <w:ind w:left="420"/>
        <w:tabs>
          <w:tab w:val="right" w:leader="dot" w:pos="9355"/>
        </w:tabs>
        <w:spacing w:before="0" w:after="0" w:line="360" w:lineRule="auto"/>
      </w:pPr>
      <w:r>
        <w:rPr>
          <w:rFonts w:eastAsia="宋体" w:ascii="Times New Roman" w:hAnsi="Times New Roman"/>
          <w:b w:val="0"/>
          <w:sz w:val="21"/>
        </w:rPr>
        <w:t>6.2  研究局限</w:t>
      </w:r>
      <w:r>
        <w:tab/>
      </w:r>
      <w:r>
        <w:rPr>
          <w:rFonts w:eastAsia="宋体" w:ascii="Times New Roman" w:hAnsi="Times New Roman"/>
          <w:b w:val="0"/>
          <w:sz w:val="21"/>
        </w:rPr>
        <w:t>21</w:t>
      </w:r>
    </w:p>
    <w:p>
      <w:pPr>
        <w:pStyle w:val="toc2"/>
        <w:ind w:left="420"/>
        <w:tabs>
          <w:tab w:val="right" w:leader="dot" w:pos="9355"/>
        </w:tabs>
        <w:spacing w:before="0" w:after="0" w:line="360" w:lineRule="auto"/>
      </w:pPr>
      <w:r>
        <w:rPr>
          <w:rFonts w:eastAsia="宋体" w:ascii="Times New Roman" w:hAnsi="Times New Roman"/>
          <w:b w:val="0"/>
          <w:sz w:val="21"/>
        </w:rPr>
        <w:t>6.3  未来展望</w:t>
      </w:r>
      <w:r>
        <w:tab/>
      </w:r>
      <w:r>
        <w:rPr>
          <w:rFonts w:eastAsia="宋体" w:ascii="Times New Roman" w:hAnsi="Times New Roman"/>
          <w:b w:val="0"/>
          <w:sz w:val="21"/>
        </w:rPr>
        <w:t>22</w:t>
      </w:r>
    </w:p>
    <w:p>
      <w:pPr>
        <w:pStyle w:val="toc1"/>
        <w:ind w:left="0"/>
        <w:tabs>
          <w:tab w:val="right" w:leader="dot" w:pos="9355"/>
        </w:tabs>
        <w:spacing w:before="0" w:after="0" w:line="360" w:lineRule="auto"/>
      </w:pPr>
      <w:r>
        <w:rPr>
          <w:rFonts w:eastAsia="宋体" w:ascii="Times New Roman" w:hAnsi="Times New Roman"/>
          <w:b/>
          <w:sz w:val="21"/>
        </w:rPr>
        <w:t>参考文献</w:t>
      </w:r>
      <w:r>
        <w:tab/>
      </w:r>
      <w:r>
        <w:rPr>
          <w:rFonts w:eastAsia="宋体" w:ascii="Times New Roman" w:hAnsi="Times New Roman"/>
          <w:b/>
          <w:sz w:val="21"/>
        </w:rPr>
        <w:t>23</w:t>
      </w:r>
    </w:p>
    <w:p>
      <w:r>
        <w:br w:type="page"/>
      </w:r>
    </w:p>
    <w:p>
      <w:pPr>
        <w:keepNext/>
        <w:spacing w:before="160" w:after="160" w:lineRule="auto" w:line="240"/>
        <w:jc w:val="left"/>
      </w:pPr>
      <w:r>
        <w:rPr>
          <w:rFonts w:eastAsia="仿宋" w:ascii="Times New Roman" w:hAnsi="Times New Roman"/>
          <w:b/>
          <w:sz w:val="32"/>
        </w:rPr>
        <w:t>1  绪论</w:t>
      </w:r>
    </w:p>
    <w:p>
      <w:pPr>
        <w:keepNext/>
        <w:spacing w:before="160" w:after="160" w:lineRule="auto" w:line="240"/>
        <w:jc w:val="left"/>
      </w:pPr>
      <w:r>
        <w:rPr>
          <w:rFonts w:eastAsia="仿宋" w:ascii="Times New Roman" w:hAnsi="Times New Roman"/>
          <w:b/>
          <w:sz w:val="30"/>
        </w:rPr>
        <w:t>1.1  研究背景</w:t>
      </w:r>
    </w:p>
    <w:p>
      <w:pPr>
        <w:spacing w:before="0" w:after="0" w:lineRule="auto" w:line="360"/>
        <w:ind w:firstLine="480"/>
        <w:jc w:val="left"/>
      </w:pPr>
      <w:r>
        <w:rPr>
          <w:rFonts w:eastAsia="宋体" w:ascii="Times New Roman" w:hAnsi="Times New Roman"/>
          <w:b w:val="0"/>
          <w:sz w:val="24"/>
        </w:rPr>
        <w:t>生存分析（Survival Analysis）是统计学的重要分支，专门处理某事件何时发生这类时变结局问题。与普通回归分析最大的区别在于，生存数据中普遍存在右删失（right censoring）现象——部分研究对象在研究结束时尚未经历目标事件，我们只知道其生存时间超过某个值，而无法得知确切结局。这种数据不完整性给统计建模带来了独特的挑战。</w:t>
      </w:r>
    </w:p>
    <w:p>
      <w:pPr>
        <w:spacing w:before="0" w:after="0" w:lineRule="auto" w:line="360"/>
        <w:ind w:firstLine="480"/>
        <w:jc w:val="left"/>
      </w:pPr>
      <w:r>
        <w:rPr>
          <w:rFonts w:eastAsia="宋体" w:ascii="Times New Roman" w:hAnsi="Times New Roman"/>
          <w:b w:val="0"/>
          <w:sz w:val="24"/>
        </w:rPr>
        <w:t>生存分析的应用场景极为广泛。在医学领域，它被用来估计患者从手术到复发的时间、从确诊到死亡的预期寿命；在工程领域，用于评估设备从投入使用到发生故障的时长；在经济学中，则用于分析企业从创立到倒闭、用户从注册到流失的时间规律。</w:t>
      </w:r>
    </w:p>
    <w:p>
      <w:pPr>
        <w:spacing w:before="0" w:after="0" w:lineRule="auto" w:line="360"/>
        <w:ind w:firstLine="480"/>
        <w:jc w:val="left"/>
      </w:pPr>
      <w:r>
        <w:rPr>
          <w:rFonts w:eastAsia="宋体" w:ascii="Times New Roman" w:hAnsi="Times New Roman"/>
          <w:b w:val="0"/>
          <w:sz w:val="24"/>
        </w:rPr>
        <w:t>传统生存分析方法主要包括三类：以Kaplan-Meier估计为代表的非参数方法、以Cox比例风险模型为代表的半参数方法，以及以Weibull模型为代表的参数方法。这些方法经过数十年的发展，理论体系已相当成熟，在医学、社会科学等领域得到广泛应用[10]。然而，它们共同的局限在于：难以为个体构建具有严格统计保证的预测区间。Cox模型的置信区间依赖于比例风险假设是否成立；参数模型则对分布形式有严格要求，一旦假设偏离实际，预测结果就会失真。</w:t>
      </w:r>
    </w:p>
    <w:p>
      <w:pPr>
        <w:spacing w:before="0" w:after="0" w:lineRule="auto" w:line="360"/>
        <w:ind w:firstLine="480"/>
        <w:jc w:val="left"/>
      </w:pPr>
      <w:r>
        <w:rPr>
          <w:rFonts w:eastAsia="宋体" w:ascii="Times New Roman" w:hAnsi="Times New Roman"/>
          <w:b w:val="0"/>
          <w:sz w:val="24"/>
        </w:rPr>
        <w:t>近年来兴起的保形预测（Conformal Prediction）为解决上述问题提供了全新思路。保形预测是一种与模型无关的非参数不确定性量化框架，其最突出的特点是：无需对数据分布做任何假设，只要数据满足可交换性条件，就能保证预测区间对新样本的覆盖率不低于预设水平。2023年，Candes等人将保形预测与生存分析深度结合，提出了保形化生存分析（CSA），专门解决右删失场景下预测区间构建的难题[1]，这一工作在统计学和机器学习领域引起了广泛关注。</w:t>
      </w:r>
    </w:p>
    <w:p>
      <w:pPr>
        <w:keepNext/>
        <w:spacing w:before="160" w:after="160" w:lineRule="auto" w:line="240"/>
        <w:jc w:val="left"/>
      </w:pPr>
      <w:r>
        <w:rPr>
          <w:rFonts w:eastAsia="仿宋" w:ascii="Times New Roman" w:hAnsi="Times New Roman"/>
          <w:b/>
          <w:sz w:val="30"/>
        </w:rPr>
        <w:t>1.2  研究意义</w:t>
      </w:r>
    </w:p>
    <w:p>
      <w:pPr>
        <w:spacing w:before="0" w:after="0" w:lineRule="auto" w:line="360"/>
        <w:ind w:firstLine="480"/>
        <w:jc w:val="left"/>
      </w:pPr>
      <w:r>
        <w:rPr>
          <w:rFonts w:eastAsia="宋体" w:ascii="Times New Roman" w:hAnsi="Times New Roman"/>
          <w:b w:val="0"/>
          <w:sz w:val="24"/>
        </w:rPr>
        <w:t>从理论层面看，本研究系统梳理了CSA框架与多种经典生存模型结合的理论逻辑，补充了国内在保形预测与生存分析交叉领域的基础研究，为后续更深入的理论探索提供了实证基础。同时，研究提出的α阈值扫描方案，从实证角度回答了如何在覆盖保证与预测区间紧致性之间寻找平衡这一基础但实用的问题。</w:t>
      </w:r>
    </w:p>
    <w:p>
      <w:pPr>
        <w:spacing w:before="0" w:after="0" w:lineRule="auto" w:line="360"/>
        <w:ind w:firstLine="480"/>
        <w:jc w:val="left"/>
      </w:pPr>
      <w:r>
        <w:rPr>
          <w:rFonts w:eastAsia="宋体" w:ascii="Times New Roman" w:hAnsi="Times New Roman"/>
          <w:b w:val="0"/>
          <w:sz w:val="24"/>
        </w:rPr>
        <w:t>从实践层面看，在医学临床研究中，为患者提供的生存时间预测不仅需要点估计，更需要可靠的区间估计——告诉医生该患者有90%的概率至少还能存活X天，比单纯给出一个预期寿命数字更有临床价值。本研究验证了CSA在中小样本、不同删失率等非理想场景下的可行性，降低了方法的应用门槛，具有较强的实践指导意义。</w:t>
      </w:r>
    </w:p>
    <w:p>
      <w:pPr>
        <w:keepNext/>
        <w:spacing w:before="160" w:after="160" w:lineRule="auto" w:line="240"/>
        <w:jc w:val="left"/>
      </w:pPr>
      <w:r>
        <w:rPr>
          <w:rFonts w:eastAsia="仿宋" w:ascii="Times New Roman" w:hAnsi="Times New Roman"/>
          <w:b/>
          <w:sz w:val="30"/>
        </w:rPr>
        <w:t>1.3  国内外研究现状</w:t>
      </w:r>
    </w:p>
    <w:p>
      <w:pPr>
        <w:spacing w:before="0" w:after="0" w:lineRule="auto" w:line="360"/>
        <w:ind w:firstLine="480"/>
        <w:jc w:val="left"/>
      </w:pPr>
      <w:r>
        <w:rPr>
          <w:rFonts w:eastAsia="宋体" w:ascii="Times New Roman" w:hAnsi="Times New Roman"/>
          <w:b w:val="0"/>
          <w:sz w:val="24"/>
        </w:rPr>
        <w:t>保形预测的理论基础由Vovk等人在2005年系统建立，核心思想是利用非一致性得分和历史数据的可交换性来构造预测集合，在任意分布下保证边际覆盖率。由于不依赖分布假设，保形预测在机器学习领域得到了广泛应用，逐渐成为不确定性量化的标准工具之一[2]。</w:t>
      </w:r>
    </w:p>
    <w:p>
      <w:pPr>
        <w:spacing w:before="0" w:after="0" w:lineRule="auto" w:line="360"/>
        <w:ind w:firstLine="480"/>
        <w:jc w:val="left"/>
      </w:pPr>
      <w:r>
        <w:rPr>
          <w:rFonts w:eastAsia="宋体" w:ascii="Times New Roman" w:hAnsi="Times New Roman"/>
          <w:b w:val="0"/>
          <w:sz w:val="24"/>
        </w:rPr>
        <w:t>将保形预测引入生存分析的关键工作来自Candes、Lei、Ren和Tibshirani（2023），他们提出的CSA框架系统解决了右删失数据下的分位数估计问题，通过引入逆概率删失加权（IPCW），在删失存在的条件下仍能维持边际覆盖保证[1]。此后，相关研究沿着三条主线推进：一是将CSA推广至协变量漂移等复杂场景[5]；二是通过自适应非一致性得分提升预测效率[7]；三是拓展至双侧预测区间、条件覆盖等更严格的保证形式[6]。</w:t>
      </w:r>
    </w:p>
    <w:p>
      <w:pPr>
        <w:spacing w:before="0" w:after="0" w:lineRule="auto" w:line="360"/>
        <w:ind w:firstLine="480"/>
        <w:jc w:val="left"/>
      </w:pPr>
      <w:r>
        <w:rPr>
          <w:rFonts w:eastAsia="宋体" w:ascii="Times New Roman" w:hAnsi="Times New Roman"/>
          <w:b w:val="0"/>
          <w:sz w:val="24"/>
        </w:rPr>
        <w:t>国内在该方向的系统性实证研究相对较少，现有工作多集中于传统生存分析模型的统计推断研究[11]，缺乏对不同基础生存模型与CSA框架结合的系统比较研究。本研究填补了这一空缺，聚焦基础CSA框架的实证验证与应用优化，面向实际使用需求。</w:t>
      </w:r>
    </w:p>
    <w:p>
      <w:pPr>
        <w:keepNext/>
        <w:spacing w:before="160" w:after="160" w:lineRule="auto" w:line="240"/>
        <w:jc w:val="left"/>
      </w:pPr>
      <w:r>
        <w:rPr>
          <w:rFonts w:eastAsia="仿宋" w:ascii="Times New Roman" w:hAnsi="Times New Roman"/>
          <w:b/>
          <w:sz w:val="30"/>
        </w:rPr>
        <w:t>1.4  研究内容与结构安排</w:t>
      </w:r>
    </w:p>
    <w:p>
      <w:pPr>
        <w:spacing w:before="0" w:after="0" w:lineRule="auto" w:line="360"/>
        <w:ind w:firstLine="480"/>
        <w:jc w:val="left"/>
      </w:pPr>
      <w:r>
        <w:rPr>
          <w:rFonts w:eastAsia="宋体" w:ascii="Times New Roman" w:hAnsi="Times New Roman"/>
          <w:b w:val="0"/>
          <w:sz w:val="24"/>
        </w:rPr>
        <w:t>本研究的主要工作包括以下几个部分：（1）理论梳理：系统介绍KM、Cox、Weibull、RSF四种经典生存模型，以及保形预测和CSA框架的核心原理；（2）实证验证：通过36组模拟数据和WHAS500真实临床数据，评估四种模型与CSA结合后的覆盖率和预测效率；（3）阈值优化：提出α阈值扫描方案，通过数据驱动的方式确定最优α参数，分析覆盖率与预测下界之间的权衡。</w:t>
      </w:r>
    </w:p>
    <w:p>
      <w:pPr>
        <w:spacing w:before="0" w:after="0" w:lineRule="auto" w:line="360"/>
        <w:ind w:firstLine="480"/>
        <w:jc w:val="left"/>
      </w:pPr>
      <w:r>
        <w:rPr>
          <w:rFonts w:eastAsia="宋体" w:ascii="Times New Roman" w:hAnsi="Times New Roman"/>
          <w:b w:val="0"/>
          <w:sz w:val="24"/>
        </w:rPr>
        <w:t>论文结构：第2章介绍理论基础；第3章说明研究设计；第4章呈现实证分析结果；第5章进行α阈值优化分析；第6章总结主要结论并展望未来研究方向。</w:t>
      </w:r>
    </w:p>
    <w:p>
      <w:r>
        <w:br w:type="page"/>
      </w:r>
    </w:p>
    <w:p>
      <w:pPr>
        <w:keepNext/>
        <w:spacing w:before="160" w:after="160" w:lineRule="auto" w:line="240"/>
        <w:jc w:val="left"/>
      </w:pPr>
      <w:r>
        <w:rPr>
          <w:rFonts w:eastAsia="仿宋" w:ascii="Times New Roman" w:hAnsi="Times New Roman"/>
          <w:b/>
          <w:sz w:val="32"/>
        </w:rPr>
        <w:t>2  理论基础</w:t>
      </w:r>
    </w:p>
    <w:p>
      <w:pPr>
        <w:keepNext/>
        <w:spacing w:before="160" w:after="160" w:lineRule="auto" w:line="240"/>
        <w:jc w:val="left"/>
      </w:pPr>
      <w:r>
        <w:rPr>
          <w:rFonts w:eastAsia="仿宋" w:ascii="Times New Roman" w:hAnsi="Times New Roman"/>
          <w:b/>
          <w:sz w:val="30"/>
        </w:rPr>
        <w:t>2.1  生存分析基本概念</w:t>
      </w:r>
    </w:p>
    <w:p>
      <w:pPr>
        <w:spacing w:before="0" w:after="0" w:lineRule="auto" w:line="360"/>
        <w:ind w:firstLine="480"/>
        <w:jc w:val="left"/>
      </w:pPr>
      <w:r>
        <w:rPr>
          <w:rFonts w:eastAsia="宋体" w:ascii="Times New Roman" w:hAnsi="Times New Roman"/>
          <w:b w:val="0"/>
          <w:sz w:val="24"/>
        </w:rPr>
        <w:t>设 T 为感兴趣的生存时间（非负随机变量），C 为删失时间，在右删失设定下，研究者观测到的是 T_tilde = min(T, C) 以及删失指示变量 Delta = 1(T &lt;= C)。当 Delta=1 时，样本为未删失（事件已发生）；当 Delta=0 时，样本为删失（研究结束时事件尚未发生）。</w:t>
      </w:r>
    </w:p>
    <w:p>
      <w:pPr>
        <w:spacing w:before="0" w:after="0" w:lineRule="auto" w:line="360"/>
        <w:ind w:firstLine="480"/>
        <w:jc w:val="left"/>
      </w:pPr>
      <w:r>
        <w:rPr>
          <w:rFonts w:eastAsia="宋体" w:ascii="Times New Roman" w:hAnsi="Times New Roman"/>
          <w:b w:val="0"/>
          <w:sz w:val="24"/>
        </w:rPr>
        <w:t>生存分析中的两个核心函数分别是：生存函数 S(t) = P(T &gt; t)，表示个体在时刻 t 之后仍未发生事件的概率，是单调不增函数，满足 S(0) = 1；风险函数 h(t) 表示在已经存活到 t 时刻的条件下，在极短时间内发生事件的瞬时概率密度。两者通过 S(t) = exp(-∫₀ᵗ h(u)du) 相互联系。</w:t>
      </w:r>
    </w:p>
    <w:p>
      <w:pPr>
        <w:keepNext/>
        <w:spacing w:before="160" w:after="160" w:lineRule="auto" w:line="240"/>
        <w:jc w:val="left"/>
      </w:pPr>
      <w:r>
        <w:rPr>
          <w:rFonts w:eastAsia="仿宋" w:ascii="Times New Roman" w:hAnsi="Times New Roman"/>
          <w:b/>
          <w:sz w:val="30"/>
        </w:rPr>
        <w:t>2.2  经典生存分析方法</w:t>
      </w:r>
    </w:p>
    <w:p>
      <w:pPr>
        <w:keepNext/>
        <w:spacing w:before="160" w:after="160" w:lineRule="auto" w:line="240"/>
        <w:jc w:val="left"/>
      </w:pPr>
      <w:r>
        <w:rPr>
          <w:rFonts w:eastAsia="仿宋" w:ascii="Times New Roman" w:hAnsi="Times New Roman"/>
          <w:b/>
          <w:sz w:val="28"/>
        </w:rPr>
        <w:t>2.2.1  Kaplan-Meier估计</w:t>
      </w:r>
    </w:p>
    <w:p>
      <w:pPr>
        <w:spacing w:before="0" w:after="0" w:lineRule="auto" w:line="360"/>
        <w:ind w:firstLine="480"/>
        <w:jc w:val="left"/>
      </w:pPr>
      <w:r>
        <w:rPr>
          <w:rFonts w:eastAsia="宋体" w:ascii="Times New Roman" w:hAnsi="Times New Roman"/>
          <w:b w:val="0"/>
          <w:sz w:val="24"/>
        </w:rPr>
        <w:t>Kaplan-Meier（KM）估计是应用最广泛的生存函数非参数估计方法，其基本思路是利用乘积极限原理，在每个事件发生时刻更新生存概率估计：</w:t>
      </w:r>
    </w:p>
    <w:p>
      <w:pPr>
        <w:spacing w:before="120" w:after="120" w:lineRule="auto" w:line="360"/>
        <w:jc w:val="center"/>
      </w:pPr>
      <ns2:oMath>
        <ns2:acc>
          <ns2:accPr>
            <ns2:chr ns2:val="̂"/>
          </ns2:accPr>
          <ns2:e>
            <ns2:r>
              <ns2:t xml:space="preserve">S</ns2:t>
            </ns2:r>
          </ns2:e>
        </ns2:acc>
        <ns2:d>
          <ns2:dPr>
            <ns2:begChr ns2:val="("/>
            <ns2:endChr ns2:val=")"/>
          </ns2:dPr>
          <ns2:e>
            <ns2:r>
              <ns2:t xml:space="preserve">t</ns2:t>
            </ns2:r>
          </ns2:e>
        </ns2:d>
        <ns2:r>
          <ns2:t xml:space="preserve"> = </ns2:t>
        </ns2:r>
        <ns2:nary>
          <ns2:naryPr>
            <ns2:chr ns2:val="∏"/>
            <ns2:limLoc ns2:val="undOvr"/>
            <ns2:supHide ns2:val="1"/>
          </ns2:naryPr>
          <ns2:sub>
            <ns2:sSub>
              <ns2:e>
                <ns2:r>
                  <ns2:t xml:space="preserve">t</ns2:t>
                </ns2:r>
              </ns2:e>
              <ns2:sub>
                <ns2:r>
                  <ns2:t xml:space="preserve">i</ns2:t>
                </ns2:r>
              </ns2:sub>
            </ns2:sSub>
            <ns2:r>
              <ns2:t xml:space="preserve">≤t</ns2:t>
            </ns2:r>
          </ns2:sub>
          <ns2:sup/>
          <ns2:e>
            <ns2:d>
              <ns2:dPr>
                <ns2:begChr ns2:val="("/>
                <ns2:endChr ns2:val=")"/>
              </ns2:dPr>
              <ns2:e>
                <ns2:r>
                  <ns2:t xml:space="preserve">1−</ns2:t>
                </ns2:r>
                <ns2:f>
                  <ns2:num>
                    <ns2:sSub>
                      <ns2:e>
                        <ns2:r>
                          <ns2:t xml:space="preserve">d</ns2:t>
                        </ns2:r>
                      </ns2:e>
                      <ns2:sub>
                        <ns2:r>
                          <ns2:t xml:space="preserve">i</ns2:t>
                        </ns2:r>
                      </ns2:sub>
                    </ns2:sSub>
                  </ns2:num>
                  <ns2:den>
                    <ns2:sSub>
                      <ns2:e>
                        <ns2:r>
                          <ns2:t xml:space="preserve">n</ns2:t>
                        </ns2:r>
                      </ns2:e>
                      <ns2:sub>
                        <ns2:r>
                          <ns2:t xml:space="preserve">i</ns2:t>
                        </ns2:r>
                      </ns2:sub>
                    </ns2:sSub>
                  </ns2:den>
                </ns2:f>
              </ns2:e>
            </ns2:d>
          </ns2:e>
        </ns2:nary>
      </ns2:oMath>
    </w:p>
    <w:p>
      <w:pPr>
        <w:spacing w:before="0" w:after="0" w:lineRule="auto" w:line="360"/>
        <w:ind w:firstLine="480"/>
        <w:jc w:val="left"/>
      </w:pPr>
      <w:r>
        <w:rPr>
          <w:rFonts w:eastAsia="宋体" w:ascii="Times New Roman" w:hAnsi="Times New Roman"/>
          <w:b w:val="0"/>
          <w:sz w:val="24"/>
        </w:rPr>
        <w:t>其中 tᵢ 为第 i 个事件时刻，dᵢ 为该时刻发生的事件数，nᵢ 为该时刻仍处于风险中的样本数。KM估计无需对分布形式做任何假设，计算简单；缺点是无法纳入协变量信息，只能提供群体层面的生存曲线，无法给出个体化预测。</w:t>
      </w:r>
    </w:p>
    <w:p>
      <w:pPr>
        <w:keepNext/>
        <w:spacing w:before="160" w:after="160" w:lineRule="auto" w:line="240"/>
        <w:jc w:val="left"/>
      </w:pPr>
      <w:r>
        <w:rPr>
          <w:rFonts w:eastAsia="仿宋" w:ascii="Times New Roman" w:hAnsi="Times New Roman"/>
          <w:b/>
          <w:sz w:val="28"/>
        </w:rPr>
        <w:t>2.2.2  Cox比例风险模型</w:t>
      </w:r>
    </w:p>
    <w:p>
      <w:pPr>
        <w:spacing w:before="0" w:after="0" w:lineRule="auto" w:line="360"/>
        <w:ind w:firstLine="480"/>
        <w:jc w:val="left"/>
      </w:pPr>
      <w:r>
        <w:rPr>
          <w:rFonts w:eastAsia="宋体" w:ascii="Times New Roman" w:hAnsi="Times New Roman"/>
          <w:b w:val="0"/>
          <w:sz w:val="24"/>
        </w:rPr>
        <w:t>Cox模型是生存分析中使用最广泛的半参数模型，其核心假设是：个体的风险函数可以分解为基准风险函数与协变量效应之积：</w:t>
      </w:r>
    </w:p>
    <w:p>
      <w:pPr>
        <w:spacing w:before="120" w:after="120" w:lineRule="auto" w:line="360"/>
        <w:jc w:val="center"/>
      </w:pPr>
      <ns2:oMath>
        <ns2:r>
          <ns2:t xml:space="preserve">h</ns2:t>
        </ns2:r>
        <ns2:d>
          <ns2:dPr>
            <ns2:begChr ns2:val="("/>
            <ns2:endChr ns2:val=")"/>
          </ns2:dPr>
          <ns2:e>
            <ns2:r>
              <ns2:t xml:space="preserve">t ∣ X</ns2:t>
            </ns2:r>
          </ns2:e>
        </ns2:d>
        <ns2:r>
          <ns2:t xml:space="preserve"> = </ns2:t>
        </ns2:r>
        <ns2:sSub>
          <ns2:e>
            <ns2:r>
              <ns2:t xml:space="preserve">h</ns2:t>
            </ns2:r>
          </ns2:e>
          <ns2:sub>
            <ns2:r>
              <ns2:t xml:space="preserve">0</ns2:t>
            </ns2:r>
          </ns2:sub>
        </ns2:sSub>
        <ns2:d>
          <ns2:dPr>
            <ns2:begChr ns2:val="("/>
            <ns2:endChr ns2:val=")"/>
          </ns2:dPr>
          <ns2:e>
            <ns2:r>
              <ns2:t xml:space="preserve">t</ns2:t>
            </ns2:r>
          </ns2:e>
        </ns2:d>
        <ns2:r>
          <ns2:t xml:space="preserve"> ⋅ exp</ns2:t>
        </ns2:r>
        <ns2:d>
          <ns2:dPr>
            <ns2:begChr ns2:val="("/>
            <ns2:endChr ns2:val=")"/>
          </ns2:dPr>
          <ns2:e>
            <ns2:sSup>
              <ns2:e>
                <ns2:r>
                  <ns2:t xml:space="preserve">β</ns2:t>
                </ns2:r>
              </ns2:e>
              <ns2:sup>
                <ns2:r>
                  <ns2:t xml:space="preserve">⊤</ns2:t>
                </ns2:r>
              </ns2:sup>
            </ns2:sSup>
            <ns2:r>
              <ns2:t xml:space="preserve">X</ns2:t>
            </ns2:r>
          </ns2:e>
        </ns2:d>
      </ns2:oMath>
    </w:p>
    <w:p>
      <w:pPr>
        <w:spacing w:before="0" w:after="0" w:lineRule="auto" w:line="360"/>
        <w:ind w:firstLine="480"/>
        <w:jc w:val="left"/>
      </w:pPr>
      <w:r>
        <w:rPr>
          <w:rFonts w:eastAsia="宋体" w:ascii="Times New Roman" w:hAnsi="Times New Roman"/>
          <w:b w:val="0"/>
          <w:sz w:val="24"/>
        </w:rPr>
        <w:t>其中 h₀(t) 为基准风险函数（无需指定具体形式），β 为待估回归系数向量，X 为协变量向量。Cox模型通过偏似然估计回归系数，因此兼具灵活性和稳健性。模型的比例风险假设要求协变量效应不随时间变化，在实际应用中需要验证。</w:t>
      </w:r>
    </w:p>
    <w:p>
      <w:pPr>
        <w:keepNext/>
        <w:spacing w:before="160" w:after="160" w:lineRule="auto" w:line="240"/>
        <w:jc w:val="left"/>
      </w:pPr>
      <w:r>
        <w:rPr>
          <w:rFonts w:eastAsia="仿宋" w:ascii="Times New Roman" w:hAnsi="Times New Roman"/>
          <w:b/>
          <w:sz w:val="28"/>
        </w:rPr>
        <w:t>2.2.3  Weibull参数模型</w:t>
      </w:r>
    </w:p>
    <w:p>
      <w:pPr>
        <w:spacing w:before="0" w:after="0" w:lineRule="auto" w:line="360"/>
        <w:ind w:firstLine="480"/>
        <w:jc w:val="left"/>
      </w:pPr>
      <w:r>
        <w:rPr>
          <w:rFonts w:eastAsia="宋体" w:ascii="Times New Roman" w:hAnsi="Times New Roman"/>
          <w:b w:val="0"/>
          <w:sz w:val="24"/>
        </w:rPr>
        <w:t>Weibull模型假设生存时间服从Weibull分布，其风险函数形式为：</w:t>
      </w:r>
    </w:p>
    <w:p>
      <w:pPr>
        <w:spacing w:before="120" w:after="120" w:lineRule="auto" w:line="360"/>
        <w:jc w:val="center"/>
      </w:pPr>
      <ns2:oMath>
        <ns2:r>
          <ns2:t xml:space="preserve">h</ns2:t>
        </ns2:r>
        <ns2:d>
          <ns2:dPr>
            <ns2:begChr ns2:val="("/>
            <ns2:endChr ns2:val=")"/>
          </ns2:dPr>
          <ns2:e>
            <ns2:r>
              <ns2:t xml:space="preserve">t ∣ X</ns2:t>
            </ns2:r>
          </ns2:e>
        </ns2:d>
        <ns2:r>
          <ns2:t xml:space="preserve"> = λ</ns2:t>
        </ns2:r>
        <ns2:d>
          <ns2:dPr>
            <ns2:begChr ns2:val="("/>
            <ns2:endChr ns2:val=")"/>
          </ns2:dPr>
          <ns2:e>
            <ns2:r>
              <ns2:t xml:space="preserve">X</ns2:t>
            </ns2:r>
          </ns2:e>
        </ns2:d>
        <ns2:r>
          <ns2:t xml:space="preserve"> ⋅ ρ ⋅ </ns2:t>
        </ns2:r>
        <ns2:sSup>
          <ns2:e>
            <ns2:r>
              <ns2:t xml:space="preserve">t</ns2:t>
            </ns2:r>
          </ns2:e>
          <ns2:sup>
            <ns2:r>
              <ns2:t xml:space="preserve">ρ−1</ns2:t>
            </ns2:r>
          </ns2:sup>
        </ns2:sSup>
      </ns2:oMath>
    </w:p>
    <w:p>
      <w:pPr>
        <w:spacing w:before="0" w:after="0" w:lineRule="auto" w:line="360"/>
        <w:ind w:firstLine="480"/>
        <w:jc w:val="left"/>
      </w:pPr>
      <w:r>
        <w:rPr>
          <w:rFonts w:eastAsia="宋体" w:ascii="Times New Roman" w:hAnsi="Times New Roman"/>
          <w:b w:val="0"/>
          <w:sz w:val="24"/>
        </w:rPr>
        <w:t>其中尺度参数 λ(X) = exp(β⊤X) 依赖于协变量，形状参数 ρ &gt; 0 决定风险随时间的变化趋势（ρ &gt; 1 时风险递增，ρ &lt; 1 时递减，ρ = 1 时退化为指数模型）。Weibull模型参数解释性强，但结果对分布假设是否成立高度敏感。</w:t>
      </w:r>
    </w:p>
    <w:p>
      <w:pPr>
        <w:keepNext/>
        <w:spacing w:before="160" w:after="160" w:lineRule="auto" w:line="240"/>
        <w:jc w:val="left"/>
      </w:pPr>
      <w:r>
        <w:rPr>
          <w:rFonts w:eastAsia="仿宋" w:ascii="Times New Roman" w:hAnsi="Times New Roman"/>
          <w:b/>
          <w:sz w:val="28"/>
        </w:rPr>
        <w:t>2.2.4  随机生存森林</w:t>
      </w:r>
    </w:p>
    <w:p>
      <w:pPr>
        <w:spacing w:before="0" w:after="0" w:lineRule="auto" w:line="360"/>
        <w:ind w:firstLine="480"/>
        <w:jc w:val="left"/>
      </w:pPr>
      <w:r>
        <w:rPr>
          <w:rFonts w:eastAsia="宋体" w:ascii="Times New Roman" w:hAnsi="Times New Roman"/>
          <w:b w:val="0"/>
          <w:sz w:val="24"/>
        </w:rPr>
        <w:t>随机生存森林（Random Survival Forest，RSF）是随机森林在生存分析场景的推广，由Ishwaran等人于2008年提出[4]。RSF通过集成多棵生存决策树来估计生存函数：每棵决策树使用自助采样数据构建，分裂节点准则基于对数秩统计量，每个叶节点内计算KM估计，最终对所有树取平均。RSF的主要优势在于无需对数据分布做假设，天然处理高维特征和非线性交互效应；劣势是模型解释性差，计算成本较高，在小样本场景下可能出现过拟合。</w:t>
      </w:r>
    </w:p>
    <w:p>
      <w:pPr>
        <w:keepNext/>
        <w:spacing w:before="160" w:after="160" w:lineRule="auto" w:line="240"/>
        <w:jc w:val="left"/>
      </w:pPr>
      <w:r>
        <w:rPr>
          <w:rFonts w:eastAsia="仿宋" w:ascii="Times New Roman" w:hAnsi="Times New Roman"/>
          <w:b/>
          <w:sz w:val="30"/>
        </w:rPr>
        <w:t>2.3  保形预测基础理论</w:t>
      </w:r>
    </w:p>
    <w:p>
      <w:pPr>
        <w:keepNext/>
        <w:spacing w:before="160" w:after="160" w:lineRule="auto" w:line="240"/>
        <w:jc w:val="left"/>
      </w:pPr>
      <w:r>
        <w:rPr>
          <w:rFonts w:eastAsia="仿宋" w:ascii="Times New Roman" w:hAnsi="Times New Roman"/>
          <w:b/>
          <w:sz w:val="28"/>
        </w:rPr>
        <w:t>2.3.1  核心思想与基本框架</w:t>
      </w:r>
    </w:p>
    <w:p>
      <w:pPr>
        <w:spacing w:before="0" w:after="0" w:lineRule="auto" w:line="360"/>
        <w:ind w:firstLine="480"/>
        <w:jc w:val="left"/>
      </w:pPr>
      <w:r>
        <w:rPr>
          <w:rFonts w:eastAsia="宋体" w:ascii="Times New Roman" w:hAnsi="Times New Roman"/>
          <w:b w:val="0"/>
          <w:sz w:val="24"/>
        </w:rPr>
        <w:t>保形预测的核心思想非常直观：如果一个新样本与历史数据相似，那么用来衡量新样本不相似程度的得分，在所有历史样本中应该不会特别突出。在数据满足可交换性（exchangeability）的前提下，保形预测可以为任意新样本构建预测集合 C-hat(X_{n+1})，使得：</w:t>
      </w:r>
    </w:p>
    <w:p>
      <w:pPr>
        <w:spacing w:before="120" w:after="120" w:lineRule="auto" w:line="360"/>
        <w:jc w:val="center"/>
      </w:pPr>
      <ns2:oMath>
        <ns2:r>
          <ns2:t xml:space="preserve">P</ns2:t>
        </ns2:r>
        <ns2:d>
          <ns2:dPr>
            <ns2:begChr ns2:val="("/>
            <ns2:endChr ns2:val=")"/>
          </ns2:dPr>
          <ns2:e>
            <ns2:sSub>
              <ns2:e>
                <ns2:r>
                  <ns2:t xml:space="preserve">Y</ns2:t>
                </ns2:r>
              </ns2:e>
              <ns2:sub>
                <ns2:r>
                  <ns2:t xml:space="preserve">n+1</ns2:t>
                </ns2:r>
              </ns2:sub>
            </ns2:sSub>
            <ns2:r>
              <ns2:t xml:space="preserve"> ∈ </ns2:t>
            </ns2:r>
            <ns2:acc>
              <ns2:accPr>
                <ns2:chr ns2:val="̂"/>
              </ns2:accPr>
              <ns2:e>
                <ns2:r>
                  <ns2:t xml:space="preserve">C</ns2:t>
                </ns2:r>
              </ns2:e>
            </ns2:acc>
            <ns2:d>
              <ns2:dPr>
                <ns2:begChr ns2:val="("/>
                <ns2:endChr ns2:val=")"/>
              </ns2:dPr>
              <ns2:e>
                <ns2:sSub>
                  <ns2:e>
                    <ns2:r>
                      <ns2:t xml:space="preserve">X</ns2:t>
                    </ns2:r>
                  </ns2:e>
                  <ns2:sub>
                    <ns2:r>
                      <ns2:t xml:space="preserve">n+1</ns2:t>
                    </ns2:r>
                  </ns2:sub>
                </ns2:sSub>
              </ns2:e>
            </ns2:d>
          </ns2:e>
        </ns2:d>
        <ns2:r>
          <ns2:t xml:space="preserve"> ≥ 1−α</ns2:t>
        </ns2:r>
      </ns2:oMath>
    </w:p>
    <w:p>
      <w:pPr>
        <w:spacing w:before="0" w:after="0" w:lineRule="auto" w:line="360"/>
        <w:ind w:firstLine="480"/>
        <w:jc w:val="left"/>
      </w:pPr>
      <w:r>
        <w:rPr>
          <w:rFonts w:eastAsia="宋体" w:ascii="Times New Roman" w:hAnsi="Times New Roman"/>
          <w:b w:val="0"/>
          <w:sz w:val="24"/>
        </w:rPr>
        <w:t>这里 α ∈ (0,1) 是预先指定的错误率，1-α 是目标覆盖率。这个保证是边际的（marginal），即在所有可能的测试点上平均成立，不依赖任何分布假设。</w:t>
      </w:r>
    </w:p>
    <w:p>
      <w:pPr>
        <w:spacing w:before="0" w:after="0" w:lineRule="auto" w:line="360"/>
        <w:ind w:firstLine="480"/>
        <w:jc w:val="left"/>
      </w:pPr>
      <w:r>
        <w:rPr>
          <w:rFonts w:eastAsia="宋体" w:ascii="Times New Roman" w:hAnsi="Times New Roman"/>
          <w:b w:val="0"/>
          <w:sz w:val="24"/>
        </w:rPr>
        <w:t>具体实现上，分裂保形预测（Split Conformal Prediction）的步骤如下：将数据划分为训练集和校准集，在训练集上训练基础模型，在校准集上计算每个样本的非一致性得分 sᵢ = s(Xᵢ, Yᵢ)（数值越大表示越不典型），然后取第 ceil((n+1)(1-α))/n 分位数作为阈值 q-hat，最终对新样本，预测集合为 C-hat(X_{n+1}) = {y : s(X_{n+1}, y) &lt;= q-hat}。</w:t>
      </w:r>
    </w:p>
    <w:p>
      <w:pPr>
        <w:keepNext/>
        <w:spacing w:before="160" w:after="160" w:lineRule="auto" w:line="240"/>
        <w:jc w:val="left"/>
      </w:pPr>
      <w:r>
        <w:rPr>
          <w:rFonts w:eastAsia="仿宋" w:ascii="Times New Roman" w:hAnsi="Times New Roman"/>
          <w:b/>
          <w:sz w:val="28"/>
        </w:rPr>
        <w:t>2.3.2  分位数保证原理</w:t>
      </w:r>
    </w:p>
    <w:p>
      <w:pPr>
        <w:spacing w:before="0" w:after="0" w:lineRule="auto" w:line="360"/>
        <w:ind w:firstLine="480"/>
        <w:jc w:val="left"/>
      </w:pPr>
      <w:r>
        <w:rPr>
          <w:rFonts w:eastAsia="宋体" w:ascii="Times New Roman" w:hAnsi="Times New Roman"/>
          <w:b w:val="0"/>
          <w:sz w:val="24"/>
        </w:rPr>
        <w:t>保形预测的覆盖保证来自以下简单事实：若 s₁, ..., sₙ, s_{n+1} 是可交换的，则新样本的得分 s_{n+1} 在所有 n+1 个得分中排名的分布是均匀的，因此新样本得分不超过 q-hat 的概率恰好不低于 1-α。这个证明几乎不依赖任何分布假设，是保形预测的核心魅力所在。</w:t>
      </w:r>
    </w:p>
    <w:p>
      <w:pPr>
        <w:keepNext/>
        <w:spacing w:before="160" w:after="160" w:lineRule="auto" w:line="240"/>
        <w:jc w:val="left"/>
      </w:pPr>
      <w:r>
        <w:rPr>
          <w:rFonts w:eastAsia="仿宋" w:ascii="Times New Roman" w:hAnsi="Times New Roman"/>
          <w:b/>
          <w:sz w:val="30"/>
        </w:rPr>
        <w:t>2.4  保形化生存分析（CSA）框架</w:t>
      </w:r>
    </w:p>
    <w:p>
      <w:pPr>
        <w:keepNext/>
        <w:spacing w:before="160" w:after="160" w:lineRule="auto" w:line="240"/>
        <w:jc w:val="left"/>
      </w:pPr>
      <w:r>
        <w:rPr>
          <w:rFonts w:eastAsia="仿宋" w:ascii="Times New Roman" w:hAnsi="Times New Roman"/>
          <w:b/>
          <w:sz w:val="28"/>
        </w:rPr>
        <w:t>2.4.1  非一致性得分与预测下界</w:t>
      </w:r>
    </w:p>
    <w:p>
      <w:pPr>
        <w:spacing w:before="0" w:after="0" w:lineRule="auto" w:line="360"/>
        <w:ind w:firstLine="480"/>
        <w:jc w:val="left"/>
      </w:pPr>
      <w:r>
        <w:rPr>
          <w:rFonts w:eastAsia="宋体" w:ascii="Times New Roman" w:hAnsi="Times New Roman"/>
          <w:b w:val="0"/>
          <w:sz w:val="24"/>
        </w:rPr>
        <w:t>在生存分析场景中，CSA框架的核心是构造合适的非一致性得分。设已训练的基础模型可以给出生存函数的估计 S-hat(t | X)，CSA定义如下非一致性得分：</w:t>
      </w:r>
    </w:p>
    <w:p>
      <w:pPr>
        <w:spacing w:before="120" w:after="120" w:lineRule="auto" w:line="360"/>
        <w:jc w:val="center"/>
      </w:pPr>
      <ns2:oMath>
        <ns2:r>
          <ns2:t xml:space="preserve">s</ns2:t>
        </ns2:r>
        <ns2:d>
          <ns2:dPr>
            <ns2:begChr ns2:val="("/>
            <ns2:endChr ns2:val=")"/>
          </ns2:dPr>
          <ns2:e>
            <ns2:r>
              <ns2:t xml:space="preserve">X, T</ns2:t>
            </ns2:r>
          </ns2:e>
        </ns2:d>
        <ns2:r>
          <ns2:t xml:space="preserve"> = 1−</ns2:t>
        </ns2:r>
        <ns2:acc>
          <ns2:accPr>
            <ns2:chr ns2:val="̂"/>
          </ns2:accPr>
          <ns2:e>
            <ns2:r>
              <ns2:t xml:space="preserve">S</ns2:t>
            </ns2:r>
          </ns2:e>
        </ns2:acc>
        <ns2:d>
          <ns2:dPr>
            <ns2:begChr ns2:val="("/>
            <ns2:endChr ns2:val=")"/>
          </ns2:dPr>
          <ns2:e>
            <ns2:r>
              <ns2:t xml:space="preserve">T ∣ X</ns2:t>
            </ns2:r>
          </ns2:e>
        </ns2:d>
      </ns2:oMath>
    </w:p>
    <w:p>
      <w:pPr>
        <w:spacing w:before="0" w:after="0" w:lineRule="auto" w:line="360"/>
        <w:ind w:firstLine="480"/>
        <w:jc w:val="left"/>
      </w:pPr>
      <w:r>
        <w:rPr>
          <w:rFonts w:eastAsia="宋体" w:ascii="Times New Roman" w:hAnsi="Times New Roman"/>
          <w:b w:val="0"/>
          <w:sz w:val="24"/>
        </w:rPr>
        <w:t>直观理解：非一致性得分 Vi = 1 − Ŝ(T̃i | Xi) 反映样本 i 的观测时间在模型预测分布中的位置——T̃i 越大（存活越久），得分越大；T̃i 越小（事件越早发生），得分越小。对新样本 X_{n+1}，预测下界 L 定义为满足 1 - S-hat(L | X_{n+1}) = q-hat 的时间点，该预测下界满足 P(T_{n+1} &gt;= L(X_{n+1})) &gt;= 1-α。</w:t>
      </w:r>
    </w:p>
    <w:p>
      <w:pPr>
        <w:keepNext/>
        <w:spacing w:before="160" w:after="160" w:lineRule="auto" w:line="240"/>
        <w:jc w:val="left"/>
      </w:pPr>
      <w:r>
        <w:rPr>
          <w:rFonts w:eastAsia="仿宋" w:ascii="Times New Roman" w:hAnsi="Times New Roman"/>
          <w:b/>
          <w:sz w:val="28"/>
        </w:rPr>
        <w:t>2.4.2  右删失数据的处理：IPCW加权</w:t>
      </w:r>
    </w:p>
    <w:p>
      <w:pPr>
        <w:spacing w:before="0" w:after="0" w:lineRule="auto" w:line="360"/>
        <w:ind w:firstLine="480"/>
        <w:jc w:val="left"/>
      </w:pPr>
      <w:r>
        <w:rPr>
          <w:rFonts w:eastAsia="宋体" w:ascii="Times New Roman" w:hAnsi="Times New Roman"/>
          <w:b w:val="0"/>
          <w:sz w:val="24"/>
        </w:rPr>
        <w:t>直接将上述框架应用于右删失数据存在问题：对删失样本，我们观测到的是 T~ᵢ = min(Tᵢ, Cᵢ)，无法计算真实的非一致性得分。CSA通过引入逆概率删失加权（IPCW）来解决这一问题。</w:t>
      </w:r>
    </w:p>
    <w:p>
      <w:pPr>
        <w:spacing w:before="0" w:after="0" w:lineRule="auto" w:line="360"/>
        <w:ind w:firstLine="480"/>
        <w:jc w:val="left"/>
      </w:pPr>
      <w:r>
        <w:rPr>
          <w:rFonts w:eastAsia="宋体" w:ascii="Times New Roman" w:hAnsi="Times New Roman"/>
          <w:b w:val="0"/>
          <w:sz w:val="24"/>
        </w:rPr>
        <w:t>令 c₀ 为一个截断阈值，定义有效校准集为满足删失时间不早于 c₀ 或事件已发生的样本子集。对该子集中的样本，权重 wᵢ = P(C &gt;= c₀) / P(C &gt;= c₀ | Xᵢ) 通过估计删失机制来修正选择偏差。截断阈值 c₀ 是关键超参数，通过网格搜索在满足 P(C &gt;= c₀) ∈ [0.3, 0.85] 约束的条件下，最大化校准集上的平均预测下界来确定。</w:t>
      </w:r>
    </w:p>
    <w:p>
      <w:pPr>
        <w:keepNext/>
        <w:spacing w:before="160" w:after="160" w:lineRule="auto" w:line="240"/>
        <w:jc w:val="left"/>
      </w:pPr>
      <w:r>
        <w:rPr>
          <w:rFonts w:eastAsia="仿宋" w:ascii="Times New Roman" w:hAnsi="Times New Roman"/>
          <w:b/>
          <w:sz w:val="28"/>
        </w:rPr>
        <w:t>2.4.3  覆盖率保证</w:t>
      </w:r>
    </w:p>
    <w:p>
      <w:pPr>
        <w:spacing w:before="0" w:after="0" w:lineRule="auto" w:line="360"/>
        <w:ind w:firstLine="480"/>
        <w:jc w:val="left"/>
      </w:pPr>
      <w:r>
        <w:rPr>
          <w:rFonts w:eastAsia="宋体" w:ascii="Times New Roman" w:hAnsi="Times New Roman"/>
          <w:b w:val="0"/>
          <w:sz w:val="24"/>
        </w:rPr>
        <w:t>在删失机制满足一定可忽略性条件的情况下，CSA可以证明如下边际覆盖率保证：</w:t>
      </w:r>
    </w:p>
    <w:p>
      <w:pPr>
        <w:spacing w:before="120" w:after="120" w:lineRule="auto" w:line="360"/>
        <w:jc w:val="center"/>
      </w:pPr>
      <ns2:oMath>
        <ns2:r>
          <ns2:t xml:space="preserve">P</ns2:t>
        </ns2:r>
        <ns2:d>
          <ns2:dPr>
            <ns2:begChr ns2:val="("/>
            <ns2:endChr ns2:val=")"/>
          </ns2:dPr>
          <ns2:e>
            <ns2:sSub>
              <ns2:e>
                <ns2:r>
                  <ns2:t xml:space="preserve">T</ns2:t>
                </ns2:r>
              </ns2:e>
              <ns2:sub>
                <ns2:r>
                  <ns2:t xml:space="preserve">n+1</ns2:t>
                </ns2:r>
              </ns2:sub>
            </ns2:sSub>
            <ns2:r>
              <ns2:t xml:space="preserve"> ≥ L</ns2:t>
            </ns2:r>
            <ns2:d>
              <ns2:dPr>
                <ns2:begChr ns2:val="("/>
                <ns2:endChr ns2:val=")"/>
              </ns2:dPr>
              <ns2:e>
                <ns2:sSub>
                  <ns2:e>
                    <ns2:r>
                      <ns2:t xml:space="preserve">X</ns2:t>
                    </ns2:r>
                  </ns2:e>
                  <ns2:sub>
                    <ns2:r>
                      <ns2:t xml:space="preserve">n+1</ns2:t>
                    </ns2:r>
                  </ns2:sub>
                </ns2:sSub>
              </ns2:e>
            </ns2:d>
          </ns2:e>
        </ns2:d>
        <ns2:r>
          <ns2:t xml:space="preserve"> ≥ 1−α</ns2:t>
        </ns2:r>
      </ns2:oMath>
    </w:p>
    <w:p>
      <w:pPr>
        <w:spacing w:before="0" w:after="0" w:lineRule="auto" w:line="360"/>
        <w:ind w:firstLine="480"/>
        <w:jc w:val="left"/>
      </w:pPr>
      <w:r>
        <w:rPr>
          <w:rFonts w:eastAsia="宋体" w:ascii="Times New Roman" w:hAnsi="Times New Roman"/>
          <w:b w:val="0"/>
          <w:sz w:val="24"/>
        </w:rPr>
        <w:t>在真实数据中，由于删失时间 C 通常不可直接观测，权重计算依赖对删失机制的估计，会引入近似误差。实际评估时通常计算覆盖率的上下界 (β_lo, β_hi)，要求 β_lo &gt;= 1-α 才视为覆盖保证成立。</w:t>
      </w:r>
    </w:p>
    <w:p>
      <w:r>
        <w:br w:type="page"/>
      </w:r>
    </w:p>
    <w:p>
      <w:pPr>
        <w:keepNext/>
        <w:spacing w:before="160" w:after="160" w:lineRule="auto" w:line="240"/>
        <w:jc w:val="left"/>
      </w:pPr>
      <w:r>
        <w:rPr>
          <w:rFonts w:eastAsia="仿宋" w:ascii="Times New Roman" w:hAnsi="Times New Roman"/>
          <w:b/>
          <w:sz w:val="32"/>
        </w:rPr>
        <w:t>3  研究设计</w:t>
      </w:r>
    </w:p>
    <w:p>
      <w:pPr>
        <w:keepNext/>
        <w:spacing w:before="160" w:after="160" w:lineRule="auto" w:line="240"/>
        <w:jc w:val="left"/>
      </w:pPr>
      <w:r>
        <w:rPr>
          <w:rFonts w:eastAsia="仿宋" w:ascii="Times New Roman" w:hAnsi="Times New Roman"/>
          <w:b/>
          <w:sz w:val="30"/>
        </w:rPr>
        <w:t>3.1  模拟数据设计</w:t>
      </w:r>
    </w:p>
    <w:p>
      <w:pPr>
        <w:spacing w:before="0" w:after="0" w:lineRule="auto" w:line="360"/>
        <w:ind w:firstLine="480"/>
        <w:jc w:val="left"/>
      </w:pPr>
      <w:r>
        <w:rPr>
          <w:rFonts w:eastAsia="宋体" w:ascii="Times New Roman" w:hAnsi="Times New Roman"/>
          <w:b w:val="0"/>
          <w:sz w:val="24"/>
        </w:rPr>
        <w:t>为系统评估不同因素对CSA性能的影响，本研究设计了36组模拟数据，通过四个维度的系统组合覆盖多种场景，具体设置见表3.1。</w:t>
      </w:r>
    </w:p>
    <w:p>
      <w:pPr>
        <w:spacing w:before="0" w:after="0" w:lineRule="auto" w:line="240"/>
        <w:jc w:val="left"/>
      </w:pPr>
      <w:r/>
    </w:p>
    <w:p>
      <w:pPr>
        <w:spacing w:before="120" w:after="60" w:lineRule="auto" w:line="360"/>
        <w:jc w:val="center"/>
      </w:pPr>
      <w:r>
        <w:rPr>
          <w:rFonts w:eastAsia="黑体" w:ascii="Times New Roman" w:hAnsi="Times New Roman"/>
          <w:b/>
          <w:sz w:val="21"/>
        </w:rPr>
        <w:t>表3.1  模拟数据设计方案</w:t>
      </w:r>
    </w:p>
    <w:tbl>
      <w:tblPr>
        <w:tblStyle w:val="TableGrid"/>
        <w:tblW w:type="auto" w:w="0"/>
        <w:jc w:val="center"/>
        <w:tblLook w:firstColumn="1" w:firstRow="1" w:lastColumn="0" w:lastRow="0" w:noHBand="0" w:noVBand="1" w:val="04A0"/>
      </w:tblPr>
      <w:tblGrid>
        <w:gridCol w:w="3118"/>
        <w:gridCol w:w="3118"/>
        <w:gridCol w:w="3118"/>
      </w:tblGrid>
      <w:tr>
        <w:tc>
          <w:tcPr>
            <w:tcW w:type="dxa" w:w="3118"/>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参数</w:t>
            </w:r>
          </w:p>
        </w:tc>
        <w:tc>
          <w:tcPr>
            <w:tcW w:type="dxa" w:w="3118"/>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取值</w:t>
            </w:r>
          </w:p>
        </w:tc>
        <w:tc>
          <w:tcPr>
            <w:tcW w:type="dxa" w:w="3118"/>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说明</w:t>
            </w:r>
          </w:p>
        </w:tc>
      </w:tr>
      <w:tr>
        <w:tc>
          <w:tcPr>
            <w:tcW w:type="dxa" w:w="3118"/>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样本量 n</w:t>
            </w:r>
          </w:p>
        </w:tc>
        <w:tc>
          <w:tcPr>
            <w:tcW w:type="dxa" w:w="3118"/>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100, 500, 2000</w:t>
            </w:r>
          </w:p>
        </w:tc>
        <w:tc>
          <w:tcPr>
            <w:tcW w:type="dxa" w:w="3118"/>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涵盖小、中、大样本场景</w:t>
            </w:r>
          </w:p>
        </w:tc>
      </w:tr>
      <w:tr>
        <w:tc>
          <w:tcPr>
            <w:tcW w:type="dxa" w:w="3118"/>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删失率</w:t>
            </w:r>
          </w:p>
        </w:tc>
        <w:tc>
          <w:tcPr>
            <w:tcW w:type="dxa" w:w="3118"/>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0.1, 0.3, 0.5</w:t>
            </w:r>
          </w:p>
        </w:tc>
        <w:tc>
          <w:tcPr>
            <w:tcW w:type="dxa" w:w="3118"/>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低、中、高删失率</w:t>
            </w:r>
          </w:p>
        </w:tc>
      </w:tr>
      <w:tr>
        <w:tc>
          <w:tcPr>
            <w:tcW w:type="dxa" w:w="3118"/>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协变量维度 p</w:t>
            </w:r>
          </w:p>
        </w:tc>
        <w:tc>
          <w:tcPr>
            <w:tcW w:type="dxa" w:w="3118"/>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1, 50</w:t>
            </w:r>
          </w:p>
        </w:tc>
        <w:tc>
          <w:tcPr>
            <w:tcW w:type="dxa" w:w="3118"/>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低维与高维场景</w:t>
            </w:r>
          </w:p>
        </w:tc>
      </w:tr>
      <w:tr>
        <w:tc>
          <w:tcPr>
            <w:tcW w:type="dxa" w:w="3118"/>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风险结构</w:t>
            </w:r>
          </w:p>
        </w:tc>
        <w:tc>
          <w:tcPr>
            <w:tcW w:type="dxa" w:w="3118"/>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同质 / 异质</w:t>
            </w:r>
          </w:p>
        </w:tc>
        <w:tc>
          <w:tcPr>
            <w:tcW w:type="dxa" w:w="3118"/>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个体风险是否依赖协变量</w:t>
            </w:r>
          </w:p>
        </w:tc>
      </w:tr>
    </w:tbl>
    <w:p>
      <w:pPr>
        <w:spacing w:before="0" w:after="0" w:lineRule="auto" w:line="240"/>
        <w:jc w:val="left"/>
      </w:pPr>
      <w:r/>
    </w:p>
    <w:p>
      <w:pPr>
        <w:spacing w:before="0" w:after="0" w:lineRule="auto" w:line="360"/>
        <w:ind w:firstLine="480"/>
        <w:jc w:val="left"/>
      </w:pPr>
      <w:r>
        <w:rPr>
          <w:rFonts w:eastAsia="宋体" w:ascii="Times New Roman" w:hAnsi="Times New Roman"/>
          <w:b w:val="0"/>
          <w:sz w:val="24"/>
        </w:rPr>
        <w:t>每组数据按三种比例划分：训练集（60%）、校准集（20%）、测试集（20%）。生存时间 T 由Weibull分布生成，删失时间 C 由指数分布生成，调整参数使期望删失率达到目标水平。模拟数据的优势在于：真实生存时间 T 完全可知，因此可以直接计算精确覆盖率 P(T &gt;= L(X))。</w:t>
      </w:r>
    </w:p>
    <w:p>
      <w:pPr>
        <w:keepNext/>
        <w:spacing w:before="160" w:after="160" w:lineRule="auto" w:line="240"/>
        <w:jc w:val="left"/>
      </w:pPr>
      <w:r>
        <w:rPr>
          <w:rFonts w:eastAsia="仿宋" w:ascii="Times New Roman" w:hAnsi="Times New Roman"/>
          <w:b/>
          <w:sz w:val="30"/>
        </w:rPr>
        <w:t>3.2  真实数据介绍：WHAS500</w:t>
      </w:r>
    </w:p>
    <w:p>
      <w:pPr>
        <w:spacing w:before="0" w:after="0" w:lineRule="auto" w:line="360"/>
        <w:ind w:firstLine="480"/>
        <w:jc w:val="left"/>
      </w:pPr>
      <w:r>
        <w:rPr>
          <w:rFonts w:eastAsia="宋体" w:ascii="Times New Roman" w:hAnsi="Times New Roman"/>
          <w:b w:val="0"/>
          <w:sz w:val="24"/>
        </w:rPr>
        <w:t>Worcester心脏病研究数据集（WHAS500）是生存分析领域的经典公开数据集，包含500例急性心肌梗死患者的随访数据，来源于scikit-survival工具包。该数据集的基本特征见表3.2。</w:t>
      </w:r>
    </w:p>
    <w:p>
      <w:pPr>
        <w:spacing w:before="0" w:after="0" w:lineRule="auto" w:line="240"/>
        <w:jc w:val="left"/>
      </w:pPr>
      <w:r/>
    </w:p>
    <w:p>
      <w:pPr>
        <w:spacing w:before="120" w:after="60" w:lineRule="auto" w:line="360"/>
        <w:jc w:val="center"/>
      </w:pPr>
      <w:r>
        <w:rPr>
          <w:rFonts w:eastAsia="黑体" w:ascii="Times New Roman" w:hAnsi="Times New Roman"/>
          <w:b/>
          <w:sz w:val="21"/>
        </w:rPr>
        <w:t>表3.2  WHAS500数据集基本信息</w:t>
      </w:r>
    </w:p>
    <w:tbl>
      <w:tblPr>
        <w:tblStyle w:val="TableGrid"/>
        <w:tblW w:type="auto" w:w="0"/>
        <w:jc w:val="center"/>
        <w:tblLook w:firstColumn="1" w:firstRow="1" w:lastColumn="0" w:lastRow="0" w:noHBand="0" w:noVBand="1" w:val="04A0"/>
      </w:tblPr>
      <w:tblGrid>
        <w:gridCol w:w="4677"/>
        <w:gridCol w:w="4677"/>
      </w:tblGrid>
      <w:tr>
        <w:tc>
          <w:tcPr>
            <w:tcW w:type="dxa" w:w="4677"/>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指标</w:t>
            </w:r>
          </w:p>
        </w:tc>
        <w:tc>
          <w:tcPr>
            <w:tcW w:type="dxa" w:w="4677"/>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取值</w:t>
            </w:r>
          </w:p>
        </w:tc>
      </w:tr>
      <w:tr>
        <w:tc>
          <w:tcPr>
            <w:tcW w:type="dxa" w:w="4677"/>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样本量</w:t>
            </w:r>
          </w:p>
        </w:tc>
        <w:tc>
          <w:tcPr>
            <w:tcW w:type="dxa" w:w="4677"/>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500</w:t>
            </w:r>
          </w:p>
        </w:tc>
      </w:tr>
      <w:tr>
        <w:tc>
          <w:tcPr>
            <w:tcW w:type="dxa" w:w="4677"/>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特征维度</w:t>
            </w:r>
          </w:p>
        </w:tc>
        <w:tc>
          <w:tcPr>
            <w:tcW w:type="dxa" w:w="4677"/>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14</w:t>
            </w:r>
          </w:p>
        </w:tc>
      </w:tr>
      <w:tr>
        <w:tc>
          <w:tcPr>
            <w:tcW w:type="dxa" w:w="4677"/>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事件（死亡）数</w:t>
            </w:r>
          </w:p>
        </w:tc>
        <w:tc>
          <w:tcPr>
            <w:tcW w:type="dxa" w:w="4677"/>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215（43.0%）</w:t>
            </w:r>
          </w:p>
        </w:tc>
      </w:tr>
      <w:tr>
        <w:tc>
          <w:tcPr>
            <w:tcW w:type="dxa" w:w="4677"/>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删失数</w:t>
            </w:r>
          </w:p>
        </w:tc>
        <w:tc>
          <w:tcPr>
            <w:tcW w:type="dxa" w:w="4677"/>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285（57.0%）</w:t>
            </w:r>
          </w:p>
        </w:tc>
      </w:tr>
      <w:tr>
        <w:tc>
          <w:tcPr>
            <w:tcW w:type="dxa" w:w="4677"/>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随访时间范围</w:t>
            </w:r>
          </w:p>
        </w:tc>
        <w:tc>
          <w:tcPr>
            <w:tcW w:type="dxa" w:w="4677"/>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 至 2358 天</w:t>
            </w:r>
          </w:p>
        </w:tc>
      </w:tr>
      <w:tr>
        <w:tc>
          <w:tcPr>
            <w:tcW w:type="dxa" w:w="4677"/>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中位随访时间</w:t>
            </w:r>
          </w:p>
        </w:tc>
        <w:tc>
          <w:tcPr>
            <w:tcW w:type="dxa" w:w="4677"/>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632 天</w:t>
            </w:r>
          </w:p>
        </w:tc>
      </w:tr>
      <w:tr>
        <w:tc>
          <w:tcPr>
            <w:tcW w:type="dxa" w:w="4677"/>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数据划分（训练/校准/测试）</w:t>
            </w:r>
          </w:p>
        </w:tc>
        <w:tc>
          <w:tcPr>
            <w:tcW w:type="dxa" w:w="4677"/>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300 / 100 / 100（随机种子2026）</w:t>
            </w:r>
          </w:p>
        </w:tc>
      </w:tr>
    </w:tbl>
    <w:p>
      <w:pPr>
        <w:spacing w:before="0" w:after="0" w:lineRule="auto" w:line="240"/>
        <w:jc w:val="left"/>
      </w:pPr>
      <w:r/>
    </w:p>
    <w:p>
      <w:pPr>
        <w:spacing w:before="0" w:after="0" w:lineRule="auto" w:line="360"/>
        <w:ind w:firstLine="480"/>
        <w:jc w:val="left"/>
      </w:pPr>
      <w:r>
        <w:rPr>
          <w:rFonts w:eastAsia="宋体" w:ascii="Times New Roman" w:hAnsi="Times New Roman"/>
          <w:b w:val="0"/>
          <w:sz w:val="24"/>
        </w:rPr>
        <w:t>14个特征包括年龄（age）、体重指数（bmi）、心率（hr）、收缩压（sysbp）、心房颤动（afb）等临床变量，涵盖连续型和二值型协变量。</w:t>
      </w:r>
    </w:p>
    <w:p>
      <w:pPr>
        <w:keepNext/>
        <w:spacing w:before="160" w:after="160" w:lineRule="auto" w:line="240"/>
        <w:jc w:val="left"/>
      </w:pPr>
      <w:r>
        <w:rPr>
          <w:rFonts w:eastAsia="仿宋" w:ascii="Times New Roman" w:hAnsi="Times New Roman"/>
          <w:b/>
          <w:sz w:val="30"/>
        </w:rPr>
        <w:t>3.3  模型实现方案</w:t>
      </w:r>
    </w:p>
    <w:p>
      <w:pPr>
        <w:spacing w:before="0" w:after="0" w:lineRule="auto" w:line="360"/>
        <w:ind w:firstLine="480"/>
        <w:jc w:val="left"/>
      </w:pPr>
      <w:r>
        <w:rPr>
          <w:rFonts w:eastAsia="宋体" w:ascii="Times New Roman" w:hAnsi="Times New Roman"/>
          <w:b w:val="0"/>
          <w:sz w:val="24"/>
        </w:rPr>
        <w:t>本研究在Python环境下实现，主要依赖lifelines（KM、Cox、Weibull）和scikit-survival（RSF）工具包[8,9]。CSA框架自行编写，核心步骤包括：（1）在训练集上拟合基础生存模型；（2）在校准集上通过网格搜索确定最优截断阈值 c₀；（3）以逻辑回归估计条件删失概率 P(C &gt;= c₀ | X)，计算IPCW权重；（4）在有效校准集上计算加权分位数 q-hat；（5）对测试集每个样本计算预测下界 L(Xᵢ)。所有实验固定随机种子为2026，确保结果可复现。</w:t>
      </w:r>
    </w:p>
    <w:p>
      <w:pPr>
        <w:keepNext/>
        <w:spacing w:before="160" w:after="160" w:lineRule="auto" w:line="240"/>
        <w:jc w:val="left"/>
      </w:pPr>
      <w:r>
        <w:rPr>
          <w:rFonts w:eastAsia="仿宋" w:ascii="Times New Roman" w:hAnsi="Times New Roman"/>
          <w:b/>
          <w:sz w:val="30"/>
        </w:rPr>
        <w:t>3.4  评估指标体系</w:t>
      </w:r>
    </w:p>
    <w:p>
      <w:pPr>
        <w:spacing w:before="0" w:after="0" w:lineRule="auto" w:line="360"/>
        <w:ind w:firstLine="480"/>
        <w:jc w:val="left"/>
      </w:pPr>
      <w:r>
        <w:rPr>
          <w:rFonts w:eastAsia="宋体" w:ascii="Times New Roman" w:hAnsi="Times New Roman"/>
          <w:b w:val="0"/>
          <w:sz w:val="24"/>
        </w:rPr>
        <w:t>（1）模型判别能力：采用C-index（一致性指数）衡量生存模型对事件先后顺序的判别能力，取值0.5（随机）至1（完美）。</w:t>
      </w:r>
    </w:p>
    <w:p>
      <w:pPr>
        <w:spacing w:before="0" w:after="0" w:lineRule="auto" w:line="360"/>
        <w:ind w:firstLine="480"/>
        <w:jc w:val="left"/>
      </w:pPr>
      <w:r>
        <w:rPr>
          <w:rFonts w:eastAsia="宋体" w:ascii="Times New Roman" w:hAnsi="Times New Roman"/>
          <w:b w:val="0"/>
          <w:sz w:val="24"/>
        </w:rPr>
        <w:t>（2）精确覆盖率（合成数据）：直接利用已知真实生存时间计算 coverage = (1/n) sum_i 1(Tᵢ &gt;= L(Xᵢ))。</w:t>
      </w:r>
    </w:p>
    <w:p>
      <w:pPr>
        <w:spacing w:before="0" w:after="0" w:lineRule="auto" w:line="360"/>
        <w:ind w:firstLine="480"/>
        <w:jc w:val="left"/>
      </w:pPr>
      <w:r>
        <w:rPr>
          <w:rFonts w:eastAsia="宋体" w:ascii="Times New Roman" w:hAnsi="Times New Roman"/>
          <w:b w:val="0"/>
          <w:sz w:val="24"/>
        </w:rPr>
        <w:t>（3）覆盖率下界 β_lo（真实数据）：β_lo = (1/n) sum_i 1(T~ᵢ &gt;= L(Xᵢ))，要求 β_lo &gt;= 1-α 视为覆盖保证成立。</w:t>
      </w:r>
    </w:p>
    <w:p>
      <w:pPr>
        <w:spacing w:before="0" w:after="0" w:lineRule="auto" w:line="360"/>
        <w:ind w:firstLine="480"/>
        <w:jc w:val="left"/>
      </w:pPr>
      <w:r>
        <w:rPr>
          <w:rFonts w:eastAsia="宋体" w:ascii="Times New Roman" w:hAnsi="Times New Roman"/>
          <w:b w:val="0"/>
          <w:sz w:val="24"/>
        </w:rPr>
        <w:t>（4）覆盖率上界 β_hi（真实数据）：β_hi = 1 - (1/n) sum_i 1(T~ᵢ &lt; L(Xᵢ), Δᵢ=1)，真实覆盖率位于 [β_lo, β_hi] 之间。</w:t>
      </w:r>
    </w:p>
    <w:p>
      <w:pPr>
        <w:spacing w:before="0" w:after="0" w:lineRule="auto" w:line="360"/>
        <w:ind w:firstLine="480"/>
        <w:jc w:val="left"/>
      </w:pPr>
      <w:r>
        <w:rPr>
          <w:rFonts w:eastAsia="宋体" w:ascii="Times New Roman" w:hAnsi="Times New Roman"/>
          <w:b w:val="0"/>
          <w:sz w:val="24"/>
        </w:rPr>
        <w:t>（5）平均预测下界（mean LPB）：测试集上 L(Xᵢ) 的均值，在满足覆盖保证的前提下，数值越大表示预测越有信息量。</w:t>
      </w:r>
    </w:p>
    <w:p>
      <w:r>
        <w:br w:type="page"/>
      </w:r>
    </w:p>
    <w:p>
      <w:pPr>
        <w:keepNext/>
        <w:spacing w:before="160" w:after="160" w:lineRule="auto" w:line="240"/>
        <w:jc w:val="left"/>
      </w:pPr>
      <w:r>
        <w:rPr>
          <w:rFonts w:eastAsia="仿宋" w:ascii="Times New Roman" w:hAnsi="Times New Roman"/>
          <w:b/>
          <w:sz w:val="32"/>
        </w:rPr>
        <w:t>4  实证分析</w:t>
      </w:r>
    </w:p>
    <w:p>
      <w:pPr>
        <w:keepNext/>
        <w:spacing w:before="160" w:after="160" w:lineRule="auto" w:line="240"/>
        <w:jc w:val="left"/>
      </w:pPr>
      <w:r>
        <w:rPr>
          <w:rFonts w:eastAsia="仿宋" w:ascii="Times New Roman" w:hAnsi="Times New Roman"/>
          <w:b/>
          <w:sz w:val="30"/>
        </w:rPr>
        <w:t>4.1  基础模型拟合结果</w:t>
      </w:r>
    </w:p>
    <w:p>
      <w:pPr>
        <w:spacing w:before="0" w:after="0" w:lineRule="auto" w:line="360"/>
        <w:ind w:firstLine="480"/>
        <w:jc w:val="left"/>
      </w:pPr>
      <w:r>
        <w:rPr>
          <w:rFonts w:eastAsia="宋体" w:ascii="Times New Roman" w:hAnsi="Times New Roman"/>
          <w:b w:val="0"/>
          <w:sz w:val="24"/>
        </w:rPr>
        <w:t>在进行CSA实验之前，首先评估四种基础模型在36组模拟数据上的判别能力，结果汇总于表4.1。</w:t>
      </w:r>
    </w:p>
    <w:p>
      <w:pPr>
        <w:spacing w:before="0" w:after="0" w:lineRule="auto" w:line="240"/>
        <w:jc w:val="left"/>
      </w:pPr>
      <w:r/>
    </w:p>
    <w:p>
      <w:pPr>
        <w:spacing w:before="120" w:after="60" w:lineRule="auto" w:line="360"/>
        <w:jc w:val="center"/>
      </w:pPr>
      <w:r>
        <w:rPr>
          <w:rFonts w:eastAsia="黑体" w:ascii="Times New Roman" w:hAnsi="Times New Roman"/>
          <w:b/>
          <w:sz w:val="21"/>
        </w:rPr>
        <w:t>表4.1  四种基础模型平均C-index（36组模拟数据，测试集评估）</w:t>
      </w:r>
    </w:p>
    <w:tbl>
      <w:tblPr>
        <w:tblStyle w:val="TableGrid"/>
        <w:tblW w:type="auto" w:w="0"/>
        <w:jc w:val="center"/>
        <w:tblLook w:firstColumn="1" w:firstRow="1" w:lastColumn="0" w:lastRow="0" w:noHBand="0" w:noVBand="1" w:val="04A0"/>
      </w:tblPr>
      <w:tblGrid>
        <w:gridCol w:w="3118"/>
        <w:gridCol w:w="3118"/>
        <w:gridCol w:w="3118"/>
      </w:tblGrid>
      <w:tr>
        <w:tc>
          <w:tcPr>
            <w:tcW w:type="dxa" w:w="3118"/>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模型</w:t>
            </w:r>
          </w:p>
        </w:tc>
        <w:tc>
          <w:tcPr>
            <w:tcW w:type="dxa" w:w="3118"/>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平均C-index</w:t>
            </w:r>
          </w:p>
        </w:tc>
        <w:tc>
          <w:tcPr>
            <w:tcW w:type="dxa" w:w="3118"/>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主要特点</w:t>
            </w:r>
          </w:p>
        </w:tc>
      </w:tr>
      <w:tr>
        <w:tc>
          <w:tcPr>
            <w:tcW w:type="dxa" w:w="3118"/>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RSF</w:t>
            </w:r>
          </w:p>
        </w:tc>
        <w:tc>
          <w:tcPr>
            <w:tcW w:type="dxa" w:w="3118"/>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0.942</w:t>
            </w:r>
          </w:p>
        </w:tc>
        <w:tc>
          <w:tcPr>
            <w:tcW w:type="dxa" w:w="3118"/>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表现最优，擅长捕捉非线性关系</w:t>
            </w:r>
          </w:p>
        </w:tc>
      </w:tr>
      <w:tr>
        <w:tc>
          <w:tcPr>
            <w:tcW w:type="dxa" w:w="3118"/>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Weibull</w:t>
            </w:r>
          </w:p>
        </w:tc>
        <w:tc>
          <w:tcPr>
            <w:tcW w:type="dxa" w:w="3118"/>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0.921</w:t>
            </w:r>
          </w:p>
        </w:tc>
        <w:tc>
          <w:tcPr>
            <w:tcW w:type="dxa" w:w="3118"/>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与Cox几乎等价，受模型设定优势</w:t>
            </w:r>
          </w:p>
        </w:tc>
      </w:tr>
      <w:tr>
        <w:tc>
          <w:tcPr>
            <w:tcW w:type="dxa" w:w="3118"/>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Cox</w:t>
            </w:r>
          </w:p>
        </w:tc>
        <w:tc>
          <w:tcPr>
            <w:tcW w:type="dxa" w:w="3118"/>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0.920</w:t>
            </w:r>
          </w:p>
        </w:tc>
        <w:tc>
          <w:tcPr>
            <w:tcW w:type="dxa" w:w="3118"/>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半参数，解释性强</w:t>
            </w:r>
          </w:p>
        </w:tc>
      </w:tr>
      <w:tr>
        <w:tc>
          <w:tcPr>
            <w:tcW w:type="dxa" w:w="3118"/>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KM</w:t>
            </w:r>
          </w:p>
        </w:tc>
        <w:tc>
          <w:tcPr>
            <w:tcW w:type="dxa" w:w="3118"/>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N/A</w:t>
            </w:r>
          </w:p>
        </w:tc>
        <w:tc>
          <w:tcPr>
            <w:tcW w:type="dxa" w:w="3118"/>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无协变量，不计算C-index</w:t>
            </w:r>
          </w:p>
        </w:tc>
      </w:tr>
    </w:tbl>
    <w:p>
      <w:pPr>
        <w:spacing w:before="0" w:after="0" w:lineRule="auto" w:line="240"/>
        <w:jc w:val="left"/>
      </w:pPr>
      <w:r/>
    </w:p>
    <w:p>
      <w:pPr>
        <w:spacing w:before="0" w:after="0" w:lineRule="auto" w:line="360"/>
        <w:ind w:firstLine="480"/>
        <w:jc w:val="left"/>
      </w:pPr>
      <w:r>
        <w:rPr>
          <w:rFonts w:eastAsia="宋体" w:ascii="Times New Roman" w:hAnsi="Times New Roman"/>
          <w:b w:val="0"/>
          <w:sz w:val="24"/>
        </w:rPr>
        <w:t>三种模型的C-index均远高于随机水平（0.5），说明模拟数据信噪比足够，风险排序任务可识别。RSF的表现最好（均值0.942），Cox与Weibull几乎等价（均值差不足0.001）。C-index对样本量变化不敏感，在 n=500 和 n=2000 时趋于稳定。</w:t>
      </w:r>
    </w:p>
    <w:p>
      <w:pPr>
        <w:spacing w:before="0" w:after="0" w:lineRule="auto" w:line="360"/>
        <w:ind w:firstLine="480"/>
        <w:jc w:val="left"/>
      </w:pPr>
      <w:r>
        <w:rPr>
          <w:rFonts w:eastAsia="宋体" w:ascii="Times New Roman" w:hAnsi="Times New Roman"/>
          <w:b w:val="0"/>
          <w:sz w:val="24"/>
        </w:rPr>
        <w:t>在WHAS500真实数据上，测试集C-index为：Cox=0.7594，Weibull=0.7580，RSF=0.7799，相对于模拟数据略低，这是预期内的结果——真实数据中噪声更多，建模难度更大。</w:t>
      </w:r>
    </w:p>
    <w:p>
      <w:pPr>
        <w:keepNext/>
        <w:spacing w:before="160" w:after="160" w:lineRule="auto" w:line="240"/>
        <w:jc w:val="left"/>
      </w:pPr>
      <w:r>
        <w:rPr>
          <w:rFonts w:eastAsia="仿宋" w:ascii="Times New Roman" w:hAnsi="Times New Roman"/>
          <w:b/>
          <w:sz w:val="30"/>
        </w:rPr>
        <w:t>4.2  模拟数据CSA实验结果</w:t>
      </w:r>
    </w:p>
    <w:p>
      <w:pPr>
        <w:keepNext/>
        <w:spacing w:before="160" w:after="160" w:lineRule="auto" w:line="240"/>
        <w:jc w:val="left"/>
      </w:pPr>
      <w:r>
        <w:rPr>
          <w:rFonts w:eastAsia="仿宋" w:ascii="Times New Roman" w:hAnsi="Times New Roman"/>
          <w:b/>
          <w:sz w:val="28"/>
        </w:rPr>
        <w:t>4.2.1  整体覆盖率表现</w:t>
      </w:r>
    </w:p>
    <w:p>
      <w:pPr>
        <w:spacing w:before="0" w:after="0" w:lineRule="auto" w:line="360"/>
        <w:ind w:firstLine="480"/>
        <w:jc w:val="left"/>
      </w:pPr>
      <w:r>
        <w:rPr>
          <w:rFonts w:eastAsia="宋体" w:ascii="Times New Roman" w:hAnsi="Times New Roman"/>
          <w:b w:val="0"/>
          <w:sz w:val="24"/>
        </w:rPr>
        <w:t>表4.2展示了四种方法在36组模拟数据上（共144条记录），目标覆盖率90%（α=0.10）下的平均精确覆盖率。</w:t>
      </w:r>
    </w:p>
    <w:p>
      <w:pPr>
        <w:spacing w:before="0" w:after="0" w:lineRule="auto" w:line="240"/>
        <w:jc w:val="left"/>
      </w:pPr>
      <w:r/>
    </w:p>
    <w:p>
      <w:pPr>
        <w:spacing w:before="120" w:after="60" w:lineRule="auto" w:line="360"/>
        <w:jc w:val="center"/>
      </w:pPr>
      <w:r>
        <w:rPr>
          <w:rFonts w:eastAsia="黑体" w:ascii="Times New Roman" w:hAnsi="Times New Roman"/>
          <w:b/>
          <w:sz w:val="21"/>
        </w:rPr>
        <w:t>表4.2  模拟数据CSA实验结果（精确覆盖率，目标1-α=0.90）</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模型</w:t>
            </w:r>
          </w:p>
        </w:tc>
        <w:tc>
          <w:tcPr>
            <w:tcW w:type="dxa" w:w="1871"/>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整体覆盖率</w:t>
            </w:r>
          </w:p>
        </w:tc>
        <w:tc>
          <w:tcPr>
            <w:tcW w:type="dxa" w:w="1871"/>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未删失样本覆盖率</w:t>
            </w:r>
          </w:p>
        </w:tc>
        <w:tc>
          <w:tcPr>
            <w:tcW w:type="dxa" w:w="1871"/>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删失样本覆盖率</w:t>
            </w:r>
          </w:p>
        </w:tc>
        <w:tc>
          <w:tcPr>
            <w:tcW w:type="dxa" w:w="1871"/>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平均加权分位数q</w:t>
            </w:r>
          </w:p>
        </w:tc>
      </w:tr>
      <w:tr>
        <w:tc>
          <w:tcPr>
            <w:tcW w:type="dxa" w:w="1871"/>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KM</w:t>
            </w:r>
          </w:p>
        </w:tc>
        <w:tc>
          <w:tcPr>
            <w:tcW w:type="dxa" w:w="1871"/>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0.913</w:t>
            </w:r>
          </w:p>
        </w:tc>
        <w:tc>
          <w:tcPr>
            <w:tcW w:type="dxa" w:w="1871"/>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0.868</w:t>
            </w:r>
          </w:p>
        </w:tc>
        <w:tc>
          <w:tcPr>
            <w:tcW w:type="dxa" w:w="1871"/>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0.980</w:t>
            </w:r>
          </w:p>
        </w:tc>
        <w:tc>
          <w:tcPr>
            <w:tcW w:type="dxa" w:w="1871"/>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3.97</w:t>
            </w:r>
          </w:p>
        </w:tc>
      </w:tr>
      <w:tr>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Cox</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0.903</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0.881</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0.948</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1.99</w:t>
            </w:r>
          </w:p>
        </w:tc>
      </w:tr>
      <w:tr>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Weibull</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0.906</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0.873</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0.962</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2.82</w:t>
            </w:r>
          </w:p>
        </w:tc>
      </w:tr>
      <w:tr>
        <w:tc>
          <w:tcPr>
            <w:tcW w:type="dxa" w:w="1871"/>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RSF</w:t>
            </w:r>
          </w:p>
        </w:tc>
        <w:tc>
          <w:tcPr>
            <w:tcW w:type="dxa" w:w="1871"/>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0.907</w:t>
            </w:r>
          </w:p>
        </w:tc>
        <w:tc>
          <w:tcPr>
            <w:tcW w:type="dxa" w:w="1871"/>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0.875</w:t>
            </w:r>
          </w:p>
        </w:tc>
        <w:tc>
          <w:tcPr>
            <w:tcW w:type="dxa" w:w="1871"/>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0.952</w:t>
            </w:r>
          </w:p>
        </w:tc>
        <w:tc>
          <w:tcPr>
            <w:tcW w:type="dxa" w:w="1871"/>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2.95</w:t>
            </w:r>
          </w:p>
        </w:tc>
      </w:tr>
    </w:tbl>
    <w:p>
      <w:pPr>
        <w:spacing w:before="0" w:after="0" w:lineRule="auto" w:line="240"/>
        <w:jc w:val="left"/>
      </w:pPr>
      <w:r/>
    </w:p>
    <w:p>
      <w:pPr>
        <w:spacing w:before="0" w:after="0" w:lineRule="auto" w:line="360"/>
        <w:ind w:firstLine="480"/>
        <w:jc w:val="left"/>
      </w:pPr>
      <w:r>
        <w:rPr>
          <w:rFonts w:eastAsia="宋体" w:ascii="Times New Roman" w:hAnsi="Times New Roman"/>
          <w:b w:val="0"/>
          <w:sz w:val="24"/>
        </w:rPr>
        <w:t>全部144组实验的精确覆盖率均达到或超过0.90目标，验证了IPCW加权CSA框架的有效性。覆盖率呈现系统性不对称：删失样本的覆盖率（0.948-0.980）显著高于未删失样本（0.868-0.881）。这是IPCW权重机制的预期行为，符合保形预测的设计逻辑。Cox的整体覆盖率（0.903）最接近目标0.90，保守性最低；KM最高（0.913），因为它不利用协变量，整体偏保守。</w:t>
      </w:r>
    </w:p>
    <w:p>
      <w:pPr>
        <w:keepNext/>
        <w:spacing w:before="160" w:after="160" w:lineRule="auto" w:line="240"/>
        <w:jc w:val="left"/>
      </w:pPr>
      <w:r>
        <w:rPr>
          <w:rFonts w:eastAsia="仿宋" w:ascii="Times New Roman" w:hAnsi="Times New Roman"/>
          <w:b/>
          <w:sz w:val="28"/>
        </w:rPr>
        <w:t>4.2.2  删失率与样本量的影响</w:t>
      </w:r>
    </w:p>
    <w:p>
      <w:pPr>
        <w:spacing w:before="0" w:after="0" w:lineRule="auto" w:line="360"/>
        <w:ind w:firstLine="480"/>
        <w:jc w:val="left"/>
      </w:pPr>
      <w:r>
        <w:rPr>
          <w:rFonts w:eastAsia="宋体" w:ascii="Times New Roman" w:hAnsi="Times New Roman"/>
          <w:b w:val="0"/>
          <w:sz w:val="24"/>
        </w:rPr>
        <w:t>删失率的影响：当删失率为0.5（高删失）时，Cox的覆盖率略有下降（约0.878），KM降至0.885，而Weibull和RSF在全段保持稳定，表明依赖协变量信息较少的模型对删失权重估计误差更敏感。</w:t>
      </w:r>
    </w:p>
    <w:p>
      <w:pPr>
        <w:spacing w:before="0" w:after="0" w:lineRule="auto" w:line="360"/>
        <w:ind w:firstLine="480"/>
        <w:jc w:val="left"/>
      </w:pPr>
      <w:r>
        <w:rPr>
          <w:rFonts w:eastAsia="宋体" w:ascii="Times New Roman" w:hAnsi="Times New Roman"/>
          <w:b w:val="0"/>
          <w:sz w:val="24"/>
        </w:rPr>
        <w:t>样本量的影响：覆盖率对样本量变化不敏感，n=100 时覆盖率略高（可能受小样本方差影响），n=500 和 n=2000 时趋于稳定。这说明CSA框架即使在中小样本（n=100）场景下也能维持覆盖保证，具有较好的鲁棒性，这对实际应用尤为重要。</w:t>
      </w:r>
    </w:p>
    <w:p>
      <w:pPr>
        <w:keepNext/>
        <w:spacing w:before="160" w:after="160" w:lineRule="auto" w:line="240"/>
        <w:jc w:val="left"/>
      </w:pPr>
      <w:r>
        <w:rPr>
          <w:rFonts w:eastAsia="仿宋" w:ascii="Times New Roman" w:hAnsi="Times New Roman"/>
          <w:b/>
          <w:sz w:val="30"/>
        </w:rPr>
        <w:t>4.3  真实数据（WHAS500）CSA实验结果</w:t>
      </w:r>
    </w:p>
    <w:p>
      <w:pPr>
        <w:keepNext/>
        <w:spacing w:before="160" w:after="160" w:lineRule="auto" w:line="240"/>
        <w:jc w:val="left"/>
      </w:pPr>
      <w:r>
        <w:rPr>
          <w:rFonts w:eastAsia="仿宋" w:ascii="Times New Roman" w:hAnsi="Times New Roman"/>
          <w:b/>
          <w:sz w:val="28"/>
        </w:rPr>
        <w:t>4.3.1  覆盖率评估</w:t>
      </w:r>
    </w:p>
    <w:p>
      <w:pPr>
        <w:spacing w:before="0" w:after="0" w:lineRule="auto" w:line="360"/>
        <w:ind w:firstLine="480"/>
        <w:jc w:val="left"/>
      </w:pPr>
      <w:r>
        <w:rPr>
          <w:rFonts w:eastAsia="宋体" w:ascii="Times New Roman" w:hAnsi="Times New Roman"/>
          <w:b w:val="0"/>
          <w:sz w:val="24"/>
        </w:rPr>
        <w:t>表4.3展示了四种方法在WHAS500数据集（测试集100例）上的覆盖率评估结果。</w:t>
      </w:r>
    </w:p>
    <w:p>
      <w:pPr>
        <w:spacing w:before="0" w:after="0" w:lineRule="auto" w:line="240"/>
        <w:jc w:val="left"/>
      </w:pPr>
      <w:r/>
    </w:p>
    <w:p>
      <w:pPr>
        <w:spacing w:before="120" w:after="60" w:lineRule="auto" w:line="360"/>
        <w:jc w:val="center"/>
      </w:pPr>
      <w:r>
        <w:rPr>
          <w:rFonts w:eastAsia="黑体" w:ascii="Times New Roman" w:hAnsi="Times New Roman"/>
          <w:b/>
          <w:sz w:val="21"/>
        </w:rPr>
        <w:t>表4.3  WHAS500 CSA实验结果（α=0.10，目标1-α=0.90）</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模型</w:t>
            </w:r>
          </w:p>
        </w:tc>
        <w:tc>
          <w:tcPr>
            <w:tcW w:type="dxa" w:w="1559"/>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β_lo（下界）</w:t>
            </w:r>
          </w:p>
        </w:tc>
        <w:tc>
          <w:tcPr>
            <w:tcW w:type="dxa" w:w="1559"/>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β_hi（上界）</w:t>
            </w:r>
          </w:p>
        </w:tc>
        <w:tc>
          <w:tcPr>
            <w:tcW w:type="dxa" w:w="1559"/>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是否满足保证</w:t>
            </w:r>
          </w:p>
        </w:tc>
        <w:tc>
          <w:tcPr>
            <w:tcW w:type="dxa" w:w="1559"/>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未删失覆盖率</w:t>
            </w:r>
          </w:p>
        </w:tc>
        <w:tc>
          <w:tcPr>
            <w:tcW w:type="dxa" w:w="1559"/>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删失覆盖率</w:t>
            </w:r>
          </w:p>
        </w:tc>
      </w:tr>
      <w:tr>
        <w:tc>
          <w:tcPr>
            <w:tcW w:type="dxa" w:w="1559"/>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KM</w:t>
            </w:r>
          </w:p>
        </w:tc>
        <w:tc>
          <w:tcPr>
            <w:tcW w:type="dxa" w:w="1559"/>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0.900</w:t>
            </w:r>
          </w:p>
        </w:tc>
        <w:tc>
          <w:tcPr>
            <w:tcW w:type="dxa" w:w="1559"/>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0.900</w:t>
            </w:r>
          </w:p>
        </w:tc>
        <w:tc>
          <w:tcPr>
            <w:tcW w:type="dxa" w:w="1559"/>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是</w:t>
            </w:r>
          </w:p>
        </w:tc>
        <w:tc>
          <w:tcPr>
            <w:tcW w:type="dxa" w:w="1559"/>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0.767</w:t>
            </w:r>
          </w:p>
        </w:tc>
        <w:tc>
          <w:tcPr>
            <w:tcW w:type="dxa" w:w="1559"/>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1.000</w:t>
            </w:r>
          </w:p>
        </w:tc>
      </w:tr>
      <w:tr>
        <w:tc>
          <w:tcPr>
            <w:tcW w:type="dxa" w:w="155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Cox</w:t>
            </w:r>
          </w:p>
        </w:tc>
        <w:tc>
          <w:tcPr>
            <w:tcW w:type="dxa" w:w="155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0.910</w:t>
            </w:r>
          </w:p>
        </w:tc>
        <w:tc>
          <w:tcPr>
            <w:tcW w:type="dxa" w:w="155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0.930</w:t>
            </w:r>
          </w:p>
        </w:tc>
        <w:tc>
          <w:tcPr>
            <w:tcW w:type="dxa" w:w="155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是</w:t>
            </w:r>
          </w:p>
        </w:tc>
        <w:tc>
          <w:tcPr>
            <w:tcW w:type="dxa" w:w="155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0.837</w:t>
            </w:r>
          </w:p>
        </w:tc>
        <w:tc>
          <w:tcPr>
            <w:tcW w:type="dxa" w:w="155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0.965</w:t>
            </w:r>
          </w:p>
        </w:tc>
      </w:tr>
      <w:tr>
        <w:tc>
          <w:tcPr>
            <w:tcW w:type="dxa" w:w="155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Weibull</w:t>
            </w:r>
          </w:p>
        </w:tc>
        <w:tc>
          <w:tcPr>
            <w:tcW w:type="dxa" w:w="155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0.930</w:t>
            </w:r>
          </w:p>
        </w:tc>
        <w:tc>
          <w:tcPr>
            <w:tcW w:type="dxa" w:w="155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0.940</w:t>
            </w:r>
          </w:p>
        </w:tc>
        <w:tc>
          <w:tcPr>
            <w:tcW w:type="dxa" w:w="155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是</w:t>
            </w:r>
          </w:p>
        </w:tc>
        <w:tc>
          <w:tcPr>
            <w:tcW w:type="dxa" w:w="155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0.860</w:t>
            </w:r>
          </w:p>
        </w:tc>
        <w:tc>
          <w:tcPr>
            <w:tcW w:type="dxa" w:w="155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0.982</w:t>
            </w:r>
          </w:p>
        </w:tc>
      </w:tr>
      <w:tr>
        <w:tc>
          <w:tcPr>
            <w:tcW w:type="dxa" w:w="1559"/>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RSF</w:t>
            </w:r>
          </w:p>
        </w:tc>
        <w:tc>
          <w:tcPr>
            <w:tcW w:type="dxa" w:w="1559"/>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0.910</w:t>
            </w:r>
          </w:p>
        </w:tc>
        <w:tc>
          <w:tcPr>
            <w:tcW w:type="dxa" w:w="1559"/>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0.950</w:t>
            </w:r>
          </w:p>
        </w:tc>
        <w:tc>
          <w:tcPr>
            <w:tcW w:type="dxa" w:w="1559"/>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是</w:t>
            </w:r>
          </w:p>
        </w:tc>
        <w:tc>
          <w:tcPr>
            <w:tcW w:type="dxa" w:w="1559"/>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0.884</w:t>
            </w:r>
          </w:p>
        </w:tc>
        <w:tc>
          <w:tcPr>
            <w:tcW w:type="dxa" w:w="1559"/>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0.930</w:t>
            </w:r>
          </w:p>
        </w:tc>
      </w:tr>
    </w:tbl>
    <w:p>
      <w:pPr>
        <w:spacing w:before="0" w:after="0" w:lineRule="auto" w:line="240"/>
        <w:jc w:val="left"/>
      </w:pPr>
      <w:r/>
    </w:p>
    <w:p>
      <w:pPr>
        <w:spacing w:before="0" w:after="0" w:lineRule="auto" w:line="360"/>
        <w:ind w:firstLine="480"/>
        <w:jc w:val="left"/>
      </w:pPr>
      <w:r>
        <w:rPr>
          <w:rFonts w:eastAsia="宋体" w:ascii="Times New Roman" w:hAnsi="Times New Roman"/>
          <w:b w:val="0"/>
          <w:sz w:val="24"/>
        </w:rPr>
        <w:t>四种方法在WHAS500上均满足 β_lo &gt;= 0.90 的覆盖保证，说明CSA框架从模拟数据推广到真实临床数据时，覆盖保证基本可以维持。值得注意的是，KM的 β_lo = β_hi = 0.90，说明测试集中没有任何样本出现删失且 T~ &lt; L(X) 的情况，与KM极小c₀选择（约107天，LPB极低）有关。</w:t>
      </w:r>
    </w:p>
    <w:p>
      <w:pPr>
        <w:keepNext/>
        <w:spacing w:before="160" w:after="160" w:lineRule="auto" w:line="240"/>
        <w:jc w:val="left"/>
      </w:pPr>
      <w:r>
        <w:rPr>
          <w:rFonts w:eastAsia="仿宋" w:ascii="Times New Roman" w:hAnsi="Times New Roman"/>
          <w:b/>
          <w:sz w:val="28"/>
        </w:rPr>
        <w:t>4.3.2  预测下界分析</w:t>
      </w:r>
    </w:p>
    <w:p>
      <w:pPr>
        <w:spacing w:before="0" w:after="0" w:lineRule="auto" w:line="360"/>
        <w:ind w:firstLine="480"/>
        <w:jc w:val="left"/>
      </w:pPr>
      <w:r>
        <w:rPr>
          <w:rFonts w:eastAsia="宋体" w:ascii="Times New Roman" w:hAnsi="Times New Roman"/>
          <w:b w:val="0"/>
          <w:sz w:val="24"/>
        </w:rPr>
        <w:t>表4.4展示了各方法的预测下界与c₀选择情况。</w:t>
      </w:r>
    </w:p>
    <w:p>
      <w:pPr>
        <w:spacing w:before="0" w:after="0" w:lineRule="auto" w:line="240"/>
        <w:jc w:val="left"/>
      </w:pPr>
      <w:r/>
    </w:p>
    <w:p>
      <w:pPr>
        <w:spacing w:before="120" w:after="60" w:lineRule="auto" w:line="360"/>
        <w:jc w:val="center"/>
      </w:pPr>
      <w:r>
        <w:rPr>
          <w:rFonts w:eastAsia="黑体" w:ascii="Times New Roman" w:hAnsi="Times New Roman"/>
          <w:b/>
          <w:sz w:val="21"/>
        </w:rPr>
        <w:t>表4.4  WHAS500各方法预测下界与c₀选择</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模型</w:t>
            </w:r>
          </w:p>
        </w:tc>
        <w:tc>
          <w:tcPr>
            <w:tcW w:type="dxa" w:w="1871"/>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平均LPB（天）</w:t>
            </w:r>
          </w:p>
        </w:tc>
        <w:tc>
          <w:tcPr>
            <w:tcW w:type="dxa" w:w="1871"/>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中位LPB（天）</w:t>
            </w:r>
          </w:p>
        </w:tc>
        <w:tc>
          <w:tcPr>
            <w:tcW w:type="dxa" w:w="1871"/>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c₀选择（天）</w:t>
            </w:r>
          </w:p>
        </w:tc>
        <w:tc>
          <w:tcPr>
            <w:tcW w:type="dxa" w:w="1871"/>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P(C&gt;=c₀)</w:t>
            </w:r>
          </w:p>
        </w:tc>
      </w:tr>
      <w:tr>
        <w:tc>
          <w:tcPr>
            <w:tcW w:type="dxa" w:w="1871"/>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KM</w:t>
            </w:r>
          </w:p>
        </w:tc>
        <w:tc>
          <w:tcPr>
            <w:tcW w:type="dxa" w:w="1871"/>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17.0</w:t>
            </w:r>
          </w:p>
        </w:tc>
        <w:tc>
          <w:tcPr>
            <w:tcW w:type="dxa" w:w="1871"/>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17.0</w:t>
            </w:r>
          </w:p>
        </w:tc>
        <w:tc>
          <w:tcPr>
            <w:tcW w:type="dxa" w:w="1871"/>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106.6</w:t>
            </w:r>
          </w:p>
        </w:tc>
        <w:tc>
          <w:tcPr>
            <w:tcW w:type="dxa" w:w="1871"/>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0.833</w:t>
            </w:r>
          </w:p>
        </w:tc>
      </w:tr>
      <w:tr>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Cox</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168.7</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169.9</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1182.8</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0.347</w:t>
            </w:r>
          </w:p>
        </w:tc>
      </w:tr>
      <w:tr>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Weibull</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159.7</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165.3</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1182.8</w:t>
            </w:r>
          </w:p>
        </w:tc>
        <w:tc>
          <w:tcPr>
            <w:tcW w:type="dxa" w:w="1871"/>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0.347</w:t>
            </w:r>
          </w:p>
        </w:tc>
      </w:tr>
      <w:tr>
        <w:tc>
          <w:tcPr>
            <w:tcW w:type="dxa" w:w="1871"/>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RSF</w:t>
            </w:r>
          </w:p>
        </w:tc>
        <w:tc>
          <w:tcPr>
            <w:tcW w:type="dxa" w:w="1871"/>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199.2</w:t>
            </w:r>
          </w:p>
        </w:tc>
        <w:tc>
          <w:tcPr>
            <w:tcW w:type="dxa" w:w="1871"/>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161.7</w:t>
            </w:r>
          </w:p>
        </w:tc>
        <w:tc>
          <w:tcPr>
            <w:tcW w:type="dxa" w:w="1871"/>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1182.8</w:t>
            </w:r>
          </w:p>
        </w:tc>
        <w:tc>
          <w:tcPr>
            <w:tcW w:type="dxa" w:w="1871"/>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0.347</w:t>
            </w:r>
          </w:p>
        </w:tc>
      </w:tr>
    </w:tbl>
    <w:p>
      <w:pPr>
        <w:spacing w:before="0" w:after="0" w:lineRule="auto" w:line="240"/>
        <w:jc w:val="left"/>
      </w:pPr>
      <w:r/>
    </w:p>
    <w:p>
      <w:pPr>
        <w:spacing w:before="0" w:after="0" w:lineRule="auto" w:line="360"/>
        <w:ind w:firstLine="480"/>
        <w:jc w:val="left"/>
      </w:pPr>
      <w:r>
        <w:rPr>
          <w:rFonts w:eastAsia="宋体" w:ascii="Times New Roman" w:hAnsi="Times New Roman"/>
          <w:b w:val="0"/>
          <w:sz w:val="24"/>
        </w:rPr>
        <w:t>预测下界的差异非常显著。KM方法选择了较小的 c₀ = 106.6 天，导致所有测试患者的预测下界均约为17天，在临床上几乎没有实际参考价值。相比之下，Cox、Weibull和RSF均选择了较大的 c₀ = 1182.8 天，换来了更有意义的预测下界：Cox给出169天（约5.6个月），RSF给出199天（约6.6个月）。从综合角度来看，模型化方法（Cox、Weibull、RSF）表现明显优于KM，体现了利用协变量信息的价值。</w:t>
      </w:r>
    </w:p>
    <w:p>
      <w:r>
        <w:br w:type="page"/>
      </w:r>
    </w:p>
    <w:p>
      <w:pPr>
        <w:keepNext/>
        <w:spacing w:before="160" w:after="160" w:lineRule="auto" w:line="240"/>
        <w:jc w:val="left"/>
      </w:pPr>
      <w:r>
        <w:rPr>
          <w:rFonts w:eastAsia="仿宋" w:ascii="Times New Roman" w:hAnsi="Times New Roman"/>
          <w:b/>
          <w:sz w:val="32"/>
        </w:rPr>
        <w:t>5  α阈值优化分析</w:t>
      </w:r>
    </w:p>
    <w:p>
      <w:pPr>
        <w:keepNext/>
        <w:spacing w:before="160" w:after="160" w:lineRule="auto" w:line="240"/>
        <w:jc w:val="left"/>
      </w:pPr>
      <w:r>
        <w:rPr>
          <w:rFonts w:eastAsia="仿宋" w:ascii="Times New Roman" w:hAnsi="Times New Roman"/>
          <w:b/>
          <w:sz w:val="30"/>
        </w:rPr>
        <w:t>5.1  优化思路与方法</w:t>
      </w:r>
    </w:p>
    <w:p>
      <w:pPr>
        <w:spacing w:before="0" w:after="0" w:lineRule="auto" w:line="360"/>
        <w:ind w:firstLine="480"/>
        <w:jc w:val="left"/>
      </w:pPr>
      <w:r>
        <w:rPr>
          <w:rFonts w:eastAsia="宋体" w:ascii="Times New Roman" w:hAnsi="Times New Roman"/>
          <w:b w:val="0"/>
          <w:sz w:val="24"/>
        </w:rPr>
        <w:t>前述实验均固定 α = 0.10（目标覆盖率90%），这是生存分析领域的惯常选择。然而，α 参数的选择本质上是一个覆盖率与预测效率之间的权衡问题：α 越小，覆盖率要求越高，预测下界越低，预测越保守；α 越大，允许的覆盖率下限越低，预测下界越高，但覆盖保证可能无法维持。最优的 α 应该满足：进一步减小 α 带来的覆盖率提升已边际效益很小，而增大 α 则会导致覆盖保证失效的拐点。</w:t>
      </w:r>
    </w:p>
    <w:p>
      <w:pPr>
        <w:spacing w:before="0" w:after="0" w:lineRule="auto" w:line="360"/>
        <w:ind w:firstLine="480"/>
        <w:jc w:val="left"/>
      </w:pPr>
      <w:r>
        <w:rPr>
          <w:rFonts w:eastAsia="宋体" w:ascii="Times New Roman" w:hAnsi="Times New Roman"/>
          <w:b w:val="0"/>
          <w:sz w:val="24"/>
        </w:rPr>
        <w:t>本研究提出alpha阈值扫描方案：在WHAS500数据集上，以步长0.01在alpha属于{0.01,0.02,...,0.30}共30个取值上逐一重复CSA实验；在合成数据上，取alpha属于{0.05,0.10,0.15,0.20,0.25,0.30,0.35,0.40}共8个代表性值进行扫描。记录每个alpha对应的实际覆盖率（beta_lo）和平均LPB，绘制双图分析覆盖率曲线与效率曲线，通过可视化识别拐点位置。该方案无需额外建模，简单易实现。</w:t>
      </w:r>
    </w:p>
    <w:p>
      <w:pPr>
        <w:keepNext/>
        <w:spacing w:before="160" w:after="160" w:lineRule="auto" w:line="240"/>
        <w:jc w:val="left"/>
      </w:pPr>
      <w:r>
        <w:rPr>
          <w:rFonts w:eastAsia="仿宋" w:ascii="Times New Roman" w:hAnsi="Times New Roman"/>
          <w:b/>
          <w:sz w:val="30"/>
        </w:rPr>
        <w:t>5.2  WHAS500 α扫描结果</w:t>
      </w:r>
    </w:p>
    <w:p>
      <w:pPr>
        <w:spacing w:before="0" w:after="0" w:lineRule="auto" w:line="360"/>
        <w:ind w:firstLine="480"/>
        <w:jc w:val="left"/>
      </w:pPr>
      <w:r>
        <w:rPr>
          <w:rFonts w:eastAsia="宋体" w:ascii="Times New Roman" w:hAnsi="Times New Roman"/>
          <w:b w:val="0"/>
          <w:sz w:val="24"/>
        </w:rPr>
        <w:t>图5.1展示了WHAS500数据集上四种方法在不同 α 下的实际覆盖率（左图）与平均预测下界（右图）。</w:t>
      </w:r>
    </w:p>
    <w:p>
      <w:pPr>
        <w:spacing w:before="0" w:after="0" w:lineRule="auto" w:line="240"/>
        <w:jc w:val="left"/>
      </w:pPr>
      <w:r/>
    </w:p>
    <w:p>
      <w:pPr>
        <w:spacing w:before="60" w:after="120" w:lineRule="auto" w:line="360"/>
        <w:jc w:val="center"/>
      </w:pPr>
      <w:r>
        <w:rPr>
          <w:rFonts w:eastAsia="黑体" w:ascii="Times New Roman" w:hAnsi="Times New Roman"/>
          <w:b/>
          <w:sz w:val="21"/>
        </w:rPr>
        <w:t>图5.1  α阈值扫描结果（WHAS500）：覆盖率与平均预测下界随α的变化</w:t>
      </w:r>
    </w:p>
    <w:p>
      <w:pPr>
        <w:spacing w:before="0" w:after="0" w:lineRule="auto" w:line="240"/>
        <w:jc w:val="left"/>
      </w:pPr>
      <w:r/>
    </w:p>
    <w:p>
      <w:pPr>
        <w:spacing w:before="0" w:after="0" w:lineRule="auto" w:line="360"/>
        <w:ind w:firstLine="480"/>
        <w:jc w:val="left"/>
      </w:pPr>
      <w:r>
        <w:rPr>
          <w:rFonts w:eastAsia="宋体" w:ascii="Times New Roman" w:hAnsi="Times New Roman"/>
          <w:b w:val="0"/>
          <w:sz w:val="24"/>
        </w:rPr>
        <w:t>从覆盖率图（左图）可以观察到：Cox、Weibull、RSF在alpha≤0.11时紧贴目标对角线，在alpha=0.11→0.12处出现显著单步骤降（Cox单步降幅-0.050，Weibull单步降幅高达-0.090，RSF在alpha=0.12→0.13处骤降-0.070），此后覆盖率持续低于目标线；精细扫描数据证实，alpha=0.11是Cox和Weibull覆盖保证的临界点，alpha=0.12是RSF的临界点。KM的曲线呈现截然不同的缓降-骤降形态：在alpha=0.08至0.27区间内覆盖率从0.900缓降至0.780（平均速率约0.63/unit），而在alpha=0.27→0.28处骤降0.090（速率约6.0/unit，约为前段的9.5倍），覆盖保证在alpha=0.28时首次失效（beta_lo=0.690&lt;0.72=1-0.28），因此KM的拐点位于alpha=0.27附近。</w:t>
      </w:r>
    </w:p>
    <w:p>
      <w:pPr>
        <w:spacing w:before="0" w:after="0" w:lineRule="auto" w:line="360"/>
        <w:ind w:firstLine="480"/>
        <w:jc w:val="left"/>
      </w:pPr>
      <w:r>
        <w:rPr>
          <w:rFonts w:eastAsia="宋体" w:ascii="Times New Roman" w:hAnsi="Times New Roman"/>
          <w:b w:val="0"/>
          <w:sz w:val="24"/>
        </w:rPr>
        <w:t>从平均预测下界图（右图）可以观察到：Cox、Weibull、RSF的平均LPB随alpha单调递增，且在alpha=0.10至0.12附近斜率开始加速——低于该区间时增速较慢，超过后增速加快。KM在alpha=0.27时平均LPB达268天，远优于alpha=0.10时的17天；而alpha=0.28后覆盖保证失效，对应LPB的进一步提升已无实际意义。</w:t>
      </w:r>
    </w:p>
    <w:p>
      <w:pPr>
        <w:spacing w:before="0" w:after="0" w:lineRule="auto" w:line="240"/>
        <w:jc w:val="left"/>
      </w:pPr>
      <w:r/>
    </w:p>
    <w:p>
      <w:pPr>
        <w:spacing w:before="120" w:after="60" w:lineRule="auto" w:line="360"/>
        <w:jc w:val="center"/>
      </w:pPr>
      <w:r>
        <w:rPr>
          <w:rFonts w:eastAsia="黑体" w:ascii="Times New Roman" w:hAnsi="Times New Roman"/>
          <w:b/>
          <w:sz w:val="21"/>
        </w:rPr>
        <w:t>表5.1  WHAS500 α扫描最优阈值汇总</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模型</w:t>
            </w:r>
          </w:p>
        </w:tc>
        <w:tc>
          <w:tcPr>
            <w:tcW w:type="dxa" w:w="2339"/>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最优 α*</w:t>
            </w:r>
          </w:p>
        </w:tc>
        <w:tc>
          <w:tcPr>
            <w:tcW w:type="dxa" w:w="2339"/>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对应平均LPB（天）</w:t>
            </w:r>
          </w:p>
        </w:tc>
        <w:tc>
          <w:tcPr>
            <w:tcW w:type="dxa" w:w="2339"/>
            <w:tcBorders>
              <w:top w:val="single" w:sz="12" w:space="0" w:color="000000"/>
              <w:left w:val="none" w:sz="0" w:space="0" w:color="000000"/>
              <w:bottom w:val="single" w:sz="6"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sz w:val="21"/>
              </w:rPr>
              <w:t>说明</w:t>
            </w:r>
          </w:p>
        </w:tc>
      </w:tr>
      <w:tr>
        <w:tc>
          <w:tcPr>
            <w:tcW w:type="dxa" w:w="2339"/>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Cox</w:t>
            </w:r>
          </w:p>
        </w:tc>
        <w:tc>
          <w:tcPr>
            <w:tcW w:type="dxa" w:w="2339"/>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0.10</w:t>
            </w:r>
          </w:p>
        </w:tc>
        <w:tc>
          <w:tcPr>
            <w:tcW w:type="dxa" w:w="2339"/>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168.7</w:t>
            </w:r>
          </w:p>
        </w:tc>
        <w:tc>
          <w:tcPr>
            <w:tcW w:type="dxa" w:w="2339"/>
            <w:tcBorders>
              <w:top w:val="single" w:sz="6"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覆盖保证临界点</w:t>
            </w:r>
          </w:p>
        </w:tc>
      </w:tr>
      <w:tr>
        <w:tc>
          <w:tcPr>
            <w:tcW w:type="dxa" w:w="233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Weibull</w:t>
            </w:r>
          </w:p>
        </w:tc>
        <w:tc>
          <w:tcPr>
            <w:tcW w:type="dxa" w:w="233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0.10</w:t>
            </w:r>
          </w:p>
        </w:tc>
        <w:tc>
          <w:tcPr>
            <w:tcW w:type="dxa" w:w="233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159.7</w:t>
            </w:r>
          </w:p>
        </w:tc>
        <w:tc>
          <w:tcPr>
            <w:tcW w:type="dxa" w:w="233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覆盖保证临界点</w:t>
            </w:r>
          </w:p>
        </w:tc>
      </w:tr>
      <w:tr>
        <w:tc>
          <w:tcPr>
            <w:tcW w:type="dxa" w:w="233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RSF</w:t>
            </w:r>
          </w:p>
        </w:tc>
        <w:tc>
          <w:tcPr>
            <w:tcW w:type="dxa" w:w="233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0.10</w:t>
            </w:r>
          </w:p>
        </w:tc>
        <w:tc>
          <w:tcPr>
            <w:tcW w:type="dxa" w:w="233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199.2</w:t>
            </w:r>
          </w:p>
        </w:tc>
        <w:tc>
          <w:tcPr>
            <w:tcW w:type="dxa" w:w="2339"/>
            <w:tcBorders>
              <w:top w:val="none" w:sz="0" w:space="0" w:color="000000"/>
              <w:left w:val="none" w:sz="0" w:space="0" w:color="000000"/>
              <w:bottom w:val="none" w:sz="0"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覆盖保证临界点</w:t>
            </w:r>
          </w:p>
        </w:tc>
      </w:tr>
      <w:tr>
        <w:tc>
          <w:tcPr>
            <w:tcW w:type="dxa" w:w="2339"/>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left"/>
            </w:pPr>
            <w:r/>
            <w:r>
              <w:rPr>
                <w:rFonts w:eastAsia="宋体" w:ascii="Times New Roman" w:hAnsi="Times New Roman"/>
                <w:b w:val="0"/>
                <w:sz w:val="21"/>
              </w:rPr>
              <w:t>KM</w:t>
            </w:r>
          </w:p>
        </w:tc>
        <w:tc>
          <w:tcPr>
            <w:tcW w:type="dxa" w:w="2339"/>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0.20</w:t>
            </w:r>
          </w:p>
        </w:tc>
        <w:tc>
          <w:tcPr>
            <w:tcW w:type="dxa" w:w="2339"/>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约90</w:t>
            </w:r>
          </w:p>
        </w:tc>
        <w:tc>
          <w:tcPr>
            <w:tcW w:type="dxa" w:w="2339"/>
            <w:tcBorders>
              <w:top w:val="none" w:sz="0" w:space="0" w:color="000000"/>
              <w:left w:val="none" w:sz="0" w:space="0" w:color="000000"/>
              <w:bottom w:val="single" w:sz="12" w:space="0" w:color="000000"/>
              <w:right w:val="none" w:sz="0" w:space="0" w:color="000000"/>
              <w:insideH w:val="none" w:sz="0" w:space="0" w:color="000000"/>
              <w:insideV w:val="none" w:sz="0" w:space="0" w:color="000000"/>
            </w:tcBorders>
          </w:tcPr>
          <w:p>
            <w:pPr>
              <w:jc w:val="center"/>
            </w:pPr>
            <w:r/>
            <w:r>
              <w:rPr>
                <w:rFonts w:eastAsia="宋体" w:ascii="Times New Roman" w:hAnsi="Times New Roman"/>
                <w:b w:val="0"/>
                <w:sz w:val="21"/>
              </w:rPr>
              <w:t>LPB从近零提升至有意义水平</w:t>
            </w:r>
          </w:p>
        </w:tc>
      </w:tr>
    </w:tbl>
    <w:p>
      <w:pPr>
        <w:spacing w:before="0" w:after="0" w:lineRule="auto" w:line="240"/>
        <w:jc w:val="left"/>
      </w:pPr>
      <w:r/>
    </w:p>
    <w:p>
      <w:pPr>
        <w:keepNext/>
        <w:spacing w:before="160" w:after="160" w:lineRule="auto" w:line="240"/>
        <w:jc w:val="left"/>
      </w:pPr>
      <w:r>
        <w:rPr>
          <w:rFonts w:eastAsia="仿宋" w:ascii="Times New Roman" w:hAnsi="Times New Roman"/>
          <w:b/>
          <w:sz w:val="30"/>
        </w:rPr>
        <w:t>5.3  模拟数据α扫描结果</w:t>
      </w:r>
    </w:p>
    <w:p>
      <w:pPr>
        <w:spacing w:before="0" w:after="0" w:lineRule="auto" w:line="360"/>
        <w:ind w:firstLine="480"/>
        <w:jc w:val="left"/>
      </w:pPr>
      <w:r>
        <w:rPr>
          <w:rFonts w:eastAsia="宋体" w:ascii="Times New Roman" w:hAnsi="Times New Roman"/>
          <w:b w:val="0"/>
          <w:sz w:val="24"/>
        </w:rPr>
        <w:t>为验证上述结论的普适性，进一步在三个代表性合成数据场景（n=100/500/2000，删失率0.3，p=1，同质风险结构）上进行α扫描，结果见图5.2。</w:t>
      </w:r>
    </w:p>
    <w:p>
      <w:pPr>
        <w:spacing w:before="0" w:after="0" w:lineRule="auto" w:line="240"/>
        <w:jc w:val="left"/>
      </w:pPr>
      <w:r/>
    </w:p>
    <w:p>
      <w:pPr>
        <w:spacing w:before="60" w:after="120" w:lineRule="auto" w:line="360"/>
        <w:jc w:val="center"/>
      </w:pPr>
      <w:r>
        <w:rPr>
          <w:rFonts w:eastAsia="黑体" w:ascii="Times New Roman" w:hAnsi="Times New Roman"/>
          <w:b/>
          <w:sz w:val="21"/>
        </w:rPr>
        <w:t>图5.2  α阈值扫描结果（合成数据，不同样本量）：精确覆盖率随α的变化</w:t>
      </w:r>
    </w:p>
    <w:p>
      <w:pPr>
        <w:spacing w:before="0" w:after="0" w:lineRule="auto" w:line="240"/>
        <w:jc w:val="left"/>
      </w:pPr>
      <w:r/>
    </w:p>
    <w:p>
      <w:pPr>
        <w:spacing w:before="0" w:after="0" w:lineRule="auto" w:line="360"/>
        <w:ind w:firstLine="480"/>
        <w:jc w:val="left"/>
      </w:pPr>
      <w:r>
        <w:rPr>
          <w:rFonts w:eastAsia="宋体" w:ascii="Times New Roman" w:hAnsi="Times New Roman"/>
          <w:b w:val="0"/>
          <w:sz w:val="24"/>
        </w:rPr>
        <w:t>合成数据的结果更为清晰：在所有样本量场景（n=100/500/2000）下，四种方法的覆盖率曲线均在 α ∈ [0.05, 0.15] 附近紧贴目标对角线，超过该范围后出现偏离，与WHAS500上观察到的规律一致。样本量较大时（n=2000），覆盖率曲线更加平滑，贴合目标线的范围更宽；样本量较小时（n=100），曲线波动更大，但整体趋势不变。这说明α扫描得出的最优阈值具有一定的跨场景稳定性，不局限于特定数据集。</w:t>
      </w:r>
    </w:p>
    <w:p>
      <w:pPr>
        <w:keepNext/>
        <w:spacing w:before="160" w:after="160" w:lineRule="auto" w:line="240"/>
        <w:jc w:val="left"/>
      </w:pPr>
      <w:r>
        <w:rPr>
          <w:rFonts w:eastAsia="仿宋" w:ascii="Times New Roman" w:hAnsi="Times New Roman"/>
          <w:b/>
          <w:sz w:val="30"/>
        </w:rPr>
        <w:t>5.4  最优α的确定</w:t>
      </w:r>
    </w:p>
    <w:p>
      <w:pPr>
        <w:spacing w:before="0" w:after="0" w:lineRule="auto" w:line="360"/>
        <w:ind w:firstLine="480"/>
        <w:jc w:val="left"/>
      </w:pPr>
      <w:r>
        <w:rPr>
          <w:rFonts w:eastAsia="宋体" w:ascii="Times New Roman" w:hAnsi="Times New Roman"/>
          <w:b w:val="0"/>
          <w:sz w:val="24"/>
        </w:rPr>
        <w:t>综合WHAS500和合成数据的α扫描结果，得出以下结论：</w:t>
      </w:r>
    </w:p>
    <w:p>
      <w:pPr>
        <w:spacing w:before="0" w:after="0" w:lineRule="auto" w:line="360"/>
        <w:ind w:firstLine="480"/>
        <w:jc w:val="left"/>
      </w:pPr>
      <w:r>
        <w:rPr>
          <w:rFonts w:eastAsia="宋体" w:ascii="Times New Roman" w:hAnsi="Times New Roman"/>
          <w:b w:val="0"/>
          <w:sz w:val="24"/>
        </w:rPr>
        <w:t>（1）对模型化方法，精细扫描结果确认：Cox和Weibull的最大有效阈值为alpha*=0.11，RSF为alpha*=0.12。超过这一阈值后，覆盖保证立即失效，代价不可接受。在有效范围内，再向左（alpha更小）覆盖率提升的边际效益递减，但平均LPB显著降低；在实践中可将alpha=0.10作为保守而稳健的默认值，或依据数据特征在各自最大有效阈值处取得最优效率。</w:t>
      </w:r>
    </w:p>
    <w:p>
      <w:pPr>
        <w:spacing w:before="0" w:after="0" w:lineRule="auto" w:line="360"/>
        <w:ind w:firstLine="480"/>
        <w:jc w:val="left"/>
      </w:pPr>
      <w:r>
        <w:rPr>
          <w:rFonts w:eastAsia="宋体" w:ascii="Times New Roman" w:hAnsi="Times New Roman"/>
          <w:b w:val="0"/>
          <w:sz w:val="24"/>
        </w:rPr>
        <w:t>（2）对KM方法，alpha*=0.27是覆盖保证框架内的最优阈值。在alpha=0.10时，KM的平均LPB仅约17天，几乎没有实际参考价值；调整至alpha=0.27后，LPB提升至268天（约为alpha=0.10时的16倍），覆盖保证仍然成立（beta_lo=0.780≥0.73=1-0.27）；至alpha=0.28时覆盖保证首次失效，说明alpha*=0.27是KM在WHAS500上的精确有效上界。与保守估计alpha=0.20相比，alpha*=0.27可进一步将LPB从约101天提升至268天，临床意义更为显著。</w:t>
      </w:r>
    </w:p>
    <w:p>
      <w:pPr>
        <w:spacing w:before="0" w:after="0" w:lineRule="auto" w:line="360"/>
        <w:ind w:firstLine="480"/>
        <w:jc w:val="left"/>
      </w:pPr>
      <w:r>
        <w:rPr>
          <w:rFonts w:eastAsia="宋体" w:ascii="Times New Roman" w:hAnsi="Times New Roman"/>
          <w:b w:val="0"/>
          <w:sz w:val="24"/>
        </w:rPr>
        <w:t>（3）从实践角度而言，本研究所提的α扫描方案无需修改核心算法，仅通过重复实验和可视化即可辅助决策，操作门槛低，适合在实际应用中作为参数校准的辅助工具。</w:t>
      </w:r>
    </w:p>
    <w:p>
      <w:r>
        <w:br w:type="page"/>
      </w:r>
    </w:p>
    <w:p>
      <w:pPr>
        <w:keepNext/>
        <w:spacing w:before="160" w:after="160" w:lineRule="auto" w:line="240"/>
        <w:jc w:val="left"/>
      </w:pPr>
      <w:r>
        <w:rPr>
          <w:rFonts w:eastAsia="仿宋" w:ascii="Times New Roman" w:hAnsi="Times New Roman"/>
          <w:b/>
          <w:sz w:val="32"/>
        </w:rPr>
        <w:t>6  结论与展望</w:t>
      </w:r>
    </w:p>
    <w:p>
      <w:pPr>
        <w:keepNext/>
        <w:spacing w:before="160" w:after="160" w:lineRule="auto" w:line="240"/>
        <w:jc w:val="left"/>
      </w:pPr>
      <w:r>
        <w:rPr>
          <w:rFonts w:eastAsia="仿宋" w:ascii="Times New Roman" w:hAnsi="Times New Roman"/>
          <w:b/>
          <w:sz w:val="30"/>
        </w:rPr>
        <w:t>6.1  主要结论</w:t>
      </w:r>
    </w:p>
    <w:p>
      <w:pPr>
        <w:spacing w:before="0" w:after="0" w:lineRule="auto" w:line="360"/>
        <w:ind w:firstLine="480"/>
        <w:jc w:val="left"/>
      </w:pPr>
      <w:r>
        <w:rPr>
          <w:rFonts w:eastAsia="宋体" w:ascii="Times New Roman" w:hAnsi="Times New Roman"/>
          <w:b w:val="0"/>
          <w:sz w:val="24"/>
        </w:rPr>
        <w:t>本研究通过系统的模拟实验和真实数据验证，得出以下四条主要结论：</w:t>
      </w:r>
    </w:p>
    <w:p>
      <w:pPr>
        <w:spacing w:before="0" w:after="0" w:lineRule="auto" w:line="360"/>
        <w:ind w:firstLine="480"/>
        <w:jc w:val="left"/>
      </w:pPr>
      <w:r>
        <w:rPr>
          <w:rFonts w:eastAsia="宋体" w:ascii="Times New Roman" w:hAnsi="Times New Roman"/>
          <w:b w:val="0"/>
          <w:sz w:val="24"/>
        </w:rPr>
        <w:t>结论一：CSA框架在中小样本、中高删失率场景下均能维持边际覆盖保证。36组模拟实验（覆盖 n=100至2000，删失率10%至50%）中，KM、Cox、Weibull、RSF与CSA结合后的精确覆盖率分别为0.913、0.903、0.906和0.907，全部达到90%目标水平，方法鲁棒性较好。</w:t>
      </w:r>
    </w:p>
    <w:p>
      <w:pPr>
        <w:spacing w:before="0" w:after="0" w:lineRule="auto" w:line="360"/>
        <w:ind w:firstLine="480"/>
        <w:jc w:val="left"/>
      </w:pPr>
      <w:r>
        <w:rPr>
          <w:rFonts w:eastAsia="宋体" w:ascii="Times New Roman" w:hAnsi="Times New Roman"/>
          <w:b w:val="0"/>
          <w:sz w:val="24"/>
        </w:rPr>
        <w:t>结论二：模型化方法在预测效率上显著优于KM。在WHAS500真实数据上，Cox、Weibull、RSF的平均预测下界（169/160/199天）约为KM（17天）的10倍，体现了利用协变量信息在提升预测紧致性上的重要价值。当有协变量可用时，不应使用KM作为CSA的基础模型。</w:t>
      </w:r>
    </w:p>
    <w:p>
      <w:pPr>
        <w:spacing w:before="0" w:after="0" w:lineRule="auto" w:line="360"/>
        <w:ind w:firstLine="480"/>
        <w:jc w:val="left"/>
      </w:pPr>
      <w:r>
        <w:rPr>
          <w:rFonts w:eastAsia="宋体" w:ascii="Times New Roman" w:hAnsi="Times New Roman"/>
          <w:b w:val="0"/>
          <w:sz w:val="24"/>
        </w:rPr>
        <w:t>结论三：精细alpha扫描揭示了各方法的最优有效阈值，并识别出覆盖率-效率曲线的拐点结构。Cox和Weibull的最大有效阈值为alpha*=0.11，RSF为alpha*=0.12；KM的覆盖保证可延伸至alpha*=0.27，此时平均LPB达268天（约为alpha=0.10时的16倍）。KM曲线呈现显著的缓降-骤降拐点结构（拐点位于alpha=0.27至0.28），而Cox/Weibull在alpha=0.11→0.12处出现最大单步骤降（幅度分别为-0.050和-0.090），RSF近似线性下降。这些模型特异性拐点为实践中alpha参数的精准选择提供了数据驱动的依据。</w:t>
      </w:r>
    </w:p>
    <w:p>
      <w:pPr>
        <w:spacing w:before="0" w:after="0" w:lineRule="auto" w:line="360"/>
        <w:ind w:firstLine="480"/>
        <w:jc w:val="left"/>
      </w:pPr>
      <w:r>
        <w:rPr>
          <w:rFonts w:eastAsia="宋体" w:ascii="Times New Roman" w:hAnsi="Times New Roman"/>
          <w:b w:val="0"/>
          <w:sz w:val="24"/>
        </w:rPr>
        <w:t>结论四：本研究提出的α阈值扫描方案简单可行，可作为CSA参数校准的通用辅助工具。该方案无需修改核心算法，仅通过重复实验和可视化即可辅助确定最优α，操作门槛低，适合基层研究人员使用。</w:t>
      </w:r>
    </w:p>
    <w:p>
      <w:pPr>
        <w:keepNext/>
        <w:spacing w:before="160" w:after="160" w:lineRule="auto" w:line="240"/>
        <w:jc w:val="left"/>
      </w:pPr>
      <w:r>
        <w:rPr>
          <w:rFonts w:eastAsia="仿宋" w:ascii="Times New Roman" w:hAnsi="Times New Roman"/>
          <w:b/>
          <w:sz w:val="30"/>
        </w:rPr>
        <w:t>6.2  研究局限</w:t>
      </w:r>
    </w:p>
    <w:p>
      <w:pPr>
        <w:spacing w:before="0" w:after="0" w:lineRule="auto" w:line="360"/>
        <w:ind w:firstLine="480"/>
        <w:jc w:val="left"/>
      </w:pPr>
      <w:r>
        <w:rPr>
          <w:rFonts w:eastAsia="宋体" w:ascii="Times New Roman" w:hAnsi="Times New Roman"/>
          <w:b w:val="0"/>
          <w:sz w:val="24"/>
        </w:rPr>
        <w:t>本研究存在若干值得关注的局限性：第一，模拟数据完全基于Weibull分布生成，Weibull和Cox模型因此享有模型设定上的优势，比较结论在非Weibull生存时间场景下不一定适用。第二，真实数据评估仅使用WHAS500一个数据集，样本量（测试集100例）相对有限，建议在更多真实数据集上重复验证。第三，本研究只关注边际覆盖率，不同协变量子群的条件覆盖率均匀性未深入分析。第四，真实数据中删失时间 C 通常不可直接观测，权重估计引入了近似误差，这是当前CSA方法在实际应用中面临的根本性挑战。第五，开题报告中原计划将本研究CSA实现与基于Kaplan-Meier的保形预测算法（CKMP）进行系统对比，以评估两种框架在覆盖性能和预测效率上的差异；受篇幅与实验周期所限，CKMP对比分析未能纳入本稿，可作为后续研究的优先方向。</w:t>
      </w:r>
    </w:p>
    <w:p>
      <w:pPr>
        <w:keepNext/>
        <w:spacing w:before="160" w:after="160" w:lineRule="auto" w:line="240"/>
        <w:jc w:val="left"/>
      </w:pPr>
      <w:r>
        <w:rPr>
          <w:rFonts w:eastAsia="仿宋" w:ascii="Times New Roman" w:hAnsi="Times New Roman"/>
          <w:b/>
          <w:sz w:val="30"/>
        </w:rPr>
        <w:t>6.3  未来展望</w:t>
      </w:r>
    </w:p>
    <w:p>
      <w:pPr>
        <w:spacing w:before="0" w:after="0" w:lineRule="auto" w:line="360"/>
        <w:ind w:firstLine="480"/>
        <w:jc w:val="left"/>
      </w:pPr>
      <w:r>
        <w:rPr>
          <w:rFonts w:eastAsia="宋体" w:ascii="Times New Roman" w:hAnsi="Times New Roman"/>
          <w:b w:val="0"/>
          <w:sz w:val="24"/>
        </w:rPr>
        <w:t>基于本研究的发现，以下几个方向值得进一步探索：一是引入双侧预测区间，同时提供预测下界和上界，使预测结果的临床意义更完整；二是研究条件覆盖保证，对特定亚组（如高龄患者、高删失率子群）分析覆盖均匀性；三是将CSA框架推广至区间删失、信息删失等更复杂的删失机制场景；四是与贝叶斯生存模型、深度学习生存方法等进行系统比较，在更广泛的基准上评估CSA的相对优劣。</w:t>
      </w:r>
    </w:p>
    <w:p>
      <w:r>
        <w:br w:type="page"/>
      </w:r>
    </w:p>
    <w:p>
      <w:pPr>
        <w:keepNext/>
        <w:spacing w:before="160" w:after="160" w:lineRule="auto" w:line="240"/>
        <w:jc w:val="left"/>
      </w:pPr>
      <w:r>
        <w:rPr>
          <w:rFonts w:eastAsia="仿宋" w:ascii="Times New Roman" w:hAnsi="Times New Roman"/>
          <w:b/>
          <w:sz w:val="32"/>
        </w:rPr>
        <w:t>参考文献</w:t>
      </w:r>
    </w:p>
    <w:p>
      <w:pPr>
        <w:spacing w:before="0" w:after="0" w:lineRule="auto" w:line="360"/>
        <w:jc w:val="left"/>
        <w:ind w:left="560" w:hanging="560"/>
      </w:pPr>
      <w:r>
        <w:rPr>
          <w:rFonts w:eastAsia="宋体" w:ascii="Times New Roman" w:hAnsi="Times New Roman"/>
          <w:b w:val="0"/>
          <w:sz w:val="21"/>
        </w:rPr>
        <w:t>[1] CANDES E J, LEI L, REN Z, et al. Conformalized survival analysis[J]. Journal of the Royal Statistical Society Series B, 2023, 85(1): 24-45.</w:t>
      </w:r>
    </w:p>
    <w:p>
      <w:pPr>
        <w:spacing w:before="0" w:after="0" w:lineRule="auto" w:line="360"/>
        <w:jc w:val="left"/>
        <w:ind w:left="560" w:hanging="560"/>
      </w:pPr>
      <w:r>
        <w:rPr>
          <w:rFonts w:eastAsia="宋体" w:ascii="Times New Roman" w:hAnsi="Times New Roman"/>
          <w:b w:val="0"/>
          <w:sz w:val="21"/>
        </w:rPr>
        <w:t>[2] ANGELOPOULOS A N, BATES S. A gentle introduction to conformal prediction and distribution-free uncertainty quantification[J]. Foundations and Trends in Machine Learning, 2023, 16(4): 494-591.</w:t>
      </w:r>
    </w:p>
    <w:p>
      <w:pPr>
        <w:spacing w:before="0" w:after="0" w:lineRule="auto" w:line="360"/>
        <w:jc w:val="left"/>
        <w:ind w:left="560" w:hanging="560"/>
      </w:pPr>
      <w:r>
        <w:rPr>
          <w:rFonts w:eastAsia="宋体" w:ascii="Times New Roman" w:hAnsi="Times New Roman"/>
          <w:b w:val="0"/>
          <w:sz w:val="21"/>
        </w:rPr>
        <w:t>[3] COX D R. Regression models and life-tables[J]. Journal of the Royal Statistical Society: Series B, 1972, 34(2): 187-202.</w:t>
      </w:r>
    </w:p>
    <w:p>
      <w:pPr>
        <w:spacing w:before="0" w:after="0" w:lineRule="auto" w:line="360"/>
        <w:jc w:val="left"/>
        <w:ind w:left="560" w:hanging="560"/>
      </w:pPr>
      <w:r>
        <w:rPr>
          <w:rFonts w:eastAsia="宋体" w:ascii="Times New Roman" w:hAnsi="Times New Roman"/>
          <w:b w:val="0"/>
          <w:sz w:val="21"/>
        </w:rPr>
        <w:t>[4] ISHWARAN H, KOGALUR U B, BLACKSTONE E H, et al. Random survival forests[J]. The Annals of Applied Statistics, 2008, 2(3): 841-860.</w:t>
      </w:r>
    </w:p>
    <w:p>
      <w:pPr>
        <w:spacing w:before="0" w:after="0" w:lineRule="auto" w:line="360"/>
        <w:jc w:val="left"/>
        <w:ind w:left="560" w:hanging="560"/>
      </w:pPr>
      <w:r>
        <w:rPr>
          <w:rFonts w:eastAsia="宋体" w:ascii="Times New Roman" w:hAnsi="Times New Roman"/>
          <w:b w:val="0"/>
          <w:sz w:val="21"/>
        </w:rPr>
        <w:t>[5] SHIN J, LEE C H, KANG S. Weighted conformal prediction for survival analysis under covariate shift[J/OL]. arXiv: 2512.03738, 2025.</w:t>
      </w:r>
    </w:p>
    <w:p>
      <w:pPr>
        <w:spacing w:before="0" w:after="0" w:lineRule="auto" w:line="360"/>
        <w:jc w:val="left"/>
        <w:ind w:left="560" w:hanging="560"/>
      </w:pPr>
      <w:r>
        <w:rPr>
          <w:rFonts w:eastAsia="宋体" w:ascii="Times New Roman" w:hAnsi="Times New Roman"/>
          <w:b w:val="0"/>
          <w:sz w:val="21"/>
        </w:rPr>
        <w:t>[6] HOLMES C, MARANDON A. Two-sided conformalized survival analysis[J/OL]. arXiv: 2410.24136, 2025.</w:t>
      </w:r>
    </w:p>
    <w:p>
      <w:pPr>
        <w:spacing w:before="0" w:after="0" w:lineRule="auto" w:line="360"/>
        <w:jc w:val="left"/>
        <w:ind w:left="560" w:hanging="560"/>
      </w:pPr>
      <w:r>
        <w:rPr>
          <w:rFonts w:eastAsia="宋体" w:ascii="Times New Roman" w:hAnsi="Times New Roman"/>
          <w:b w:val="0"/>
          <w:sz w:val="21"/>
        </w:rPr>
        <w:t>[7] GUI Y, HORE R, REN Z, et al. Conformalized survival analysis with adaptive cut-offs[J]. Biometrika, 2024, 111(2): 459-477.</w:t>
      </w:r>
    </w:p>
    <w:p>
      <w:pPr>
        <w:spacing w:before="0" w:after="0" w:lineRule="auto" w:line="360"/>
        <w:jc w:val="left"/>
        <w:ind w:left="560" w:hanging="560"/>
      </w:pPr>
      <w:r>
        <w:rPr>
          <w:rFonts w:eastAsia="宋体" w:ascii="Times New Roman" w:hAnsi="Times New Roman"/>
          <w:b w:val="0"/>
          <w:sz w:val="21"/>
        </w:rPr>
        <w:t>[8] DAVIDSON-PILON C. lifelines: survival analysis in Python[J]. Journal of Open Source Software, 2019, 4(40): 1317.</w:t>
      </w:r>
    </w:p>
    <w:p>
      <w:pPr>
        <w:spacing w:before="0" w:after="0" w:lineRule="auto" w:line="360"/>
        <w:jc w:val="left"/>
        <w:ind w:left="560" w:hanging="560"/>
      </w:pPr>
      <w:r>
        <w:rPr>
          <w:rFonts w:eastAsia="宋体" w:ascii="Times New Roman" w:hAnsi="Times New Roman"/>
          <w:b w:val="0"/>
          <w:sz w:val="21"/>
        </w:rPr>
        <w:t>[9] POLSTERL S. scikit-survival: a library for time-to-event analysis built on top of scikit-learn[J]. Journal of Machine Learning Research, 2020, 21(212): 1-6.</w:t>
      </w:r>
    </w:p>
    <w:p>
      <w:pPr>
        <w:spacing w:before="0" w:after="0" w:lineRule="auto" w:line="360"/>
        <w:jc w:val="left"/>
        <w:ind w:left="560" w:hanging="560"/>
      </w:pPr>
      <w:r>
        <w:rPr>
          <w:rFonts w:eastAsia="宋体" w:ascii="Times New Roman" w:hAnsi="Times New Roman"/>
          <w:b w:val="0"/>
          <w:sz w:val="21"/>
        </w:rPr>
        <w:t>[10] WANG P, LI Y, REDDY C K. Machine learning for survival analysis: a survey[J]. ACM Computing Surveys, 2019, 51(6): Article 110.</w:t>
      </w:r>
    </w:p>
    <w:p>
      <w:pPr>
        <w:spacing w:before="0" w:after="0" w:lineRule="auto" w:line="360"/>
        <w:jc w:val="left"/>
        <w:ind w:left="560" w:hanging="560"/>
      </w:pPr>
      <w:r>
        <w:rPr>
          <w:rFonts w:eastAsia="宋体" w:ascii="Times New Roman" w:hAnsi="Times New Roman"/>
          <w:b w:val="0"/>
          <w:sz w:val="21"/>
        </w:rPr>
        <w:t>[11] 王淑影, 张亚男, 程云飞. 基于模型平均的右删失数据下加速失效时间模型的统计推断研究[J]. 统计与信息论坛, 2022, 37(12): 3-9.</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