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C0461">
      <w:pPr>
        <w:autoSpaceDE w:val="0"/>
        <w:autoSpaceDN w:val="0"/>
        <w:spacing w:after="982" w:line="220" w:lineRule="exact"/>
      </w:pPr>
    </w:p>
    <w:p w14:paraId="7DDE5A09">
      <w:pPr>
        <w:autoSpaceDE w:val="0"/>
        <w:autoSpaceDN w:val="0"/>
        <w:spacing w:before="782" w:line="185" w:lineRule="auto"/>
        <w:ind w:left="2254"/>
        <w:rPr>
          <w:rFonts w:ascii="黑体" w:hAnsi="黑体" w:eastAsia="黑体"/>
          <w:color w:val="000000"/>
          <w:sz w:val="48"/>
        </w:rPr>
      </w:pPr>
      <w:r>
        <w:drawing>
          <wp:anchor distT="0" distB="0" distL="114300" distR="114300" simplePos="0" relativeHeight="251659264" behindDoc="0" locked="0" layoutInCell="1" allowOverlap="1">
            <wp:simplePos x="0" y="0"/>
            <wp:positionH relativeFrom="margin">
              <wp:align>center</wp:align>
            </wp:positionH>
            <wp:positionV relativeFrom="paragraph">
              <wp:posOffset>478790</wp:posOffset>
            </wp:positionV>
            <wp:extent cx="3780790" cy="1035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80790" cy="1035050"/>
                    </a:xfrm>
                    <a:prstGeom prst="rect">
                      <a:avLst/>
                    </a:prstGeom>
                  </pic:spPr>
                </pic:pic>
              </a:graphicData>
            </a:graphic>
          </wp:anchor>
        </w:drawing>
      </w:r>
    </w:p>
    <w:p w14:paraId="211096AA">
      <w:pPr>
        <w:autoSpaceDE w:val="0"/>
        <w:autoSpaceDN w:val="0"/>
        <w:spacing w:before="782" w:line="185" w:lineRule="auto"/>
        <w:jc w:val="center"/>
        <w:rPr>
          <w:rFonts w:hint="eastAsia"/>
          <w:b/>
        </w:rPr>
      </w:pPr>
      <w:r>
        <w:rPr>
          <w:rFonts w:hint="eastAsia" w:ascii="黑体" w:hAnsi="黑体" w:eastAsia="黑体"/>
          <w:b/>
          <w:color w:val="000000"/>
          <w:sz w:val="48"/>
        </w:rPr>
        <w:t>生存分析中保形预测方法的系统性研究开题报告</w:t>
      </w:r>
    </w:p>
    <w:p w14:paraId="075DA679">
      <w:pPr>
        <w:autoSpaceDE w:val="0"/>
        <w:autoSpaceDN w:val="0"/>
        <w:spacing w:before="1052" w:after="1170"/>
        <w:ind w:right="3346"/>
        <w:jc w:val="right"/>
      </w:pPr>
      <w:r>
        <w:drawing>
          <wp:inline distT="0" distB="0" distL="0" distR="0">
            <wp:extent cx="1295400" cy="129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1295400" cy="1295400"/>
                    </a:xfrm>
                    <a:prstGeom prst="rect">
                      <a:avLst/>
                    </a:prstGeom>
                  </pic:spPr>
                </pic:pic>
              </a:graphicData>
            </a:graphic>
          </wp:inline>
        </w:drawing>
      </w:r>
    </w:p>
    <w:tbl>
      <w:tblPr>
        <w:tblStyle w:val="4"/>
        <w:tblW w:w="0" w:type="auto"/>
        <w:tblInd w:w="740" w:type="dxa"/>
        <w:tblLayout w:type="fixed"/>
        <w:tblCellMar>
          <w:top w:w="0" w:type="dxa"/>
          <w:left w:w="108" w:type="dxa"/>
          <w:bottom w:w="0" w:type="dxa"/>
          <w:right w:w="108" w:type="dxa"/>
        </w:tblCellMar>
      </w:tblPr>
      <w:tblGrid>
        <w:gridCol w:w="2590"/>
        <w:gridCol w:w="4482"/>
      </w:tblGrid>
      <w:tr w14:paraId="1567DEA5">
        <w:trPr>
          <w:trHeight w:val="536" w:hRule="exact"/>
        </w:trPr>
        <w:tc>
          <w:tcPr>
            <w:tcW w:w="2590" w:type="dxa"/>
            <w:tcBorders>
              <w:bottom w:val="single" w:color="000000" w:sz="2" w:space="0"/>
            </w:tcBorders>
            <w:tcMar>
              <w:left w:w="0" w:type="dxa"/>
              <w:right w:w="0" w:type="dxa"/>
            </w:tcMar>
          </w:tcPr>
          <w:p w14:paraId="2833D95C">
            <w:pPr>
              <w:autoSpaceDE w:val="0"/>
              <w:autoSpaceDN w:val="0"/>
              <w:spacing w:before="60" w:line="185" w:lineRule="auto"/>
              <w:ind w:right="230"/>
              <w:jc w:val="right"/>
              <w:rPr>
                <w:rFonts w:ascii="黑体" w:hAnsi="黑体" w:eastAsia="黑体"/>
              </w:rPr>
            </w:pPr>
            <w:r>
              <w:rPr>
                <w:rFonts w:hint="eastAsia" w:ascii="黑体" w:hAnsi="黑体" w:eastAsia="黑体" w:cs="宋体"/>
                <w:color w:val="000000"/>
                <w:sz w:val="32"/>
              </w:rPr>
              <w:t>姓名与学号</w:t>
            </w:r>
          </w:p>
        </w:tc>
        <w:tc>
          <w:tcPr>
            <w:tcW w:w="4482" w:type="dxa"/>
            <w:tcBorders>
              <w:bottom w:val="single" w:color="000000" w:sz="2" w:space="0"/>
            </w:tcBorders>
            <w:tcMar>
              <w:left w:w="0" w:type="dxa"/>
              <w:right w:w="0" w:type="dxa"/>
            </w:tcMar>
          </w:tcPr>
          <w:p w14:paraId="5C970F4D">
            <w:pPr>
              <w:autoSpaceDE w:val="0"/>
              <w:autoSpaceDN w:val="0"/>
              <w:spacing w:before="60" w:line="185" w:lineRule="auto"/>
              <w:jc w:val="center"/>
              <w:rPr>
                <w:rFonts w:ascii="黑体" w:hAnsi="黑体" w:eastAsia="黑体"/>
              </w:rPr>
            </w:pPr>
            <w:r>
              <w:rPr>
                <w:rFonts w:hint="eastAsia" w:ascii="黑体" w:hAnsi="黑体" w:eastAsia="黑体" w:cs="宋体"/>
                <w:color w:val="000000"/>
                <w:sz w:val="32"/>
              </w:rPr>
              <w:t>贾阳</w:t>
            </w:r>
            <w:r>
              <w:rPr>
                <w:rFonts w:ascii="黑体" w:hAnsi="黑体" w:eastAsia="黑体" w:cs="宋体"/>
                <w:color w:val="000000"/>
                <w:sz w:val="32"/>
              </w:rPr>
              <w:t>322010578</w:t>
            </w:r>
          </w:p>
        </w:tc>
      </w:tr>
    </w:tbl>
    <w:p w14:paraId="024FFEFA">
      <w:pPr>
        <w:autoSpaceDE w:val="0"/>
        <w:autoSpaceDN w:val="0"/>
        <w:spacing w:line="216" w:lineRule="exact"/>
        <w:rPr>
          <w:rFonts w:ascii="黑体" w:hAnsi="黑体" w:eastAsia="黑体"/>
        </w:rPr>
      </w:pPr>
    </w:p>
    <w:tbl>
      <w:tblPr>
        <w:tblStyle w:val="4"/>
        <w:tblW w:w="0" w:type="auto"/>
        <w:tblInd w:w="740" w:type="dxa"/>
        <w:tblLayout w:type="fixed"/>
        <w:tblCellMar>
          <w:top w:w="0" w:type="dxa"/>
          <w:left w:w="108" w:type="dxa"/>
          <w:bottom w:w="0" w:type="dxa"/>
          <w:right w:w="108" w:type="dxa"/>
        </w:tblCellMar>
      </w:tblPr>
      <w:tblGrid>
        <w:gridCol w:w="2590"/>
        <w:gridCol w:w="4482"/>
      </w:tblGrid>
      <w:tr w14:paraId="253E9EF6">
        <w:trPr>
          <w:trHeight w:val="618" w:hRule="exact"/>
        </w:trPr>
        <w:tc>
          <w:tcPr>
            <w:tcW w:w="2590" w:type="dxa"/>
            <w:tcBorders>
              <w:bottom w:val="single" w:color="000000" w:sz="2" w:space="0"/>
            </w:tcBorders>
            <w:tcMar>
              <w:left w:w="0" w:type="dxa"/>
              <w:right w:w="0" w:type="dxa"/>
            </w:tcMar>
          </w:tcPr>
          <w:p w14:paraId="77C11625">
            <w:pPr>
              <w:autoSpaceDE w:val="0"/>
              <w:autoSpaceDN w:val="0"/>
              <w:spacing w:before="60" w:line="185" w:lineRule="auto"/>
              <w:ind w:right="550"/>
              <w:jc w:val="right"/>
              <w:rPr>
                <w:rFonts w:ascii="黑体" w:hAnsi="黑体" w:eastAsia="黑体"/>
              </w:rPr>
            </w:pPr>
            <w:r>
              <w:rPr>
                <w:rFonts w:hint="eastAsia" w:ascii="黑体" w:hAnsi="黑体" w:eastAsia="黑体" w:cs="宋体"/>
                <w:color w:val="000000"/>
                <w:sz w:val="32"/>
              </w:rPr>
              <w:t>指导教师</w:t>
            </w:r>
          </w:p>
        </w:tc>
        <w:tc>
          <w:tcPr>
            <w:tcW w:w="4482" w:type="dxa"/>
            <w:tcBorders>
              <w:bottom w:val="single" w:color="000000" w:sz="2" w:space="0"/>
            </w:tcBorders>
            <w:tcMar>
              <w:left w:w="0" w:type="dxa"/>
              <w:right w:w="0" w:type="dxa"/>
            </w:tcMar>
          </w:tcPr>
          <w:p w14:paraId="5BA9F74B">
            <w:pPr>
              <w:autoSpaceDE w:val="0"/>
              <w:autoSpaceDN w:val="0"/>
              <w:spacing w:before="60" w:line="185" w:lineRule="auto"/>
              <w:jc w:val="center"/>
              <w:rPr>
                <w:rFonts w:ascii="黑体" w:hAnsi="黑体" w:eastAsia="黑体"/>
              </w:rPr>
            </w:pPr>
            <w:r>
              <w:rPr>
                <w:rFonts w:hint="eastAsia" w:ascii="黑体" w:hAnsi="黑体" w:eastAsia="黑体" w:cs="宋体"/>
                <w:color w:val="000000"/>
                <w:sz w:val="32"/>
              </w:rPr>
              <w:t>汪利军</w:t>
            </w:r>
          </w:p>
        </w:tc>
      </w:tr>
      <w:tr w14:paraId="71CD8C87">
        <w:trPr>
          <w:trHeight w:val="860" w:hRule="exact"/>
        </w:trPr>
        <w:tc>
          <w:tcPr>
            <w:tcW w:w="2590" w:type="dxa"/>
            <w:tcBorders>
              <w:top w:val="single" w:color="000000" w:sz="2" w:space="0"/>
              <w:bottom w:val="single" w:color="000000" w:sz="2" w:space="0"/>
            </w:tcBorders>
            <w:tcMar>
              <w:left w:w="0" w:type="dxa"/>
              <w:right w:w="0" w:type="dxa"/>
            </w:tcMar>
          </w:tcPr>
          <w:p w14:paraId="3C8D560C">
            <w:pPr>
              <w:autoSpaceDE w:val="0"/>
              <w:autoSpaceDN w:val="0"/>
              <w:spacing w:before="272" w:line="185" w:lineRule="auto"/>
              <w:ind w:right="230"/>
              <w:jc w:val="right"/>
              <w:rPr>
                <w:rFonts w:ascii="黑体" w:hAnsi="黑体" w:eastAsia="黑体"/>
              </w:rPr>
            </w:pPr>
            <w:r>
              <w:rPr>
                <w:rFonts w:hint="eastAsia" w:ascii="黑体" w:hAnsi="黑体" w:eastAsia="黑体" w:cs="宋体"/>
                <w:color w:val="000000"/>
                <w:sz w:val="32"/>
              </w:rPr>
              <w:t>年级与专业</w:t>
            </w:r>
          </w:p>
        </w:tc>
        <w:tc>
          <w:tcPr>
            <w:tcW w:w="4482" w:type="dxa"/>
            <w:tcBorders>
              <w:top w:val="single" w:color="000000" w:sz="2" w:space="0"/>
              <w:bottom w:val="single" w:color="000000" w:sz="2" w:space="0"/>
            </w:tcBorders>
            <w:tcMar>
              <w:left w:w="0" w:type="dxa"/>
              <w:right w:w="0" w:type="dxa"/>
            </w:tcMar>
          </w:tcPr>
          <w:p w14:paraId="0C65FA00">
            <w:pPr>
              <w:autoSpaceDE w:val="0"/>
              <w:autoSpaceDN w:val="0"/>
              <w:spacing w:before="264" w:line="204" w:lineRule="auto"/>
              <w:jc w:val="center"/>
              <w:rPr>
                <w:rFonts w:ascii="黑体" w:hAnsi="黑体" w:eastAsia="黑体"/>
              </w:rPr>
            </w:pPr>
            <w:r>
              <w:rPr>
                <w:rFonts w:ascii="黑体" w:hAnsi="黑体" w:eastAsia="黑体"/>
                <w:b/>
                <w:color w:val="000000"/>
                <w:sz w:val="32"/>
              </w:rPr>
              <w:t>2022</w:t>
            </w:r>
            <w:r>
              <w:rPr>
                <w:rFonts w:hint="eastAsia" w:ascii="黑体" w:hAnsi="黑体" w:eastAsia="黑体" w:cs="宋体"/>
                <w:color w:val="000000"/>
                <w:sz w:val="32"/>
              </w:rPr>
              <w:t>级统计学</w:t>
            </w:r>
          </w:p>
        </w:tc>
      </w:tr>
      <w:tr w14:paraId="19890ED1">
        <w:trPr>
          <w:trHeight w:val="859" w:hRule="exact"/>
        </w:trPr>
        <w:tc>
          <w:tcPr>
            <w:tcW w:w="2590" w:type="dxa"/>
            <w:tcBorders>
              <w:top w:val="single" w:color="000000" w:sz="2" w:space="0"/>
              <w:bottom w:val="single" w:color="000000" w:sz="2" w:space="0"/>
            </w:tcBorders>
            <w:tcMar>
              <w:left w:w="0" w:type="dxa"/>
              <w:right w:w="0" w:type="dxa"/>
            </w:tcMar>
          </w:tcPr>
          <w:p w14:paraId="3CFB2619">
            <w:pPr>
              <w:autoSpaceDE w:val="0"/>
              <w:autoSpaceDN w:val="0"/>
              <w:spacing w:before="272" w:line="185" w:lineRule="auto"/>
              <w:ind w:right="550"/>
              <w:jc w:val="right"/>
              <w:rPr>
                <w:rFonts w:ascii="黑体" w:hAnsi="黑体" w:eastAsia="黑体"/>
              </w:rPr>
            </w:pPr>
            <w:r>
              <w:rPr>
                <w:rFonts w:hint="eastAsia" w:ascii="黑体" w:hAnsi="黑体" w:eastAsia="黑体" w:cs="宋体"/>
                <w:color w:val="000000"/>
                <w:sz w:val="32"/>
              </w:rPr>
              <w:t>所在学院</w:t>
            </w:r>
          </w:p>
        </w:tc>
        <w:tc>
          <w:tcPr>
            <w:tcW w:w="4482" w:type="dxa"/>
            <w:tcBorders>
              <w:top w:val="single" w:color="000000" w:sz="2" w:space="0"/>
              <w:bottom w:val="single" w:color="000000" w:sz="2" w:space="0"/>
            </w:tcBorders>
            <w:tcMar>
              <w:left w:w="0" w:type="dxa"/>
              <w:right w:w="0" w:type="dxa"/>
            </w:tcMar>
          </w:tcPr>
          <w:p w14:paraId="4DAA48C4">
            <w:pPr>
              <w:autoSpaceDE w:val="0"/>
              <w:autoSpaceDN w:val="0"/>
              <w:spacing w:before="272" w:line="185" w:lineRule="auto"/>
              <w:jc w:val="center"/>
              <w:rPr>
                <w:rFonts w:ascii="黑体" w:hAnsi="黑体" w:eastAsia="黑体"/>
              </w:rPr>
            </w:pPr>
            <w:r>
              <w:rPr>
                <w:rFonts w:hint="eastAsia" w:ascii="黑体" w:hAnsi="黑体" w:eastAsia="黑体" w:cs="宋体"/>
                <w:color w:val="000000"/>
                <w:sz w:val="32"/>
              </w:rPr>
              <w:t>数学科学学院</w:t>
            </w:r>
          </w:p>
        </w:tc>
      </w:tr>
    </w:tbl>
    <w:p w14:paraId="2B3BED6F">
      <w:pPr>
        <w:autoSpaceDE w:val="0"/>
        <w:autoSpaceDN w:val="0"/>
        <w:spacing w:line="204" w:lineRule="auto"/>
        <w:ind w:right="3618"/>
        <w:rPr>
          <w:rFonts w:ascii="宋体" w:hAnsi="宋体" w:eastAsia="宋体" w:cs="宋体"/>
          <w:color w:val="000000"/>
          <w:sz w:val="32"/>
        </w:rPr>
      </w:pPr>
    </w:p>
    <w:p w14:paraId="48E55D8D">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一、研究意义</w:t>
      </w:r>
    </w:p>
    <w:p w14:paraId="3D119CEF">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1</w:t>
      </w:r>
      <w:r>
        <w:rPr>
          <w:rFonts w:ascii="方正仿宋_GBK" w:hAnsi="黑体" w:eastAsia="方正仿宋_GBK" w:cs="Arial"/>
          <w:color w:val="1F2329"/>
          <w:kern w:val="0"/>
          <w:sz w:val="28"/>
          <w:szCs w:val="28"/>
        </w:rPr>
        <w:t>.1 理论意义</w:t>
      </w:r>
    </w:p>
    <w:p w14:paraId="580CE522">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梳理保形化生存分析的基础理论与实现逻辑，补充经典生存模型与保形预测框架融合的实证理论参考，完善本科阶段生存分析不确定性量化的知识应用体系；明晰保形预测在右删失数据场景的基础应用原理，拓展非参数统计方法在复杂数据处理中的应用思路；为统计学专业中生存分析与保形预测的交叉学习提供基础研究案例，夯实统计方法交叉应用的理论基础。</w:t>
      </w:r>
    </w:p>
    <w:p w14:paraId="3964DAC2">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1</w:t>
      </w:r>
      <w:r>
        <w:rPr>
          <w:rFonts w:ascii="方正仿宋_GBK" w:hAnsi="黑体" w:eastAsia="方正仿宋_GBK" w:cs="Arial"/>
          <w:color w:val="1F2329"/>
          <w:kern w:val="0"/>
          <w:sz w:val="28"/>
          <w:szCs w:val="28"/>
        </w:rPr>
        <w:t>.2 实际意义</w:t>
      </w:r>
    </w:p>
    <w:p w14:paraId="57A79024">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为本科阶段运用统计方法解决右删失数据预测问题提供可落地的分析思路，助力理解高风险决策场景中不确定性量化的实际需求；验证基础保形化生存分析方法在中小样本、不同删失率数据场景的应用效果，为基层研究人员初步使用该方法提供实操参考；依托 R、Python 常用统计软件实现方法落地，降低本科阶段学习和应用先进生存分析方法的操作门槛，提升运用统计工具解决实际数据问题的能力</w:t>
      </w:r>
    </w:p>
    <w:p w14:paraId="7BA3BA24">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1</w:t>
      </w:r>
      <w:r>
        <w:rPr>
          <w:rFonts w:ascii="方正仿宋_GBK" w:hAnsi="黑体" w:eastAsia="方正仿宋_GBK" w:cs="Arial"/>
          <w:color w:val="1F2329"/>
          <w:kern w:val="0"/>
          <w:sz w:val="28"/>
          <w:szCs w:val="28"/>
        </w:rPr>
        <w:t>.3 与统计学专业的关系</w:t>
      </w:r>
    </w:p>
    <w:p w14:paraId="13DE9512">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紧密围绕统计学专业生存分析、非参数统计、统计推断等核心课程展开，是专业核心知识的综合应用与延伸。研究过程需运用生存模型构建、数据模拟、统计软件操作等专业技能，与统计学专业培养目标高度契合，能有效巩固专业知识，提升解决实际数据问题的能力。</w:t>
      </w:r>
    </w:p>
    <w:p w14:paraId="5068EBA5">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二、研究背景与创新点</w:t>
      </w:r>
    </w:p>
    <w:p w14:paraId="7D3B53F5">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2</w:t>
      </w:r>
      <w:r>
        <w:rPr>
          <w:rFonts w:ascii="方正仿宋_GBK" w:hAnsi="黑体" w:eastAsia="方正仿宋_GBK" w:cs="Arial"/>
          <w:color w:val="1F2329"/>
          <w:kern w:val="0"/>
          <w:sz w:val="28"/>
          <w:szCs w:val="28"/>
        </w:rPr>
        <w:t>.1 研究背景</w:t>
      </w:r>
    </w:p>
    <w:p w14:paraId="43891F97">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生存分析是处理时变事件数据的统计学核心分支，右删失数据处理是其核心挑战，而传统生存分析方法存在显著局限：参数模型依赖严格分布假设，易因模型误设导致预测失真；半参数模型无法提供有统计保证的个体预测区间；非参数模型仅能做群体层面分析。同时，实际研究中协变量漂移、预测区间保守等问题，传统改进方法仍未解决预测区间校准性问题。</w:t>
      </w:r>
    </w:p>
    <w:p w14:paraId="7D2F510C">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保形预测作为模型无关的非参数不确定性量化框架，为解决上述问题提供了新思路。2021年Candès等人提出的保形化生存分析（CSA），将保形预测与生存分析深度结合，解决了右删失数据下预测区间构建的关键问题。2023 年以来 CSA研究形成 “核心框架建立 — 特殊场景适配 — 预测效率提升” 的脉络，但现有研究多聚焦理论推导、大样本验证，针对基础CSA框架实证验证、中小样本下经典生存模型与CSA的融合效果、简单阈值优化方案的研究仍较为欠缺，为本研究提供了研究空间。</w:t>
      </w:r>
    </w:p>
    <w:p w14:paraId="16079E4F">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2</w:t>
      </w:r>
      <w:r>
        <w:rPr>
          <w:rFonts w:ascii="方正仿宋_GBK" w:hAnsi="黑体" w:eastAsia="方正仿宋_GBK" w:cs="Arial"/>
          <w:color w:val="1F2329"/>
          <w:kern w:val="0"/>
          <w:sz w:val="28"/>
          <w:szCs w:val="28"/>
        </w:rPr>
        <w:t>.2 与已有文献研究角度的差异</w:t>
      </w:r>
    </w:p>
    <w:p w14:paraId="38E1C2BC">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已有文献多从理论推导、大样本验证、复杂场景拓展角度研究CSA方法，如核心框架的理论证明、加权CSA /双侧CSA等改进方法的提出。本研究从基础应用与实证验证切入，不进行复杂理论推导，聚焦基础CSA框架与经典生存模型的融合应用，分析其在中小样本、不同删失率场景下的性能，弥补现有研究在基础实证分析方面的不足。</w:t>
      </w:r>
    </w:p>
    <w:p w14:paraId="6273E602">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2</w:t>
      </w:r>
      <w:r>
        <w:rPr>
          <w:rFonts w:ascii="方正仿宋_GBK" w:hAnsi="黑体" w:eastAsia="方正仿宋_GBK" w:cs="Arial"/>
          <w:color w:val="1F2329"/>
          <w:kern w:val="0"/>
          <w:sz w:val="28"/>
          <w:szCs w:val="28"/>
        </w:rPr>
        <w:t>.3 主要创新点</w:t>
      </w:r>
    </w:p>
    <w:p w14:paraId="2EE7FB8D">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hint="eastAsia" w:ascii="Times New Roman" w:hAnsi="Times New Roman" w:eastAsia="宋体" w:cs="Times New Roman"/>
          <w:color w:val="1F2329"/>
          <w:kern w:val="0"/>
          <w:sz w:val="24"/>
          <w:szCs w:val="24"/>
        </w:rPr>
        <w:t>首先是</w:t>
      </w:r>
      <w:r>
        <w:rPr>
          <w:rFonts w:ascii="Times New Roman" w:hAnsi="Times New Roman" w:eastAsia="宋体" w:cs="Times New Roman"/>
          <w:color w:val="1F2329"/>
          <w:kern w:val="0"/>
          <w:sz w:val="24"/>
          <w:szCs w:val="24"/>
        </w:rPr>
        <w:t>研究视角创新：以基础CSA框架的实证验证与应用优化为核心，分析威布尔模型、Cox 模型、Kaplan-Meier 估计与CSA的融合效果，为基层研究人员选择CSA实现方案提供参考。</w:t>
      </w:r>
      <w:r>
        <w:rPr>
          <w:rFonts w:hint="eastAsia" w:ascii="Times New Roman" w:hAnsi="Times New Roman" w:eastAsia="宋体" w:cs="Times New Roman"/>
          <w:color w:val="1F2329"/>
          <w:kern w:val="0"/>
          <w:sz w:val="24"/>
          <w:szCs w:val="24"/>
        </w:rPr>
        <w:t>其次是</w:t>
      </w:r>
      <w:r>
        <w:rPr>
          <w:rFonts w:ascii="Times New Roman" w:hAnsi="Times New Roman" w:eastAsia="宋体" w:cs="Times New Roman"/>
          <w:color w:val="1F2329"/>
          <w:kern w:val="0"/>
          <w:sz w:val="24"/>
          <w:szCs w:val="24"/>
        </w:rPr>
        <w:t>研究场景补充：通过模拟不同样本量、不同删失率的右删失数据，结合真实临床数据，分析CSA在中小样本、中高删失率非理想场景下的性能，补充现有研究成果。</w:t>
      </w:r>
      <w:r>
        <w:rPr>
          <w:rFonts w:hint="eastAsia" w:ascii="Times New Roman" w:hAnsi="Times New Roman" w:eastAsia="宋体" w:cs="Times New Roman"/>
          <w:color w:val="1F2329"/>
          <w:kern w:val="0"/>
          <w:sz w:val="24"/>
          <w:szCs w:val="24"/>
        </w:rPr>
        <w:t>最后是</w:t>
      </w:r>
      <w:r>
        <w:rPr>
          <w:rFonts w:ascii="Times New Roman" w:hAnsi="Times New Roman" w:eastAsia="宋体" w:cs="Times New Roman"/>
          <w:color w:val="1F2329"/>
          <w:kern w:val="0"/>
          <w:sz w:val="24"/>
          <w:szCs w:val="24"/>
        </w:rPr>
        <w:t>优化方案实用：提出基于分位数调整的简单阈值优化方案，在保证覆盖度的前提下缩小区间宽度，易实现、易推广，适配基层应用需求。</w:t>
      </w:r>
    </w:p>
    <w:p w14:paraId="52872C43">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三、选题可行性分析</w:t>
      </w:r>
    </w:p>
    <w:p w14:paraId="4CB9B0B9">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3</w:t>
      </w:r>
      <w:r>
        <w:rPr>
          <w:rFonts w:ascii="方正仿宋_GBK" w:hAnsi="黑体" w:eastAsia="方正仿宋_GBK" w:cs="Arial"/>
          <w:color w:val="1F2329"/>
          <w:kern w:val="0"/>
          <w:sz w:val="28"/>
          <w:szCs w:val="28"/>
        </w:rPr>
        <w:t>.1 数据的可获得性</w:t>
      </w:r>
    </w:p>
    <w:p w14:paraId="6A030010">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本研究数据分为模拟数据与公开实际数据，获取渠道便捷且无需实地调研：1. 模拟数据可通过 R/Python 基于威布尔、指数等常见分布生成，可灵活设置样本量（小/中样本）、删失率（低/中/高），满足不同场景分析需求。2. 实际数据可从WHAS500</w:t>
      </w:r>
      <w:r>
        <w:rPr>
          <w:rFonts w:hint="eastAsia" w:ascii="Times New Roman" w:hAnsi="Times New Roman" w:eastAsia="宋体" w:cs="Times New Roman"/>
          <w:color w:val="1F2329"/>
          <w:kern w:val="0"/>
          <w:sz w:val="24"/>
          <w:szCs w:val="24"/>
        </w:rPr>
        <w:t>、</w:t>
      </w:r>
      <w:r>
        <w:rPr>
          <w:rFonts w:ascii="Times New Roman" w:hAnsi="Times New Roman" w:eastAsia="宋体" w:cs="Times New Roman"/>
          <w:color w:val="1F2329"/>
          <w:kern w:val="0"/>
          <w:sz w:val="24"/>
          <w:szCs w:val="24"/>
        </w:rPr>
        <w:t xml:space="preserve"> SUPPORT、SEER、UK Biobank 等生存分析公开数据库获取，数据免费开放、格式规范，包含协变量、生存时间、删失状态等核心变量，满足实证分析要求。</w:t>
      </w:r>
    </w:p>
    <w:p w14:paraId="1E0E00E7">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3</w:t>
      </w:r>
      <w:r>
        <w:rPr>
          <w:rFonts w:ascii="方正仿宋_GBK" w:hAnsi="黑体" w:eastAsia="方正仿宋_GBK" w:cs="Arial"/>
          <w:color w:val="1F2329"/>
          <w:kern w:val="0"/>
          <w:sz w:val="28"/>
          <w:szCs w:val="28"/>
        </w:rPr>
        <w:t>.2 研究技术的可行性</w:t>
      </w:r>
    </w:p>
    <w:p w14:paraId="5FF497E3">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本研究技术手段基于统计学本科核心知识，涉及的经典生存模型、保形预测基本原理均为本科阶段核心内容，CSA 框架的核心逻辑已有文献清晰阐述，易于理解。依托 R/Python 常用统计软件，survival、conformalInference、lifelines等成熟工具包可快速实现模型构建与数据分析</w:t>
      </w:r>
      <w:r>
        <w:rPr>
          <w:rFonts w:hint="eastAsia" w:ascii="Times New Roman" w:hAnsi="Times New Roman" w:eastAsia="宋体" w:cs="Times New Roman"/>
          <w:color w:val="1F2329"/>
          <w:kern w:val="0"/>
          <w:sz w:val="24"/>
          <w:szCs w:val="24"/>
        </w:rPr>
        <w:t>。</w:t>
      </w:r>
      <w:r>
        <w:rPr>
          <w:rFonts w:ascii="Times New Roman" w:hAnsi="Times New Roman" w:eastAsia="宋体" w:cs="Times New Roman"/>
          <w:color w:val="1F2329"/>
          <w:kern w:val="0"/>
          <w:sz w:val="24"/>
          <w:szCs w:val="24"/>
        </w:rPr>
        <w:t>以实证分析为主，核心方法为数据模拟、模型构建、性能评估，通过计算实际覆盖度、平均区间宽度等常规指标评价模型，易于实现。</w:t>
      </w:r>
    </w:p>
    <w:p w14:paraId="12ABD642">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此外，指导教师在生存分析与统计推断领域具有丰富经验，能为研究过程中的模型选择、结果解读提供专业指导，保障研究顺利开展。</w:t>
      </w:r>
    </w:p>
    <w:p w14:paraId="27949F8F">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四、主要研究内容</w:t>
      </w:r>
    </w:p>
    <w:p w14:paraId="339FD93D">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本研究以CSA方法为研究对象，以基础CSA框架的理论梳理与实证验证为核心，结合模拟数据与公开</w:t>
      </w:r>
      <w:r>
        <w:rPr>
          <w:rFonts w:hint="eastAsia" w:ascii="Times New Roman" w:hAnsi="Times New Roman" w:eastAsia="宋体" w:cs="Times New Roman"/>
          <w:color w:val="1F2329"/>
          <w:kern w:val="0"/>
          <w:sz w:val="24"/>
          <w:szCs w:val="24"/>
        </w:rPr>
        <w:t>实际</w:t>
      </w:r>
      <w:r>
        <w:rPr>
          <w:rFonts w:ascii="Times New Roman" w:hAnsi="Times New Roman" w:eastAsia="宋体" w:cs="Times New Roman"/>
          <w:color w:val="1F2329"/>
          <w:kern w:val="0"/>
          <w:sz w:val="24"/>
          <w:szCs w:val="24"/>
        </w:rPr>
        <w:t>数据，分析不同经典生存模型与CSA的融合性能，提出简单阈值优化方案，为CSA基础应用提供参考，研究内容分为理论研究与实证分析两部分。</w:t>
      </w:r>
    </w:p>
    <w:p w14:paraId="09350B3B">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4</w:t>
      </w:r>
      <w:r>
        <w:rPr>
          <w:rFonts w:ascii="方正仿宋_GBK" w:hAnsi="黑体" w:eastAsia="方正仿宋_GBK" w:cs="Arial"/>
          <w:color w:val="1F2329"/>
          <w:kern w:val="0"/>
          <w:sz w:val="28"/>
          <w:szCs w:val="28"/>
        </w:rPr>
        <w:t>.1 理论研究内容</w:t>
      </w:r>
    </w:p>
    <w:p w14:paraId="08E66385">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梳理 Kaplan-Meier 估计、Cox 比例风险模型、威布尔模型的核心原理、适用场景及在不确定性量化方面的缺陷。阐述保形预测的核心思想、非一致性得分计算与阈值确定方法，明确其模型无关的优势。重点梳理基础CSA框架的构建逻辑、右删失数据下的非一致性得分计算、覆盖度保证原理，同时梳理 CKMP 算法的实现步骤与适用场景，分析CSA方法的局限性。构建CSA性能评价指标体系，包含覆盖度指标（实际覆盖度、覆盖度稳定性）与精准性指标（平均区间宽度、区间宽度变异系数），明确计算方法与评价标准。</w:t>
      </w:r>
    </w:p>
    <w:p w14:paraId="4290AB43">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4</w:t>
      </w:r>
      <w:r>
        <w:rPr>
          <w:rFonts w:ascii="方正仿宋_GBK" w:hAnsi="黑体" w:eastAsia="方正仿宋_GBK" w:cs="Arial"/>
          <w:color w:val="1F2329"/>
          <w:kern w:val="0"/>
          <w:sz w:val="28"/>
          <w:szCs w:val="28"/>
        </w:rPr>
        <w:t>.2 实证分析内容</w:t>
      </w:r>
    </w:p>
    <w:p w14:paraId="13351A61">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hint="eastAsia" w:ascii="Times New Roman" w:hAnsi="Times New Roman" w:eastAsia="宋体" w:cs="Times New Roman"/>
          <w:color w:val="1F2329"/>
          <w:kern w:val="0"/>
          <w:sz w:val="24"/>
          <w:szCs w:val="24"/>
        </w:rPr>
        <w:t>利用模拟数据进行模拟，并</w:t>
      </w:r>
      <w:r>
        <w:rPr>
          <w:rFonts w:ascii="Times New Roman" w:hAnsi="Times New Roman" w:eastAsia="宋体" w:cs="Times New Roman"/>
          <w:color w:val="1F2329"/>
          <w:kern w:val="0"/>
          <w:sz w:val="24"/>
          <w:szCs w:val="24"/>
        </w:rPr>
        <w:t>选取</w:t>
      </w:r>
      <w:r>
        <w:rPr>
          <w:rFonts w:hint="eastAsia" w:ascii="Times New Roman" w:hAnsi="Times New Roman" w:eastAsia="宋体" w:cs="Times New Roman"/>
          <w:color w:val="1F2329"/>
          <w:kern w:val="0"/>
          <w:sz w:val="24"/>
          <w:szCs w:val="24"/>
        </w:rPr>
        <w:t>各</w:t>
      </w:r>
      <w:r>
        <w:rPr>
          <w:rFonts w:ascii="Times New Roman" w:hAnsi="Times New Roman" w:eastAsia="宋体" w:cs="Times New Roman"/>
          <w:color w:val="1F2329"/>
          <w:kern w:val="0"/>
          <w:sz w:val="24"/>
          <w:szCs w:val="24"/>
        </w:rPr>
        <w:t>数据库实际数据，完成缺失值处理、协变量筛选等预处理。</w:t>
      </w:r>
      <w:r>
        <w:rPr>
          <w:rFonts w:hint="eastAsia" w:ascii="Times New Roman" w:hAnsi="Times New Roman" w:eastAsia="宋体" w:cs="Times New Roman"/>
          <w:color w:val="1F2329"/>
          <w:kern w:val="0"/>
          <w:sz w:val="24"/>
          <w:szCs w:val="24"/>
        </w:rPr>
        <w:t>并</w:t>
      </w:r>
      <w:r>
        <w:rPr>
          <w:rFonts w:ascii="Times New Roman" w:hAnsi="Times New Roman" w:eastAsia="宋体" w:cs="Times New Roman"/>
          <w:color w:val="1F2329"/>
          <w:kern w:val="0"/>
          <w:sz w:val="24"/>
          <w:szCs w:val="24"/>
        </w:rPr>
        <w:t>对模拟与实际数据分别拟合 Kaplan-Meier 估计、Cox 模型、威布尔模型，完成模型拟合效果检验。</w:t>
      </w:r>
      <w:r>
        <w:rPr>
          <w:rFonts w:hint="eastAsia" w:ascii="Times New Roman" w:hAnsi="Times New Roman" w:eastAsia="宋体" w:cs="Times New Roman"/>
          <w:color w:val="1F2329"/>
          <w:kern w:val="0"/>
          <w:sz w:val="24"/>
          <w:szCs w:val="24"/>
        </w:rPr>
        <w:t>然后进行</w:t>
      </w:r>
      <w:r>
        <w:rPr>
          <w:rFonts w:ascii="Times New Roman" w:hAnsi="Times New Roman" w:eastAsia="宋体" w:cs="Times New Roman"/>
          <w:color w:val="1F2329"/>
          <w:kern w:val="0"/>
          <w:sz w:val="24"/>
          <w:szCs w:val="24"/>
        </w:rPr>
        <w:t>CSA</w:t>
      </w:r>
      <w:r>
        <w:rPr>
          <w:rFonts w:hint="eastAsia" w:ascii="Times New Roman" w:hAnsi="Times New Roman" w:eastAsia="宋体" w:cs="Times New Roman"/>
          <w:color w:val="1F2329"/>
          <w:kern w:val="0"/>
          <w:sz w:val="24"/>
          <w:szCs w:val="24"/>
        </w:rPr>
        <w:t>的</w:t>
      </w:r>
      <w:r>
        <w:rPr>
          <w:rFonts w:ascii="Times New Roman" w:hAnsi="Times New Roman" w:eastAsia="宋体" w:cs="Times New Roman"/>
          <w:color w:val="1F2329"/>
          <w:kern w:val="0"/>
          <w:sz w:val="24"/>
          <w:szCs w:val="24"/>
        </w:rPr>
        <w:t>实现与性能评估：将三种基础模型与基础CSA框架、CKMP 算法融合，构建 90% 预设覆盖度的预测区间，计算各方法的性能指标，分析样本量、删失率、基础模型对CSA性能的影响，对比基础CSA与 CKMP 的性能差异。</w:t>
      </w:r>
      <w:r>
        <w:rPr>
          <w:rFonts w:hint="eastAsia" w:ascii="Times New Roman" w:hAnsi="Times New Roman" w:eastAsia="宋体" w:cs="Times New Roman"/>
          <w:color w:val="1F2329"/>
          <w:kern w:val="0"/>
          <w:sz w:val="24"/>
          <w:szCs w:val="24"/>
        </w:rPr>
        <w:t>最后进行</w:t>
      </w:r>
      <w:r>
        <w:rPr>
          <w:rFonts w:ascii="Times New Roman" w:hAnsi="Times New Roman" w:eastAsia="宋体" w:cs="Times New Roman"/>
          <w:color w:val="1F2329"/>
          <w:kern w:val="0"/>
          <w:sz w:val="24"/>
          <w:szCs w:val="24"/>
        </w:rPr>
        <w:t>CSA 优化与验证：提出基于分位数调整的阈值优化方案，实现优化后的CSA方法，通过模拟与实际数据验证优化效果，确定最优调整幅度。</w:t>
      </w:r>
      <w:r>
        <w:rPr>
          <w:rFonts w:hint="eastAsia" w:ascii="Times New Roman" w:hAnsi="Times New Roman" w:eastAsia="宋体" w:cs="Times New Roman"/>
          <w:color w:val="1F2329"/>
          <w:kern w:val="0"/>
          <w:sz w:val="24"/>
          <w:szCs w:val="24"/>
        </w:rPr>
        <w:t>并</w:t>
      </w:r>
      <w:r>
        <w:rPr>
          <w:rFonts w:ascii="Times New Roman" w:hAnsi="Times New Roman" w:eastAsia="宋体" w:cs="Times New Roman"/>
          <w:color w:val="1F2329"/>
          <w:kern w:val="0"/>
          <w:sz w:val="24"/>
          <w:szCs w:val="24"/>
        </w:rPr>
        <w:t>总结不同数据场景下的最优CSA实现方案，提出具体应用步骤，为基层研究人员提供参考。</w:t>
      </w:r>
    </w:p>
    <w:p w14:paraId="7D3AFD47">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五、研究实施计划</w:t>
      </w:r>
    </w:p>
    <w:p w14:paraId="6C53CE81">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本研究周期为 6 个月，分为四个阶段，具体实施计划如下：</w:t>
      </w:r>
    </w:p>
    <w:p w14:paraId="49E42939">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5</w:t>
      </w:r>
      <w:r>
        <w:rPr>
          <w:rFonts w:ascii="方正仿宋_GBK" w:hAnsi="黑体" w:eastAsia="方正仿宋_GBK" w:cs="Arial"/>
          <w:color w:val="1F2329"/>
          <w:kern w:val="0"/>
          <w:sz w:val="28"/>
          <w:szCs w:val="28"/>
        </w:rPr>
        <w:t>.1 资料收集与理论学习（第 1-3 个月）</w:t>
      </w:r>
    </w:p>
    <w:p w14:paraId="6EBC7E15">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系统收集CSA相关中外文献，梳理核心理论与实现步骤；巩固生存分析、非参数统计专业知识，掌握 R/Python 相关工具包操作；细化研究方案，确定模拟数据设计、性能指标体系，完成文献综述。</w:t>
      </w:r>
    </w:p>
    <w:p w14:paraId="4BC70632">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rPr>
        <w:t>5</w:t>
      </w:r>
      <w:r>
        <w:rPr>
          <w:rFonts w:ascii="方正仿宋_GBK" w:hAnsi="黑体" w:eastAsia="方正仿宋_GBK" w:cs="Arial"/>
          <w:color w:val="1F2329"/>
          <w:kern w:val="0"/>
          <w:sz w:val="28"/>
          <w:szCs w:val="28"/>
        </w:rPr>
        <w:t>.2 模型构建</w:t>
      </w:r>
      <w:r>
        <w:rPr>
          <w:rFonts w:hint="eastAsia" w:ascii="方正仿宋_GBK" w:hAnsi="黑体" w:eastAsia="方正仿宋_GBK" w:cs="Arial"/>
          <w:color w:val="1F2329"/>
          <w:kern w:val="0"/>
          <w:sz w:val="28"/>
          <w:szCs w:val="28"/>
        </w:rPr>
        <w:t>与实证分析</w:t>
      </w:r>
      <w:r>
        <w:rPr>
          <w:rFonts w:ascii="方正仿宋_GBK" w:hAnsi="黑体" w:eastAsia="方正仿宋_GBK" w:cs="Arial"/>
          <w:color w:val="1F2329"/>
          <w:kern w:val="0"/>
          <w:sz w:val="28"/>
          <w:szCs w:val="28"/>
        </w:rPr>
        <w:t>（第 4-5 个月）</w:t>
      </w:r>
    </w:p>
    <w:p w14:paraId="514EA56F">
      <w:pPr>
        <w:autoSpaceDE w:val="0"/>
        <w:autoSpaceDN w:val="0"/>
        <w:spacing w:line="440" w:lineRule="exact"/>
        <w:ind w:firstLine="480" w:firstLineChars="200"/>
        <w:rPr>
          <w:rFonts w:hint="eastAsia"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运用 R 语言生成模拟数据并做描述性统计；获取并预处理实际数据；对模拟与实际数据分别拟合三种基础生存模型，完成模型拟合效果检验，确保模型合理性。</w:t>
      </w:r>
    </w:p>
    <w:p w14:paraId="103B2BF2">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编写代码实现基础模型与CSA框架/CKMP 算法的融合，构建预测区间；计算各方法性能指标，分析不同因素对CSA性能的影响；提出并实现分位数调整的阈值优化方案，验证优化效果；总结实证结果，形成实证分析报告。</w:t>
      </w:r>
    </w:p>
    <w:p w14:paraId="75865F8A">
      <w:pPr>
        <w:autoSpaceDE w:val="0"/>
        <w:autoSpaceDN w:val="0"/>
        <w:spacing w:before="156" w:beforeLines="50" w:line="440" w:lineRule="exact"/>
        <w:ind w:firstLine="560" w:firstLineChars="200"/>
        <w:rPr>
          <w:rFonts w:ascii="方正仿宋_GBK" w:hAnsi="黑体" w:eastAsia="方正仿宋_GBK" w:cs="Arial"/>
          <w:color w:val="1F2329"/>
          <w:kern w:val="0"/>
          <w:sz w:val="28"/>
          <w:szCs w:val="28"/>
        </w:rPr>
      </w:pPr>
      <w:r>
        <w:rPr>
          <w:rFonts w:hint="eastAsia" w:ascii="方正仿宋_GBK" w:hAnsi="黑体" w:eastAsia="方正仿宋_GBK" w:cs="Arial"/>
          <w:color w:val="1F2329"/>
          <w:kern w:val="0"/>
          <w:sz w:val="28"/>
          <w:szCs w:val="28"/>
          <w:lang w:val="en-US" w:eastAsia="zh-CN"/>
        </w:rPr>
        <w:t xml:space="preserve">5.3 </w:t>
      </w:r>
      <w:bookmarkStart w:id="0" w:name="_GoBack"/>
      <w:bookmarkEnd w:id="0"/>
      <w:r>
        <w:rPr>
          <w:rFonts w:ascii="方正仿宋_GBK" w:hAnsi="黑体" w:eastAsia="方正仿宋_GBK" w:cs="Arial"/>
          <w:color w:val="1F2329"/>
          <w:kern w:val="0"/>
          <w:sz w:val="28"/>
          <w:szCs w:val="28"/>
        </w:rPr>
        <w:t>论文撰写与修改（第 6 个月）</w:t>
      </w:r>
    </w:p>
    <w:p w14:paraId="02276815">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撰写</w:t>
      </w:r>
      <w:r>
        <w:rPr>
          <w:rFonts w:hint="eastAsia" w:ascii="Times New Roman" w:hAnsi="Times New Roman" w:eastAsia="宋体" w:cs="Times New Roman"/>
          <w:color w:val="1F2329"/>
          <w:kern w:val="0"/>
          <w:sz w:val="24"/>
          <w:szCs w:val="24"/>
        </w:rPr>
        <w:t>论文</w:t>
      </w:r>
      <w:r>
        <w:rPr>
          <w:rFonts w:ascii="Times New Roman" w:hAnsi="Times New Roman" w:eastAsia="宋体" w:cs="Times New Roman"/>
          <w:color w:val="1F2329"/>
          <w:kern w:val="0"/>
          <w:sz w:val="24"/>
          <w:szCs w:val="24"/>
        </w:rPr>
        <w:t>初稿，包含绪论、理论基础、研究设计、实证分析、方法优化、结论与展望等部分；结合指导教师意见反复修改，完善结果解读与图表设计；完成论文终稿与查重，准备答辩。</w:t>
      </w:r>
    </w:p>
    <w:p w14:paraId="63C476A2">
      <w:pPr>
        <w:widowControl/>
        <w:spacing w:before="156" w:beforeLines="50" w:after="156" w:afterLines="50" w:line="440" w:lineRule="exact"/>
        <w:jc w:val="left"/>
        <w:rPr>
          <w:rFonts w:ascii="黑体" w:hAnsi="黑体" w:eastAsia="黑体" w:cs="Arial"/>
          <w:color w:val="1F2329"/>
          <w:kern w:val="0"/>
          <w:sz w:val="28"/>
          <w:szCs w:val="28"/>
        </w:rPr>
      </w:pPr>
      <w:r>
        <w:rPr>
          <w:rFonts w:ascii="黑体" w:hAnsi="黑体" w:eastAsia="黑体" w:cs="Arial"/>
          <w:color w:val="1F2329"/>
          <w:kern w:val="0"/>
          <w:sz w:val="28"/>
          <w:szCs w:val="28"/>
        </w:rPr>
        <w:t>六、预期研究结果</w:t>
      </w:r>
    </w:p>
    <w:p w14:paraId="4521562E">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本研究通过对CSA方法的系统性研究，预期取得以下结果：</w:t>
      </w:r>
    </w:p>
    <w:p w14:paraId="3B9AD7C4">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完成一份系统的</w:t>
      </w:r>
      <w:r>
        <w:rPr>
          <w:rFonts w:hint="eastAsia" w:ascii="Times New Roman" w:hAnsi="Times New Roman" w:eastAsia="宋体" w:cs="Times New Roman"/>
          <w:color w:val="1F2329"/>
          <w:kern w:val="0"/>
          <w:sz w:val="24"/>
          <w:szCs w:val="24"/>
        </w:rPr>
        <w:t>comformal与s</w:t>
      </w:r>
      <w:r>
        <w:rPr>
          <w:rFonts w:ascii="Times New Roman" w:hAnsi="Times New Roman" w:eastAsia="宋体" w:cs="Times New Roman"/>
          <w:color w:val="1F2329"/>
          <w:kern w:val="0"/>
          <w:sz w:val="24"/>
          <w:szCs w:val="24"/>
        </w:rPr>
        <w:t>urvival方法文献综述，梳理 2020 年以来研究进展，明确研究脉络与现有不足，为后续研究提供参考。</w:t>
      </w:r>
    </w:p>
    <w:p w14:paraId="19FBA14C">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构建包含覆盖度与精准性的CSA性能评价指标体系，为CSA方法性能评估提供统一参考依据。</w:t>
      </w:r>
    </w:p>
    <w:p w14:paraId="150F5121">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明确样本量、删失率、基础生存模型对CSA性能的影响规律，得出不同数据场景下的最优CSA实现方案，为基层研究提供实证依据。</w:t>
      </w:r>
    </w:p>
    <w:p w14:paraId="70928CBD">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提出并验证基于分位数调整的CSA阈值优化方案，该方案能在保证覆盖度的前提下有效缩小区间宽度，且易实现、易推广。</w:t>
      </w:r>
    </w:p>
    <w:p w14:paraId="7052D1F1">
      <w:pPr>
        <w:autoSpaceDE w:val="0"/>
        <w:autoSpaceDN w:val="0"/>
        <w:spacing w:line="440" w:lineRule="exact"/>
        <w:ind w:firstLine="480" w:firstLineChars="200"/>
        <w:rPr>
          <w:rFonts w:ascii="Times New Roman" w:hAnsi="Times New Roman" w:eastAsia="宋体" w:cs="Times New Roman"/>
          <w:color w:val="1F2329"/>
          <w:kern w:val="0"/>
          <w:sz w:val="24"/>
          <w:szCs w:val="24"/>
        </w:rPr>
      </w:pPr>
      <w:r>
        <w:rPr>
          <w:rFonts w:ascii="Times New Roman" w:hAnsi="Times New Roman" w:eastAsia="宋体" w:cs="Times New Roman"/>
          <w:color w:val="1F2329"/>
          <w:kern w:val="0"/>
          <w:sz w:val="24"/>
          <w:szCs w:val="24"/>
        </w:rPr>
        <w:t>总结CSA方法的适用场景、实现步骤与注意事项，为基层研究人员运用CSA处理右删失数据提供具体应用指导，提升方法落地性。</w:t>
      </w:r>
    </w:p>
    <w:p w14:paraId="3783EF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方正仿宋_GBK">
    <w:panose1 w:val="02000000000000000000"/>
    <w:charset w:val="86"/>
    <w:family w:val="script"/>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212"/>
    <w:rsid w:val="0000111C"/>
    <w:rsid w:val="00013D39"/>
    <w:rsid w:val="000D53CD"/>
    <w:rsid w:val="00110E02"/>
    <w:rsid w:val="006B4302"/>
    <w:rsid w:val="00710EE1"/>
    <w:rsid w:val="007E4768"/>
    <w:rsid w:val="00874B47"/>
    <w:rsid w:val="008D0E25"/>
    <w:rsid w:val="0094438B"/>
    <w:rsid w:val="00A06212"/>
    <w:rsid w:val="00A653C7"/>
    <w:rsid w:val="00B132E6"/>
    <w:rsid w:val="00B66550"/>
    <w:rsid w:val="00C86B95"/>
    <w:rsid w:val="00E42EEC"/>
    <w:rsid w:val="00E600AD"/>
    <w:rsid w:val="B1DCA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8"/>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link w:val="9"/>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6">
    <w:name w:val="Strong"/>
    <w:basedOn w:val="5"/>
    <w:qFormat/>
    <w:uiPriority w:val="22"/>
    <w:rPr>
      <w:b/>
      <w:bCs/>
    </w:rPr>
  </w:style>
  <w:style w:type="character" w:styleId="7">
    <w:name w:val="HTML Code"/>
    <w:basedOn w:val="5"/>
    <w:semiHidden/>
    <w:unhideWhenUsed/>
    <w:uiPriority w:val="99"/>
    <w:rPr>
      <w:rFonts w:ascii="宋体" w:hAnsi="宋体" w:eastAsia="宋体" w:cs="宋体"/>
      <w:sz w:val="24"/>
      <w:szCs w:val="24"/>
    </w:rPr>
  </w:style>
  <w:style w:type="character" w:customStyle="1" w:styleId="8">
    <w:name w:val="标题 2 字符"/>
    <w:basedOn w:val="5"/>
    <w:link w:val="2"/>
    <w:uiPriority w:val="9"/>
    <w:rPr>
      <w:rFonts w:ascii="宋体" w:hAnsi="宋体" w:eastAsia="宋体" w:cs="宋体"/>
      <w:b/>
      <w:bCs/>
      <w:kern w:val="0"/>
      <w:sz w:val="36"/>
      <w:szCs w:val="36"/>
    </w:rPr>
  </w:style>
  <w:style w:type="character" w:customStyle="1" w:styleId="9">
    <w:name w:val="标题 3 字符"/>
    <w:basedOn w:val="5"/>
    <w:link w:val="3"/>
    <w:uiPriority w:val="9"/>
    <w:rPr>
      <w:rFonts w:ascii="宋体" w:hAnsi="宋体" w:eastAsia="宋体" w:cs="宋体"/>
      <w:b/>
      <w:bCs/>
      <w:kern w:val="0"/>
      <w:sz w:val="27"/>
      <w:szCs w:val="27"/>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511</Words>
  <Characters>2918</Characters>
  <Lines>24</Lines>
  <Paragraphs>6</Paragraphs>
  <TotalTime>310</TotalTime>
  <ScaleCrop>false</ScaleCrop>
  <LinksUpToDate>false</LinksUpToDate>
  <CharactersWithSpaces>3423</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2026-02-26T14:43:00Z</dcterms:created>
  <dc:creator>贾阳</dc:creator>
  <cp:lastModifiedBy>edy</cp:lastModifiedBy>
  <dcterms:modified xsi:type="dcterms:W3CDTF">2026-02-27T12:29:49Z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C8CD5C445034D48EBD1DA169CD278B1D_42</vt:lpwstr>
  </property>
</Properties>
</file>