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6D0B0">
      <w:pPr>
        <w:jc w:val="center"/>
        <w:rPr>
          <w:sz w:val="28"/>
        </w:rPr>
      </w:pPr>
      <w:r>
        <w:rPr>
          <w:sz w:val="28"/>
        </w:rPr>
        <w:t>数学科学学院本科毕业论文</w:t>
      </w:r>
      <w:r>
        <w:rPr>
          <w:rFonts w:hint="eastAsia"/>
          <w:sz w:val="28"/>
        </w:rPr>
        <w:t>（设计）中期检查表</w:t>
      </w:r>
    </w:p>
    <w:tbl>
      <w:tblPr>
        <w:tblStyle w:val="5"/>
        <w:tblW w:w="8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679"/>
        <w:gridCol w:w="382"/>
        <w:gridCol w:w="1258"/>
        <w:gridCol w:w="833"/>
        <w:gridCol w:w="792"/>
        <w:gridCol w:w="850"/>
        <w:gridCol w:w="790"/>
        <w:gridCol w:w="1900"/>
      </w:tblGrid>
      <w:tr w14:paraId="7EE192DB">
        <w:trPr>
          <w:trHeight w:val="450" w:hRule="atLeast"/>
          <w:jc w:val="center"/>
        </w:trPr>
        <w:tc>
          <w:tcPr>
            <w:tcW w:w="734" w:type="dxa"/>
            <w:vAlign w:val="center"/>
          </w:tcPr>
          <w:p w14:paraId="2FF31D6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2319" w:type="dxa"/>
            <w:gridSpan w:val="3"/>
            <w:vAlign w:val="center"/>
          </w:tcPr>
          <w:p w14:paraId="787DB7C4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3220101578</w:t>
            </w:r>
          </w:p>
        </w:tc>
        <w:tc>
          <w:tcPr>
            <w:tcW w:w="833" w:type="dxa"/>
            <w:vAlign w:val="center"/>
          </w:tcPr>
          <w:p w14:paraId="4DEAA60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792" w:type="dxa"/>
            <w:vAlign w:val="center"/>
          </w:tcPr>
          <w:p w14:paraId="65AAE288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贾阳</w:t>
            </w:r>
          </w:p>
        </w:tc>
        <w:tc>
          <w:tcPr>
            <w:tcW w:w="850" w:type="dxa"/>
            <w:vAlign w:val="center"/>
          </w:tcPr>
          <w:p w14:paraId="0E719F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2690" w:type="dxa"/>
            <w:gridSpan w:val="2"/>
          </w:tcPr>
          <w:p w14:paraId="06C7D88C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统计2201</w:t>
            </w:r>
          </w:p>
        </w:tc>
      </w:tr>
      <w:tr w14:paraId="3E3FD233">
        <w:trPr>
          <w:trHeight w:val="555" w:hRule="atLeast"/>
          <w:jc w:val="center"/>
        </w:trPr>
        <w:tc>
          <w:tcPr>
            <w:tcW w:w="1795" w:type="dxa"/>
            <w:gridSpan w:val="3"/>
            <w:vAlign w:val="center"/>
          </w:tcPr>
          <w:p w14:paraId="5BA1AB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2883" w:type="dxa"/>
            <w:gridSpan w:val="3"/>
            <w:vAlign w:val="center"/>
          </w:tcPr>
          <w:p w14:paraId="188BA386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汪利军</w:t>
            </w:r>
          </w:p>
        </w:tc>
        <w:tc>
          <w:tcPr>
            <w:tcW w:w="850" w:type="dxa"/>
            <w:vAlign w:val="center"/>
          </w:tcPr>
          <w:p w14:paraId="131BC0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2690" w:type="dxa"/>
            <w:gridSpan w:val="2"/>
            <w:vAlign w:val="center"/>
          </w:tcPr>
          <w:p w14:paraId="2C1FD23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“百人计划”研究员</w:t>
            </w:r>
          </w:p>
        </w:tc>
      </w:tr>
      <w:tr w14:paraId="183AFE6F">
        <w:trPr>
          <w:trHeight w:val="480" w:hRule="atLeast"/>
          <w:jc w:val="center"/>
        </w:trPr>
        <w:tc>
          <w:tcPr>
            <w:tcW w:w="1795" w:type="dxa"/>
            <w:gridSpan w:val="3"/>
            <w:vAlign w:val="center"/>
          </w:tcPr>
          <w:p w14:paraId="5D52B7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6423" w:type="dxa"/>
            <w:gridSpan w:val="6"/>
            <w:vAlign w:val="center"/>
          </w:tcPr>
          <w:p w14:paraId="20CBDCF7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eastAsiaTheme="minorEastAsia"/>
                <w:sz w:val="24"/>
                <w:lang w:val="en-US" w:eastAsia="zh-CN"/>
              </w:rPr>
              <w:t>生存分析中保形预测方法的系统性研究</w:t>
            </w:r>
          </w:p>
        </w:tc>
      </w:tr>
      <w:tr w14:paraId="51124E99">
        <w:trPr>
          <w:trHeight w:val="11034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7A609FF6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目前已完成任务</w:t>
            </w:r>
          </w:p>
        </w:tc>
        <w:tc>
          <w:tcPr>
            <w:tcW w:w="7484" w:type="dxa"/>
            <w:gridSpan w:val="8"/>
          </w:tcPr>
          <w:p w14:paraId="630789D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主要内容：</w:t>
            </w:r>
          </w:p>
          <w:p w14:paraId="73ED1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目前已经完成模拟数据部分的前期模型拟合与基础检验工作，为后续开展保形预测相关实验做好了充分准备。按照实验设计，我一共生成了9组模拟数据，分别对应样本量50、100、200，以及删失率10%、30%、50%的全部组合，数据均基于威布尔分布与指数分布模拟生成，包含生存时间、删失状态、年龄、性别等核心变量，能够满足生存分析与保形预测的基本要求。在数据生成之后，我对每一组模拟数据都进行了描述性统计，查看变量分布、删失比例等基本信息，统一数据格式与变量命名规范，确保后续建模、计算与结果对比在一致标准下进行，为整个实验打下稳定的数据基础。</w:t>
            </w:r>
          </w:p>
          <w:p w14:paraId="235E3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基础生存模型拟合环节，我严格按照实验要求，对全部9组模拟数据分别完成了Kaplan‑Meier估计、Cox比例风险模型和威布尔参数模型的拟合工作。针对每一组数据，我都成功绘制了Kaplan‑Meier生存曲线，从曲线中可以直观观察到不同样本量、不同删失率条件下样本的生存变化趋势。整体来看，各组曲线走势平稳，能够清晰反映数据的生存特征，不同删失水平下曲线的差异也符合理论预期，为后续模型对比与结果解释提供了直观依据。</w:t>
            </w:r>
          </w:p>
          <w:p w14:paraId="1D8F6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于Cox比例风险模型，我完成了全部9组数据的模型拟合，纳入合适的协变量后进行参数估计，并对每一组模型都开展了比例风险假设检验，以判断模型是否满足基本适用条件。同时，我完整记录了每组模型的对数似然值、AIC、BIC等关键拟合优度指标，用于评价模型整体效果。从已得到的结果来看，样本量越大，模型的拟合指标整体表现更优；删失率升高会在一定程度上影响拟合效果，在小样本搭配高删失的场景下，模型检验结果相对不够理想，这一表现与生存分析的相关理论基本一致，也符合模拟数据的设定规律。</w:t>
            </w:r>
          </w:p>
          <w:p w14:paraId="24454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威布尔参数模型方面，我同样完成了9组数据的全场景拟合，对每组数据进行形状参数与尺度参数的估计，并开展了对应的拟合优度检验，包括信息准则判断与分布适配性检查。所有组别的参数估计结果均已完整记录，参数取值合理，能够为后续CSA框架中非一致性得分的计算提供可靠支撑。</w:t>
            </w:r>
          </w:p>
          <w:p w14:paraId="1C153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截至目前，我已经将所有模型的拟合过程、参数估计结果、假设检验统计量等内容完整整理并留存，逐一核对了Cox模型的比例风险假设检验结果与威布尔模型的拟合优度情况，确认不存在明显错误或遗漏步骤。整体而言，前期基础模型拟合与检验工作已经全部完成，结果可靠、流程规范，能够顺利支撑下一步CSA框架与CKMP算法的融合实现、预测区间构建以及性能评估等核心实验内容。</w:t>
            </w:r>
          </w:p>
          <w:p w14:paraId="2C82099C">
            <w:pPr>
              <w:tabs>
                <w:tab w:val="left" w:pos="2145"/>
              </w:tabs>
              <w:rPr>
                <w:sz w:val="24"/>
              </w:rPr>
            </w:pPr>
          </w:p>
        </w:tc>
      </w:tr>
      <w:tr w14:paraId="1B3B3BDC">
        <w:trPr>
          <w:trHeight w:val="448" w:hRule="atLeast"/>
          <w:jc w:val="center"/>
        </w:trPr>
        <w:tc>
          <w:tcPr>
            <w:tcW w:w="734" w:type="dxa"/>
            <w:vMerge w:val="continue"/>
          </w:tcPr>
          <w:p w14:paraId="7918AA1A">
            <w:pPr>
              <w:rPr>
                <w:sz w:val="24"/>
              </w:rPr>
            </w:pPr>
          </w:p>
        </w:tc>
        <w:tc>
          <w:tcPr>
            <w:tcW w:w="5584" w:type="dxa"/>
            <w:gridSpan w:val="7"/>
            <w:vAlign w:val="center"/>
          </w:tcPr>
          <w:p w14:paraId="25139C2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是否符合任务书要求的进度（导师填写）</w:t>
            </w:r>
          </w:p>
        </w:tc>
        <w:tc>
          <w:tcPr>
            <w:tcW w:w="1900" w:type="dxa"/>
          </w:tcPr>
          <w:p w14:paraId="639AE85E"/>
        </w:tc>
      </w:tr>
      <w:tr w14:paraId="72AFDF68">
        <w:trPr>
          <w:cantSplit/>
          <w:trHeight w:val="4635" w:hRule="atLeast"/>
          <w:jc w:val="center"/>
        </w:trPr>
        <w:tc>
          <w:tcPr>
            <w:tcW w:w="734" w:type="dxa"/>
            <w:textDirection w:val="tbRlV"/>
          </w:tcPr>
          <w:p w14:paraId="0F6A673A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尚需完成的任务</w:t>
            </w:r>
          </w:p>
        </w:tc>
        <w:tc>
          <w:tcPr>
            <w:tcW w:w="7484" w:type="dxa"/>
            <w:gridSpan w:val="8"/>
          </w:tcPr>
          <w:p w14:paraId="2E12A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接下来</w:t>
            </w:r>
            <w:r>
              <w:rPr>
                <w:rFonts w:hint="eastAsia"/>
                <w:sz w:val="24"/>
                <w:lang w:val="en-US" w:eastAsia="zh-CN"/>
              </w:rPr>
              <w:t>将</w:t>
            </w:r>
            <w:r>
              <w:rPr>
                <w:rFonts w:hint="eastAsia"/>
                <w:sz w:val="24"/>
              </w:rPr>
              <w:t>继续推进模拟数据的后续实验，</w:t>
            </w:r>
            <w:r>
              <w:rPr>
                <w:rFonts w:hint="eastAsia"/>
                <w:sz w:val="24"/>
                <w:lang w:val="en-US" w:eastAsia="zh-CN"/>
              </w:rPr>
              <w:t>并</w:t>
            </w:r>
            <w:r>
              <w:rPr>
                <w:rFonts w:hint="eastAsia"/>
                <w:sz w:val="24"/>
              </w:rPr>
              <w:t>将流程应用到真实数据上。首先要实现 CSA 框架与三大基础模型的融合，编写右删失数据下的非一致性得分计算代码，按 90% 覆盖度确定阈值，构建预测区间并记录数据，同时完成 CKMP 算法与 Kaplan‑Meier 的融合。</w:t>
            </w:r>
          </w:p>
          <w:p w14:paraId="52BD3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然后</w:t>
            </w:r>
            <w:r>
              <w:rPr>
                <w:rFonts w:hint="eastAsia"/>
                <w:sz w:val="24"/>
                <w:lang w:val="en-US" w:eastAsia="zh-CN"/>
              </w:rPr>
              <w:t>对各组数据</w:t>
            </w:r>
            <w:r>
              <w:rPr>
                <w:rFonts w:hint="eastAsia"/>
                <w:sz w:val="24"/>
              </w:rPr>
              <w:t>计算覆盖度、平均区间宽度等核心指标，分析样本量、删失率、基础模型对 CSA 性能的影响，并对比基础 CSA 与 CKMP 算法的表现。之后按照分位数调整思路完成 CSA 阈值优化，验证优化效果并确定最优幅度。</w:t>
            </w:r>
          </w:p>
          <w:p w14:paraId="2586F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</w:pPr>
            <w:r>
              <w:rPr>
                <w:rFonts w:hint="eastAsia"/>
                <w:sz w:val="24"/>
              </w:rPr>
              <w:t>模拟数据全部完成后，将处理 WHAS500 等真实数据，进行预处理、模型拟合、CSA 融合与性能评估，最后整合所有结果，总结不同场景下的最优方案，整理代码与实验档案，完成整个实验并提炼结论。</w:t>
            </w:r>
          </w:p>
        </w:tc>
      </w:tr>
      <w:tr w14:paraId="144BE411">
        <w:trPr>
          <w:cantSplit/>
          <w:trHeight w:val="2115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48C80E3C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存在的问题和解决办法</w:t>
            </w:r>
          </w:p>
        </w:tc>
        <w:tc>
          <w:tcPr>
            <w:tcW w:w="679" w:type="dxa"/>
            <w:textDirection w:val="tbRlV"/>
          </w:tcPr>
          <w:p w14:paraId="531FAA3E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存在问题</w:t>
            </w:r>
          </w:p>
        </w:tc>
        <w:tc>
          <w:tcPr>
            <w:tcW w:w="6805" w:type="dxa"/>
            <w:gridSpan w:val="7"/>
          </w:tcPr>
          <w:p w14:paraId="2F02E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08A24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67D15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小样本 + 高删失场景下，Cox 模型比例风险假设检验结果不理想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 w14:paraId="66797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模型结果仅完成初步核对，尚未做异常值与极端区间检查。</w:t>
            </w:r>
          </w:p>
          <w:p w14:paraId="41F62C9F">
            <w:pPr>
              <w:ind w:left="30"/>
              <w:rPr>
                <w:rFonts w:hint="default" w:eastAsiaTheme="minorEastAsia"/>
                <w:lang w:val="en-US" w:eastAsia="zh-CN"/>
              </w:rPr>
            </w:pPr>
          </w:p>
        </w:tc>
      </w:tr>
      <w:tr w14:paraId="00C958AF">
        <w:trPr>
          <w:cantSplit/>
          <w:trHeight w:val="2520" w:hRule="atLeast"/>
          <w:jc w:val="center"/>
        </w:trPr>
        <w:tc>
          <w:tcPr>
            <w:tcW w:w="734" w:type="dxa"/>
            <w:vMerge w:val="continue"/>
          </w:tcPr>
          <w:p w14:paraId="74B4B1ED">
            <w:pPr>
              <w:ind w:left="30"/>
            </w:pPr>
          </w:p>
        </w:tc>
        <w:tc>
          <w:tcPr>
            <w:tcW w:w="679" w:type="dxa"/>
            <w:textDirection w:val="tbRlV"/>
          </w:tcPr>
          <w:p w14:paraId="033FEC93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采取的办法</w:t>
            </w:r>
          </w:p>
        </w:tc>
        <w:tc>
          <w:tcPr>
            <w:tcW w:w="6805" w:type="dxa"/>
            <w:gridSpan w:val="7"/>
          </w:tcPr>
          <w:p w14:paraId="0C645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72805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25241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/>
                <w:sz w:val="24"/>
                <w:lang w:val="en-US" w:eastAsia="zh-CN"/>
              </w:rPr>
              <w:t>优先使用对删失更稳健的 Kaplan</w:t>
            </w:r>
            <w:r>
              <w:rPr>
                <w:rFonts w:hint="default"/>
                <w:sz w:val="24"/>
                <w:lang w:val="en-US" w:eastAsia="zh-CN"/>
              </w:rPr>
              <w:noBreakHyphen/>
            </w:r>
            <w:r>
              <w:rPr>
                <w:rFonts w:hint="default"/>
                <w:sz w:val="24"/>
                <w:lang w:val="en-US" w:eastAsia="zh-CN"/>
              </w:rPr>
              <w:t>Meier 作为 CSA 基础模型，避免模型假设不满足带来的误差。</w:t>
            </w:r>
          </w:p>
          <w:p w14:paraId="55648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对拟合偏差较大的场景单独标注，分析是来自样本量、删失率还是模型本身的问题，提高后续保形预测区间的可靠性。</w:t>
            </w:r>
          </w:p>
          <w:p w14:paraId="3C5D540A">
            <w:pPr>
              <w:ind w:left="30"/>
            </w:pPr>
          </w:p>
        </w:tc>
      </w:tr>
      <w:tr w14:paraId="1A07066F">
        <w:trPr>
          <w:trHeight w:val="645" w:hRule="atLeast"/>
          <w:jc w:val="center"/>
        </w:trPr>
        <w:tc>
          <w:tcPr>
            <w:tcW w:w="1795" w:type="dxa"/>
            <w:gridSpan w:val="3"/>
            <w:vAlign w:val="center"/>
          </w:tcPr>
          <w:p w14:paraId="3ECE2AD3">
            <w:pPr>
              <w:ind w:left="30"/>
              <w:rPr>
                <w:sz w:val="24"/>
              </w:rPr>
            </w:pPr>
            <w:r>
              <w:rPr>
                <w:sz w:val="24"/>
              </w:rPr>
              <w:t>指导教师签字</w:t>
            </w:r>
          </w:p>
        </w:tc>
        <w:tc>
          <w:tcPr>
            <w:tcW w:w="2883" w:type="dxa"/>
            <w:gridSpan w:val="3"/>
            <w:vAlign w:val="center"/>
          </w:tcPr>
          <w:p w14:paraId="76F256E2">
            <w:pPr>
              <w:ind w:left="30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1AC7D2">
            <w:pPr>
              <w:ind w:left="30"/>
              <w:rPr>
                <w:sz w:val="24"/>
              </w:rPr>
            </w:pPr>
            <w:r>
              <w:rPr>
                <w:sz w:val="24"/>
              </w:rPr>
              <w:t>日期</w:t>
            </w:r>
          </w:p>
        </w:tc>
        <w:tc>
          <w:tcPr>
            <w:tcW w:w="2690" w:type="dxa"/>
            <w:gridSpan w:val="2"/>
          </w:tcPr>
          <w:p w14:paraId="7DE53531">
            <w:pPr>
              <w:ind w:left="30"/>
              <w:rPr>
                <w:sz w:val="24"/>
              </w:rPr>
            </w:pPr>
          </w:p>
        </w:tc>
      </w:tr>
      <w:tr w14:paraId="7F0E336D">
        <w:trPr>
          <w:trHeight w:val="615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1084D364">
            <w:pPr>
              <w:ind w:left="30" w:right="113"/>
              <w:rPr>
                <w:sz w:val="24"/>
              </w:rPr>
            </w:pPr>
            <w:r>
              <w:rPr>
                <w:sz w:val="24"/>
              </w:rPr>
              <w:t>检查小组意见</w:t>
            </w:r>
          </w:p>
        </w:tc>
        <w:tc>
          <w:tcPr>
            <w:tcW w:w="7484" w:type="dxa"/>
            <w:gridSpan w:val="8"/>
            <w:vAlign w:val="center"/>
          </w:tcPr>
          <w:p w14:paraId="35B1E9F7">
            <w:pPr>
              <w:ind w:left="30"/>
              <w:rPr>
                <w:sz w:val="24"/>
              </w:rPr>
            </w:pPr>
            <w:r>
              <w:rPr>
                <w:sz w:val="24"/>
              </w:rPr>
              <w:t>抽查评分</w:t>
            </w:r>
            <w:r>
              <w:rPr>
                <w:rFonts w:hint="eastAsia"/>
                <w:sz w:val="24"/>
              </w:rPr>
              <w:t xml:space="preserve">： </w:t>
            </w:r>
            <w:r>
              <w:rPr>
                <w:sz w:val="24"/>
              </w:rPr>
              <w:t xml:space="preserve">  </w:t>
            </w:r>
            <w:r>
              <w:rPr>
                <w:rFonts w:hint="eastAsia" w:asciiTheme="minorEastAsia" w:hAnsiTheme="minorEastAsia"/>
                <w:sz w:val="24"/>
              </w:rPr>
              <w:t xml:space="preserve">□优 </w:t>
            </w:r>
            <w:r>
              <w:rPr>
                <w:rFonts w:asciiTheme="minorEastAsia" w:hAnsiTheme="minorEastAsia"/>
                <w:sz w:val="24"/>
              </w:rPr>
              <w:t xml:space="preserve">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良</w:t>
            </w:r>
            <w:r>
              <w:rPr>
                <w:rFonts w:hint="eastAsia" w:asciiTheme="minorEastAsia" w:hAnsiTheme="minorEastAsia"/>
                <w:sz w:val="24"/>
              </w:rPr>
              <w:t xml:space="preserve"> </w:t>
            </w:r>
            <w:r>
              <w:rPr>
                <w:rFonts w:asciiTheme="minorEastAsia" w:hAnsiTheme="minorEastAsia"/>
                <w:sz w:val="24"/>
              </w:rPr>
              <w:t xml:space="preserve">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合格</w:t>
            </w:r>
            <w:r>
              <w:rPr>
                <w:rFonts w:hint="eastAsia" w:asciiTheme="minorEastAsia" w:hAnsiTheme="minorEastAsia"/>
                <w:sz w:val="24"/>
              </w:rPr>
              <w:t xml:space="preserve"> </w:t>
            </w:r>
            <w:r>
              <w:rPr>
                <w:rFonts w:asciiTheme="minorEastAsia" w:hAnsiTheme="minorEastAsia"/>
                <w:sz w:val="24"/>
              </w:rPr>
              <w:t xml:space="preserve"> 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不合格</w:t>
            </w:r>
          </w:p>
        </w:tc>
      </w:tr>
      <w:tr w14:paraId="225B4A37">
        <w:trPr>
          <w:trHeight w:val="2985" w:hRule="atLeast"/>
          <w:jc w:val="center"/>
        </w:trPr>
        <w:tc>
          <w:tcPr>
            <w:tcW w:w="734" w:type="dxa"/>
            <w:vMerge w:val="continue"/>
          </w:tcPr>
          <w:p w14:paraId="3068DB22">
            <w:pPr>
              <w:ind w:left="30"/>
              <w:rPr>
                <w:sz w:val="24"/>
              </w:rPr>
            </w:pPr>
          </w:p>
        </w:tc>
        <w:tc>
          <w:tcPr>
            <w:tcW w:w="7484" w:type="dxa"/>
            <w:gridSpan w:val="8"/>
          </w:tcPr>
          <w:p w14:paraId="066D7024">
            <w:pPr>
              <w:ind w:left="30"/>
              <w:rPr>
                <w:sz w:val="24"/>
              </w:rPr>
            </w:pPr>
            <w:r>
              <w:rPr>
                <w:sz w:val="24"/>
              </w:rPr>
              <w:t>意见和建议</w:t>
            </w:r>
            <w:r>
              <w:rPr>
                <w:rFonts w:hint="eastAsia"/>
                <w:sz w:val="24"/>
              </w:rPr>
              <w:t>：</w:t>
            </w:r>
          </w:p>
          <w:p w14:paraId="7A59DEAF">
            <w:pPr>
              <w:ind w:left="30"/>
              <w:rPr>
                <w:sz w:val="24"/>
              </w:rPr>
            </w:pPr>
          </w:p>
          <w:p w14:paraId="7D7FFFAA">
            <w:pPr>
              <w:ind w:left="30"/>
              <w:rPr>
                <w:sz w:val="24"/>
              </w:rPr>
            </w:pPr>
          </w:p>
          <w:p w14:paraId="303D4427">
            <w:pPr>
              <w:ind w:left="30"/>
              <w:rPr>
                <w:sz w:val="24"/>
              </w:rPr>
            </w:pPr>
          </w:p>
          <w:p w14:paraId="032E3F16">
            <w:pPr>
              <w:ind w:left="30"/>
              <w:rPr>
                <w:sz w:val="24"/>
              </w:rPr>
            </w:pPr>
          </w:p>
          <w:p w14:paraId="20388130">
            <w:pPr>
              <w:ind w:left="30"/>
              <w:rPr>
                <w:sz w:val="24"/>
              </w:rPr>
            </w:pPr>
          </w:p>
          <w:p w14:paraId="6253B111">
            <w:pPr>
              <w:ind w:left="30"/>
              <w:rPr>
                <w:sz w:val="24"/>
              </w:rPr>
            </w:pPr>
          </w:p>
          <w:p w14:paraId="76A3205C">
            <w:pPr>
              <w:ind w:left="30"/>
              <w:rPr>
                <w:sz w:val="24"/>
              </w:rPr>
            </w:pPr>
          </w:p>
          <w:p w14:paraId="03BD8F10">
            <w:pPr>
              <w:ind w:left="30" w:right="1980"/>
              <w:jc w:val="right"/>
              <w:rPr>
                <w:sz w:val="24"/>
              </w:rPr>
            </w:pPr>
            <w:r>
              <w:rPr>
                <w:sz w:val="24"/>
              </w:rPr>
              <w:t>检查老师签字</w:t>
            </w:r>
            <w:r>
              <w:rPr>
                <w:rFonts w:hint="eastAsia"/>
                <w:sz w:val="24"/>
              </w:rPr>
              <w:t>：</w:t>
            </w:r>
          </w:p>
        </w:tc>
      </w:tr>
    </w:tbl>
    <w:p w14:paraId="4ABD760B">
      <w:r>
        <w:rPr>
          <w:rFonts w:hint="eastAsia"/>
        </w:rPr>
        <w:t>请正反面打印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9E"/>
    <w:rsid w:val="00093F94"/>
    <w:rsid w:val="001F074F"/>
    <w:rsid w:val="00266694"/>
    <w:rsid w:val="003458FE"/>
    <w:rsid w:val="003920C1"/>
    <w:rsid w:val="0039600F"/>
    <w:rsid w:val="003C7BEC"/>
    <w:rsid w:val="003F6F9E"/>
    <w:rsid w:val="00502B15"/>
    <w:rsid w:val="006F1569"/>
    <w:rsid w:val="00702CAF"/>
    <w:rsid w:val="007E249C"/>
    <w:rsid w:val="00A101C7"/>
    <w:rsid w:val="00AB2C7F"/>
    <w:rsid w:val="00B206B9"/>
    <w:rsid w:val="00C603F0"/>
    <w:rsid w:val="FFBBD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</Words>
  <Characters>211</Characters>
  <Lines>1</Lines>
  <Paragraphs>1</Paragraphs>
  <TotalTime>74</TotalTime>
  <ScaleCrop>false</ScaleCrop>
  <LinksUpToDate>false</LinksUpToDate>
  <CharactersWithSpaces>247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2023-10-09T17:58:00Z</dcterms:created>
  <dc:creator>Windows 用户</dc:creator>
  <cp:lastModifiedBy>δ</cp:lastModifiedBy>
  <dcterms:modified xsi:type="dcterms:W3CDTF">2026-03-27T14:02:34Z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AAEE939A4EDE5D877A1DC669353D209B_42</vt:lpwstr>
  </property>
</Properties>
</file>