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6D0B0">
      <w:pPr>
        <w:jc w:val="center"/>
        <w:rPr>
          <w:sz w:val="28"/>
        </w:rPr>
      </w:pPr>
      <w:r>
        <w:rPr>
          <w:sz w:val="28"/>
        </w:rPr>
        <w:t>数学科学学院本科毕业论文</w:t>
      </w:r>
      <w:r>
        <w:rPr>
          <w:rFonts w:hint="eastAsia"/>
          <w:sz w:val="28"/>
        </w:rPr>
        <w:t>（设计）中期检查表</w:t>
      </w:r>
    </w:p>
    <w:tbl>
      <w:tblPr>
        <w:tblStyle w:val="5"/>
        <w:tblW w:w="8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679"/>
        <w:gridCol w:w="382"/>
        <w:gridCol w:w="1258"/>
        <w:gridCol w:w="833"/>
        <w:gridCol w:w="792"/>
        <w:gridCol w:w="850"/>
        <w:gridCol w:w="790"/>
        <w:gridCol w:w="1900"/>
      </w:tblGrid>
      <w:tr w14:paraId="7EE192DB">
        <w:trPr>
          <w:trHeight w:val="450" w:hRule="atLeast"/>
          <w:jc w:val="center"/>
        </w:trPr>
        <w:tc>
          <w:tcPr>
            <w:tcW w:w="734" w:type="dxa"/>
            <w:vAlign w:val="center"/>
          </w:tcPr>
          <w:p w14:paraId="2FF31D6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2319" w:type="dxa"/>
            <w:gridSpan w:val="3"/>
            <w:vAlign w:val="center"/>
          </w:tcPr>
          <w:p w14:paraId="787DB7C4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3220101578</w:t>
            </w:r>
          </w:p>
        </w:tc>
        <w:tc>
          <w:tcPr>
            <w:tcW w:w="833" w:type="dxa"/>
            <w:vAlign w:val="center"/>
          </w:tcPr>
          <w:p w14:paraId="4DEAA60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792" w:type="dxa"/>
            <w:vAlign w:val="center"/>
          </w:tcPr>
          <w:p w14:paraId="65AAE288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贾阳</w:t>
            </w:r>
          </w:p>
        </w:tc>
        <w:tc>
          <w:tcPr>
            <w:tcW w:w="850" w:type="dxa"/>
            <w:vAlign w:val="center"/>
          </w:tcPr>
          <w:p w14:paraId="0E719F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2690" w:type="dxa"/>
            <w:gridSpan w:val="2"/>
          </w:tcPr>
          <w:p w14:paraId="06C7D88C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统计2201</w:t>
            </w:r>
          </w:p>
        </w:tc>
      </w:tr>
      <w:tr w14:paraId="3E3FD233">
        <w:trPr>
          <w:trHeight w:val="555" w:hRule="atLeast"/>
          <w:jc w:val="center"/>
        </w:trPr>
        <w:tc>
          <w:tcPr>
            <w:tcW w:w="1795" w:type="dxa"/>
            <w:gridSpan w:val="3"/>
            <w:vAlign w:val="center"/>
          </w:tcPr>
          <w:p w14:paraId="5BA1AB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2883" w:type="dxa"/>
            <w:gridSpan w:val="3"/>
            <w:vAlign w:val="center"/>
          </w:tcPr>
          <w:p w14:paraId="188BA386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汪利军</w:t>
            </w:r>
          </w:p>
        </w:tc>
        <w:tc>
          <w:tcPr>
            <w:tcW w:w="850" w:type="dxa"/>
            <w:vAlign w:val="center"/>
          </w:tcPr>
          <w:p w14:paraId="131BC0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2690" w:type="dxa"/>
            <w:gridSpan w:val="2"/>
            <w:vAlign w:val="center"/>
          </w:tcPr>
          <w:p w14:paraId="2C1FD23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“百人计划”研究员</w:t>
            </w:r>
          </w:p>
        </w:tc>
      </w:tr>
      <w:tr w14:paraId="183AFE6F">
        <w:trPr>
          <w:trHeight w:val="480" w:hRule="atLeast"/>
          <w:jc w:val="center"/>
        </w:trPr>
        <w:tc>
          <w:tcPr>
            <w:tcW w:w="1795" w:type="dxa"/>
            <w:gridSpan w:val="3"/>
            <w:vAlign w:val="center"/>
          </w:tcPr>
          <w:p w14:paraId="5D52B7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6423" w:type="dxa"/>
            <w:gridSpan w:val="6"/>
            <w:vAlign w:val="center"/>
          </w:tcPr>
          <w:p w14:paraId="20CBDCF7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eastAsiaTheme="minorEastAsia"/>
                <w:sz w:val="24"/>
                <w:lang w:val="en-US" w:eastAsia="zh-CN"/>
              </w:rPr>
              <w:t>生存分析中保形预测方法的系统性研究</w:t>
            </w:r>
          </w:p>
        </w:tc>
      </w:tr>
      <w:tr w14:paraId="51124E99">
        <w:trPr>
          <w:trHeight w:val="11034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7A609FF6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目前已完成任务</w:t>
            </w:r>
          </w:p>
        </w:tc>
        <w:tc>
          <w:tcPr>
            <w:tcW w:w="7484" w:type="dxa"/>
            <w:gridSpan w:val="8"/>
          </w:tcPr>
          <w:p w14:paraId="630789D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主要内容：</w:t>
            </w:r>
          </w:p>
          <w:p w14:paraId="3FAA113A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firstLine="440" w:firstLineChars="200"/>
              <w:textAlignment w:val="auto"/>
              <w:rPr>
                <w:rFonts w:hint="eastAsia"/>
                <w:sz w:val="22"/>
                <w:szCs w:val="21"/>
              </w:rPr>
            </w:pPr>
          </w:p>
          <w:p w14:paraId="6B16C07C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完成了生存分析中保形预测方法的基础性系统研究。第一阶段建立了模拟数据生成框架，在Python中实现基于威布尔分布的数据生成器，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生成对于不同</w:t>
            </w:r>
            <w:r>
              <w:rPr>
                <w:rFonts w:hint="eastAsia"/>
                <w:sz w:val="24"/>
                <w:szCs w:val="22"/>
              </w:rPr>
              <w:t>样本量（100、500、2000）</w:t>
            </w:r>
            <w:r>
              <w:rPr>
                <w:rFonts w:hint="eastAsia"/>
                <w:sz w:val="24"/>
                <w:szCs w:val="22"/>
                <w:lang w:eastAsia="zh-CN"/>
              </w:rPr>
              <w:t>，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不同</w:t>
            </w:r>
            <w:r>
              <w:rPr>
                <w:rFonts w:hint="eastAsia"/>
                <w:sz w:val="24"/>
                <w:szCs w:val="22"/>
              </w:rPr>
              <w:t>删失率（0.1、0.3、0.5）</w:t>
            </w:r>
            <w:r>
              <w:rPr>
                <w:rFonts w:hint="eastAsia"/>
                <w:sz w:val="24"/>
                <w:szCs w:val="22"/>
                <w:lang w:eastAsia="zh-CN"/>
              </w:rPr>
              <w:t>，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不同方差类型（同方差/异方差）</w:t>
            </w:r>
            <w:r>
              <w:rPr>
                <w:rFonts w:hint="eastAsia"/>
                <w:sz w:val="24"/>
                <w:szCs w:val="22"/>
              </w:rPr>
              <w:t>和协变量维度（1维和50维）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的多组数</w:t>
            </w:r>
            <w:bookmarkStart w:id="0" w:name="_GoBack"/>
            <w:bookmarkEnd w:id="0"/>
            <w:r>
              <w:rPr>
                <w:rFonts w:hint="eastAsia"/>
                <w:sz w:val="24"/>
                <w:szCs w:val="22"/>
                <w:lang w:val="en-US" w:eastAsia="zh-CN"/>
              </w:rPr>
              <w:t>据进行对比实验</w:t>
            </w:r>
            <w:r>
              <w:rPr>
                <w:rFonts w:hint="eastAsia"/>
                <w:sz w:val="24"/>
                <w:szCs w:val="22"/>
              </w:rPr>
              <w:t>，生成36组完整数据集。完成了四种主流生存分析模型的拟合与评估工作：包括Kaplan-Meier非参数估计、Cox比例风险模型、Weibull参数模型和随机生存森林。对所有数据场景进行了模型拟合，通过一致性指数（C-index）对各模型进行了系统性能评估。</w:t>
            </w:r>
          </w:p>
          <w:p w14:paraId="15C07955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第二阶段实现了保形预测（CSA）框架与四种基础模型的融合。建立了右删失生存数据下的非一致性得分计算逻辑，基于分位数法确定90%覆盖率的CSA阈值。实现了数据三分割策略（训练、校准、测试集）以避免数据泄露，为144个配置（36组数据×4种模型）构建了保形预测区间。</w:t>
            </w:r>
          </w:p>
          <w:p w14:paraId="79FD17C5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第三阶段完成了保形预测性能的系统评估。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并</w:t>
            </w:r>
            <w:r>
              <w:rPr>
                <w:rFonts w:hint="eastAsia"/>
                <w:sz w:val="24"/>
                <w:szCs w:val="22"/>
              </w:rPr>
              <w:t>记录了144个配置的8项关键指标，包括覆盖率、未删失/删失覆盖率、平均区间宽度、宽度变异系数等。通过对标分析揭示了关键规律：RSF综合性能最优（覆盖率91.59%），Weibull在参数匹配时表现均衡但在小样本（n=100）存在极端性，Cox在高维场景（p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=50</w:t>
            </w:r>
            <w:r>
              <w:rPr>
                <w:rFonts w:hint="eastAsia"/>
                <w:sz w:val="24"/>
                <w:szCs w:val="22"/>
              </w:rPr>
              <w:t>）完全失效。</w:t>
            </w:r>
          </w:p>
          <w:p w14:paraId="09BB2527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同时完成了问题诊断工作。识别出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了</w:t>
            </w:r>
            <w:r>
              <w:rPr>
                <w:rFonts w:hint="eastAsia"/>
                <w:sz w:val="24"/>
                <w:szCs w:val="22"/>
              </w:rPr>
              <w:t>三个关键问题：（1）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对于删失情况的</w:t>
            </w:r>
            <w:r>
              <w:rPr>
                <w:rFonts w:hint="eastAsia"/>
                <w:sz w:val="24"/>
                <w:szCs w:val="22"/>
              </w:rPr>
              <w:t>删失覆盖率定义不严谨导致评估不符合理论，已通过修正下界条件判断完全解决；（2）Weibull小样本参数不稳定导致区间宽度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过大</w:t>
            </w:r>
            <w:r>
              <w:rPr>
                <w:rFonts w:hint="eastAsia"/>
                <w:sz w:val="24"/>
                <w:szCs w:val="22"/>
              </w:rPr>
              <w:t>（n=100平均43.28），通过L2正则化改善但未完全解决；（3）Cox数值溢出产生inf，通过基础正则化部分改善但仅在n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=</w:t>
            </w:r>
            <w:r>
              <w:rPr>
                <w:rFonts w:hint="eastAsia"/>
                <w:sz w:val="24"/>
                <w:szCs w:val="22"/>
              </w:rPr>
              <w:t>2000时可用。</w:t>
            </w:r>
          </w:p>
          <w:p w14:paraId="2C82099C">
            <w:pPr>
              <w:keepNext w:val="0"/>
              <w:keepLines w:val="0"/>
              <w:pageBreakBefore w:val="0"/>
              <w:widowControl w:val="0"/>
              <w:tabs>
                <w:tab w:val="left" w:pos="21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整体形成了模块化、可复现的实验框架</w:t>
            </w:r>
            <w:r>
              <w:rPr>
                <w:rFonts w:hint="eastAsia"/>
                <w:sz w:val="24"/>
                <w:szCs w:val="22"/>
                <w:lang w:eastAsia="zh-CN"/>
              </w:rPr>
              <w:t>，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保证实验可复现</w:t>
            </w:r>
            <w:r>
              <w:rPr>
                <w:rFonts w:hint="eastAsia"/>
                <w:sz w:val="24"/>
                <w:szCs w:val="22"/>
              </w:rPr>
              <w:t>。</w:t>
            </w:r>
          </w:p>
        </w:tc>
      </w:tr>
      <w:tr w14:paraId="1B3B3BDC">
        <w:trPr>
          <w:trHeight w:val="448" w:hRule="atLeast"/>
          <w:jc w:val="center"/>
        </w:trPr>
        <w:tc>
          <w:tcPr>
            <w:tcW w:w="734" w:type="dxa"/>
            <w:vMerge w:val="continue"/>
          </w:tcPr>
          <w:p w14:paraId="7918AA1A">
            <w:pPr>
              <w:rPr>
                <w:sz w:val="24"/>
              </w:rPr>
            </w:pPr>
          </w:p>
        </w:tc>
        <w:tc>
          <w:tcPr>
            <w:tcW w:w="5584" w:type="dxa"/>
            <w:gridSpan w:val="7"/>
            <w:vAlign w:val="center"/>
          </w:tcPr>
          <w:p w14:paraId="25139C2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是否符合任务书要求的进度（导师填写）</w:t>
            </w:r>
          </w:p>
        </w:tc>
        <w:tc>
          <w:tcPr>
            <w:tcW w:w="1900" w:type="dxa"/>
          </w:tcPr>
          <w:p w14:paraId="639AE85E"/>
        </w:tc>
      </w:tr>
      <w:tr w14:paraId="72AFDF68">
        <w:trPr>
          <w:cantSplit/>
          <w:trHeight w:val="4158" w:hRule="atLeast"/>
          <w:jc w:val="center"/>
        </w:trPr>
        <w:tc>
          <w:tcPr>
            <w:tcW w:w="734" w:type="dxa"/>
            <w:textDirection w:val="tbRlV"/>
          </w:tcPr>
          <w:p w14:paraId="0F6A673A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尚需完成的任务</w:t>
            </w:r>
          </w:p>
        </w:tc>
        <w:tc>
          <w:tcPr>
            <w:tcW w:w="7484" w:type="dxa"/>
            <w:gridSpan w:val="8"/>
          </w:tcPr>
          <w:p w14:paraId="44117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</w:p>
          <w:p w14:paraId="60D9B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</w:p>
          <w:p w14:paraId="12DB3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</w:p>
          <w:p w14:paraId="0FBA6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设计基于分量数调整的动态阈值优化方案，测试88%-92%覆盖率目标下的性能变化。找到使"覆盖率≈90%</w:t>
            </w:r>
            <w:r>
              <w:rPr>
                <w:rFonts w:hint="eastAsia"/>
                <w:sz w:val="24"/>
                <w:lang w:val="en-US" w:eastAsia="zh-CN"/>
              </w:rPr>
              <w:t>且</w:t>
            </w:r>
            <w:r>
              <w:rPr>
                <w:rFonts w:hint="eastAsia"/>
                <w:sz w:val="24"/>
              </w:rPr>
              <w:t>区间宽度最小"的最优调整参数。对各模型在不同数据场景下的最优参数进行分类标注。</w:t>
            </w:r>
          </w:p>
          <w:p w14:paraId="24474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获取WHAS500等公开生存数据集，重复执行模型拟合与CSA融合实验。完成缺失值处理、协变量筛选、因子编码等数据预处理工作。验证模拟数据实验规律在实际复杂数据上的推广性，检验样本量、删失率、维度、异方差等因素的影响一致性。</w:t>
            </w:r>
          </w:p>
          <w:p w14:paraId="3A846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对所有实验结果进行可视化</w:t>
            </w:r>
            <w:r>
              <w:rPr>
                <w:rFonts w:hint="eastAsia"/>
              </w:rPr>
              <w:t>。整合实验结果形成技术报告与学位论文初稿。</w:t>
            </w:r>
          </w:p>
          <w:p w14:paraId="2586F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 w:firstLineChars="200"/>
              <w:textAlignment w:val="auto"/>
            </w:pPr>
          </w:p>
        </w:tc>
      </w:tr>
      <w:tr w14:paraId="144BE411">
        <w:trPr>
          <w:cantSplit/>
          <w:trHeight w:val="2115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48C80E3C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存在的问题和解决办法</w:t>
            </w:r>
          </w:p>
        </w:tc>
        <w:tc>
          <w:tcPr>
            <w:tcW w:w="679" w:type="dxa"/>
            <w:textDirection w:val="tbRlV"/>
          </w:tcPr>
          <w:p w14:paraId="531FAA3E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存在问题</w:t>
            </w:r>
          </w:p>
        </w:tc>
        <w:tc>
          <w:tcPr>
            <w:tcW w:w="6805" w:type="dxa"/>
            <w:gridSpan w:val="7"/>
          </w:tcPr>
          <w:p w14:paraId="2F02E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1D032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Weibull模型小样本参数不稳定：n=100时CSA</w:t>
            </w:r>
            <w:r>
              <w:rPr>
                <w:rFonts w:hint="eastAsia"/>
                <w:sz w:val="24"/>
                <w:lang w:val="en-US" w:eastAsia="zh-CN"/>
              </w:rPr>
              <w:t>平均</w:t>
            </w:r>
            <w:r>
              <w:rPr>
                <w:rFonts w:hint="default"/>
                <w:sz w:val="24"/>
                <w:lang w:val="en-US" w:eastAsia="zh-CN"/>
              </w:rPr>
              <w:t>区间宽度</w:t>
            </w:r>
            <w:r>
              <w:rPr>
                <w:rFonts w:hint="eastAsia"/>
                <w:sz w:val="24"/>
                <w:lang w:val="en-US" w:eastAsia="zh-CN"/>
              </w:rPr>
              <w:t>增大</w:t>
            </w:r>
            <w:r>
              <w:rPr>
                <w:rFonts w:hint="default"/>
                <w:sz w:val="24"/>
                <w:lang w:val="en-US" w:eastAsia="zh-CN"/>
              </w:rPr>
              <w:t>至43.28，而RSF稳定在3.99。原因是小样本下Weibull参数估计波动，导致分位数生成极端值。</w:t>
            </w:r>
          </w:p>
          <w:p w14:paraId="74908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Cox模型数值溢出：n≤500时多数配置CSA区间宽度为inf。原因是高维小样本下风险分层不足，预测分数变成0或∞。</w:t>
            </w:r>
          </w:p>
          <w:p w14:paraId="3C25D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删失样本覆盖率定义模糊：RSF删失覆盖率(88.42%)明显低于未删失(93.25%)。原因是原实现对删失点使用点值比较而非下界条件。</w:t>
            </w:r>
          </w:p>
          <w:p w14:paraId="41F62C9F">
            <w:pPr>
              <w:ind w:left="30"/>
              <w:rPr>
                <w:rFonts w:hint="default" w:eastAsiaTheme="minorEastAsia"/>
                <w:lang w:val="en-US" w:eastAsia="zh-CN"/>
              </w:rPr>
            </w:pPr>
          </w:p>
        </w:tc>
      </w:tr>
      <w:tr w14:paraId="00C958AF">
        <w:trPr>
          <w:cantSplit/>
          <w:trHeight w:val="2520" w:hRule="atLeast"/>
          <w:jc w:val="center"/>
        </w:trPr>
        <w:tc>
          <w:tcPr>
            <w:tcW w:w="734" w:type="dxa"/>
            <w:vMerge w:val="continue"/>
          </w:tcPr>
          <w:p w14:paraId="74B4B1ED">
            <w:pPr>
              <w:ind w:left="30"/>
            </w:pPr>
          </w:p>
        </w:tc>
        <w:tc>
          <w:tcPr>
            <w:tcW w:w="679" w:type="dxa"/>
            <w:textDirection w:val="tbRlV"/>
          </w:tcPr>
          <w:p w14:paraId="033FEC93">
            <w:pPr>
              <w:ind w:left="30" w:right="113"/>
              <w:jc w:val="center"/>
              <w:rPr>
                <w:sz w:val="24"/>
              </w:rPr>
            </w:pPr>
            <w:r>
              <w:rPr>
                <w:sz w:val="24"/>
              </w:rPr>
              <w:t>采取的办法</w:t>
            </w:r>
          </w:p>
        </w:tc>
        <w:tc>
          <w:tcPr>
            <w:tcW w:w="6805" w:type="dxa"/>
            <w:gridSpan w:val="7"/>
          </w:tcPr>
          <w:p w14:paraId="0C645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</w:p>
          <w:p w14:paraId="61397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为Weibull添加L2正则化和SLSQP优化，使n=100宽度从不可用改善至可接受范围。</w:t>
            </w:r>
          </w:p>
          <w:p w14:paraId="3A86A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修正删失覆盖率定义，改为"区间下界≤删失时间"的判断方式，符合保形预测理论要求。</w:t>
            </w:r>
          </w:p>
          <w:p w14:paraId="3C5D5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80" w:firstLineChars="200"/>
              <w:textAlignment w:val="auto"/>
            </w:pPr>
            <w:r>
              <w:rPr>
                <w:rFonts w:hint="eastAsia"/>
                <w:sz w:val="24"/>
                <w:lang w:val="en-US" w:eastAsia="zh-CN"/>
              </w:rPr>
              <w:t>增强Cox正则化、增大校准集、添加适用性检查。</w:t>
            </w:r>
          </w:p>
        </w:tc>
      </w:tr>
      <w:tr w14:paraId="1A07066F">
        <w:trPr>
          <w:trHeight w:val="645" w:hRule="atLeast"/>
          <w:jc w:val="center"/>
        </w:trPr>
        <w:tc>
          <w:tcPr>
            <w:tcW w:w="1795" w:type="dxa"/>
            <w:gridSpan w:val="3"/>
            <w:vAlign w:val="center"/>
          </w:tcPr>
          <w:p w14:paraId="3ECE2AD3">
            <w:pPr>
              <w:ind w:left="30"/>
              <w:rPr>
                <w:sz w:val="24"/>
              </w:rPr>
            </w:pPr>
            <w:r>
              <w:rPr>
                <w:sz w:val="24"/>
              </w:rPr>
              <w:t>指导教师签字</w:t>
            </w:r>
          </w:p>
        </w:tc>
        <w:tc>
          <w:tcPr>
            <w:tcW w:w="2883" w:type="dxa"/>
            <w:gridSpan w:val="3"/>
            <w:vAlign w:val="center"/>
          </w:tcPr>
          <w:p w14:paraId="76F256E2">
            <w:pPr>
              <w:ind w:left="30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1AC7D2">
            <w:pPr>
              <w:ind w:left="30"/>
              <w:rPr>
                <w:sz w:val="24"/>
              </w:rPr>
            </w:pPr>
            <w:r>
              <w:rPr>
                <w:sz w:val="24"/>
              </w:rPr>
              <w:t>日期</w:t>
            </w:r>
          </w:p>
        </w:tc>
        <w:tc>
          <w:tcPr>
            <w:tcW w:w="2690" w:type="dxa"/>
            <w:gridSpan w:val="2"/>
          </w:tcPr>
          <w:p w14:paraId="7DE53531">
            <w:pPr>
              <w:ind w:left="30"/>
              <w:rPr>
                <w:sz w:val="24"/>
              </w:rPr>
            </w:pPr>
          </w:p>
        </w:tc>
      </w:tr>
      <w:tr w14:paraId="7F0E336D">
        <w:trPr>
          <w:trHeight w:val="615" w:hRule="atLeast"/>
          <w:jc w:val="center"/>
        </w:trPr>
        <w:tc>
          <w:tcPr>
            <w:tcW w:w="734" w:type="dxa"/>
            <w:vMerge w:val="restart"/>
            <w:textDirection w:val="tbRlV"/>
          </w:tcPr>
          <w:p w14:paraId="1084D364">
            <w:pPr>
              <w:ind w:left="30" w:right="113"/>
              <w:rPr>
                <w:sz w:val="24"/>
              </w:rPr>
            </w:pPr>
            <w:r>
              <w:rPr>
                <w:sz w:val="24"/>
              </w:rPr>
              <w:t>检查小组意见</w:t>
            </w:r>
          </w:p>
        </w:tc>
        <w:tc>
          <w:tcPr>
            <w:tcW w:w="7484" w:type="dxa"/>
            <w:gridSpan w:val="8"/>
            <w:vAlign w:val="center"/>
          </w:tcPr>
          <w:p w14:paraId="35B1E9F7">
            <w:pPr>
              <w:ind w:left="30"/>
              <w:rPr>
                <w:sz w:val="24"/>
              </w:rPr>
            </w:pPr>
            <w:r>
              <w:rPr>
                <w:sz w:val="24"/>
              </w:rPr>
              <w:t>抽查评分</w:t>
            </w:r>
            <w:r>
              <w:rPr>
                <w:rFonts w:hint="eastAsia"/>
                <w:sz w:val="24"/>
              </w:rPr>
              <w:t xml:space="preserve">： </w:t>
            </w:r>
            <w:r>
              <w:rPr>
                <w:sz w:val="24"/>
              </w:rPr>
              <w:t xml:space="preserve">  </w:t>
            </w:r>
            <w:r>
              <w:rPr>
                <w:rFonts w:hint="eastAsia" w:asciiTheme="minorEastAsia" w:hAnsiTheme="minorEastAsia"/>
                <w:sz w:val="24"/>
              </w:rPr>
              <w:t xml:space="preserve">□优 </w:t>
            </w:r>
            <w:r>
              <w:rPr>
                <w:rFonts w:asciiTheme="minorEastAsia" w:hAnsiTheme="minorEastAsia"/>
                <w:sz w:val="24"/>
              </w:rPr>
              <w:t xml:space="preserve">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良</w:t>
            </w:r>
            <w:r>
              <w:rPr>
                <w:rFonts w:hint="eastAsia" w:asciiTheme="minorEastAsia" w:hAnsiTheme="minorEastAsia"/>
                <w:sz w:val="24"/>
              </w:rPr>
              <w:t xml:space="preserve"> </w:t>
            </w:r>
            <w:r>
              <w:rPr>
                <w:rFonts w:asciiTheme="minorEastAsia" w:hAnsiTheme="minorEastAsia"/>
                <w:sz w:val="24"/>
              </w:rPr>
              <w:t xml:space="preserve">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合格</w:t>
            </w:r>
            <w:r>
              <w:rPr>
                <w:rFonts w:hint="eastAsia" w:asciiTheme="minorEastAsia" w:hAnsiTheme="minorEastAsia"/>
                <w:sz w:val="24"/>
              </w:rPr>
              <w:t xml:space="preserve"> </w:t>
            </w:r>
            <w:r>
              <w:rPr>
                <w:rFonts w:asciiTheme="minorEastAsia" w:hAnsiTheme="minorEastAsia"/>
                <w:sz w:val="24"/>
              </w:rPr>
              <w:t xml:space="preserve">      </w:t>
            </w:r>
            <w:r>
              <w:rPr>
                <w:rFonts w:hint="eastAsia" w:asciiTheme="minorEastAsia" w:hAnsiTheme="minorEastAsia"/>
                <w:sz w:val="24"/>
              </w:rPr>
              <w:t>□</w:t>
            </w:r>
            <w:r>
              <w:rPr>
                <w:rFonts w:asciiTheme="minorEastAsia" w:hAnsiTheme="minorEastAsia"/>
                <w:sz w:val="24"/>
              </w:rPr>
              <w:t>不合格</w:t>
            </w:r>
          </w:p>
        </w:tc>
      </w:tr>
      <w:tr w14:paraId="225B4A37">
        <w:trPr>
          <w:trHeight w:val="2718" w:hRule="atLeast"/>
          <w:jc w:val="center"/>
        </w:trPr>
        <w:tc>
          <w:tcPr>
            <w:tcW w:w="734" w:type="dxa"/>
            <w:vMerge w:val="continue"/>
          </w:tcPr>
          <w:p w14:paraId="3068DB22">
            <w:pPr>
              <w:ind w:left="30"/>
              <w:rPr>
                <w:sz w:val="24"/>
              </w:rPr>
            </w:pPr>
          </w:p>
        </w:tc>
        <w:tc>
          <w:tcPr>
            <w:tcW w:w="7484" w:type="dxa"/>
            <w:gridSpan w:val="8"/>
          </w:tcPr>
          <w:p w14:paraId="066D7024">
            <w:pPr>
              <w:ind w:left="30"/>
              <w:rPr>
                <w:sz w:val="24"/>
              </w:rPr>
            </w:pPr>
            <w:r>
              <w:rPr>
                <w:sz w:val="24"/>
              </w:rPr>
              <w:t>意见和建议</w:t>
            </w:r>
            <w:r>
              <w:rPr>
                <w:rFonts w:hint="eastAsia"/>
                <w:sz w:val="24"/>
              </w:rPr>
              <w:t>：</w:t>
            </w:r>
          </w:p>
          <w:p w14:paraId="7A59DEAF">
            <w:pPr>
              <w:ind w:left="30"/>
              <w:rPr>
                <w:sz w:val="24"/>
              </w:rPr>
            </w:pPr>
          </w:p>
          <w:p w14:paraId="7D7FFFAA">
            <w:pPr>
              <w:ind w:left="30"/>
              <w:rPr>
                <w:sz w:val="24"/>
              </w:rPr>
            </w:pPr>
          </w:p>
          <w:p w14:paraId="303D4427">
            <w:pPr>
              <w:ind w:left="30"/>
              <w:rPr>
                <w:sz w:val="24"/>
              </w:rPr>
            </w:pPr>
          </w:p>
          <w:p w14:paraId="032E3F16">
            <w:pPr>
              <w:ind w:left="30"/>
              <w:rPr>
                <w:sz w:val="24"/>
              </w:rPr>
            </w:pPr>
          </w:p>
          <w:p w14:paraId="20388130">
            <w:pPr>
              <w:ind w:left="30"/>
              <w:rPr>
                <w:sz w:val="24"/>
              </w:rPr>
            </w:pPr>
          </w:p>
          <w:p w14:paraId="6253B111">
            <w:pPr>
              <w:ind w:left="30"/>
              <w:rPr>
                <w:sz w:val="24"/>
              </w:rPr>
            </w:pPr>
          </w:p>
          <w:p w14:paraId="76A3205C">
            <w:pPr>
              <w:ind w:left="30"/>
              <w:rPr>
                <w:sz w:val="24"/>
              </w:rPr>
            </w:pPr>
          </w:p>
          <w:p w14:paraId="03BD8F10">
            <w:pPr>
              <w:ind w:left="30" w:right="1980"/>
              <w:jc w:val="right"/>
              <w:rPr>
                <w:sz w:val="24"/>
              </w:rPr>
            </w:pPr>
            <w:r>
              <w:rPr>
                <w:sz w:val="24"/>
              </w:rPr>
              <w:t>检查老师签字</w:t>
            </w:r>
            <w:r>
              <w:rPr>
                <w:rFonts w:hint="eastAsia"/>
                <w:sz w:val="24"/>
              </w:rPr>
              <w:t>：</w:t>
            </w:r>
          </w:p>
        </w:tc>
      </w:tr>
    </w:tbl>
    <w:p w14:paraId="4ABD760B">
      <w:r>
        <w:rPr>
          <w:rFonts w:hint="eastAsia"/>
        </w:rPr>
        <w:t>请正反面打印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9E"/>
    <w:rsid w:val="00093F94"/>
    <w:rsid w:val="001F074F"/>
    <w:rsid w:val="00266694"/>
    <w:rsid w:val="003458FE"/>
    <w:rsid w:val="003920C1"/>
    <w:rsid w:val="0039600F"/>
    <w:rsid w:val="003C7BEC"/>
    <w:rsid w:val="003F6F9E"/>
    <w:rsid w:val="00502B15"/>
    <w:rsid w:val="006F1569"/>
    <w:rsid w:val="00702CAF"/>
    <w:rsid w:val="007E249C"/>
    <w:rsid w:val="00A101C7"/>
    <w:rsid w:val="00AB2C7F"/>
    <w:rsid w:val="00B206B9"/>
    <w:rsid w:val="00C603F0"/>
    <w:rsid w:val="5BF7E8CD"/>
    <w:rsid w:val="FFBBD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</Words>
  <Characters>211</Characters>
  <Lines>1</Lines>
  <Paragraphs>1</Paragraphs>
  <TotalTime>319</TotalTime>
  <ScaleCrop>false</ScaleCrop>
  <LinksUpToDate>false</LinksUpToDate>
  <CharactersWithSpaces>247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2023-10-10T01:58:00Z</dcterms:created>
  <dc:creator>Windows 用户</dc:creator>
  <cp:lastModifiedBy>δ</cp:lastModifiedBy>
  <dcterms:modified xsi:type="dcterms:W3CDTF">2026-04-01T16:26:40Z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AAEE939A4EDE5D877A1DC669353D209B_42</vt:lpwstr>
  </property>
</Properties>
</file>