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珞珈烟火邮局</w:t>
      </w:r>
    </w:p>
    <w:p>
      <w:pPr>
        <w:pStyle w:val="Title"/>
      </w:pPr>
      <w:r>
        <w:t>后端协作交接清单</w:t>
      </w:r>
    </w:p>
    <w:p>
      <w:pPr>
        <w:pStyle w:val="Subtitle"/>
      </w:pPr>
      <w:r>
        <w:t>给负责后端的同学  |  2026年10月18日  |  基础功能版 1.2</w:t>
      </w:r>
    </w:p>
    <w:p>
      <w:r>
        <w:t>本轮只打通基础流程：登录、浏览公开信、写信、保存草稿、寄出审核、查看自己的信件和完整回信。已有接口继续保留，前端按下列顺序接入。</w:t>
      </w:r>
    </w:p>
    <w:p>
      <w:pPr>
        <w:pStyle w:val="Heading2"/>
      </w:pPr>
      <w:r>
        <w:t>请先提供</w:t>
      </w:r>
    </w:p>
    <w:p>
      <w:pPr>
        <w:pStyle w:val="ListBullet"/>
      </w:pPr>
      <w:r>
        <w:t>可联调分支或 commit、最新 OpenAPI；标明哪些核心接口已经能用。</w:t>
      </w:r>
    </w:p>
    <w:p>
      <w:pPr>
        <w:pStyle w:val="ListBullet"/>
      </w:pPr>
      <w:r>
        <w:t>依赖安装、启动、迁移和测试数据生成命令，以及无密钥的 .env.example。</w:t>
      </w:r>
    </w:p>
    <w:p>
      <w:pPr>
        <w:pStyle w:val="ListBullet"/>
      </w:pPr>
      <w:r>
        <w:t>测试 API 地址、允许的前端 Origin；用户 A、B 和管理员的测试账号创建方式。</w:t>
      </w:r>
    </w:p>
    <w:p>
      <w:pPr>
        <w:pStyle w:val="Heading2"/>
      </w:pPr>
      <w:r>
        <w:t>第一步先完成读信写信和保存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208"/>
      </w:tblGrid>
      <w:tr>
        <w:trPr>
          <w:tblHeader/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</w:pPr>
            <w:r>
              <w:rPr>
                <w:b/>
                <w:color w:val="000000"/>
                <w:sz w:val="20"/>
              </w:rPr>
              <w:t>需要的接口与规则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注册与登录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color w:val="000000"/>
                <w:sz w:val="20"/>
              </w:rPr>
              <w:t>注册、登录、当前用户、退出；明确刷新页面后获取 CSRF Token 的方式。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7F8F8"/>
          </w:tcPr>
          <w:p>
            <w:pPr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公共信箱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7F8F8"/>
          </w:tcPr>
          <w:p>
            <w:pPr>
              <w:spacing w:after="0" w:line="300" w:lineRule="exact"/>
            </w:pPr>
            <w:r>
              <w:rPr>
                <w:b w:val="0"/>
                <w:color w:val="000000"/>
                <w:sz w:val="20"/>
              </w:rPr>
              <w:t>已审核公开信的最新列表、基础分页、详情。列表提供标题、两行预览所需 excerpt、署名与日期。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写信与草稿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color w:val="000000"/>
                <w:sz w:val="20"/>
              </w:rPr>
              <w:t>创建、保存、继续编辑、获取我的草稿；先接一种现有信纸。建议草稿允许内容不完整，寄出时再严格校验。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7F8F8"/>
          </w:tcPr>
          <w:p>
            <w:pPr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我的信件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7F8F8"/>
          </w:tcPr>
          <w:p>
            <w:pPr>
              <w:spacing w:after="0" w:line="300" w:lineRule="exact"/>
            </w:pPr>
            <w:r>
              <w:rPr>
                <w:b w:val="0"/>
                <w:color w:val="000000"/>
                <w:sz w:val="20"/>
              </w:rPr>
              <w:t>查看本人草稿和已提交信件，区分待审核、已公开、退回修改。请明确列表状态与退回原因字段。</w:t>
            </w:r>
          </w:p>
        </w:tc>
      </w:tr>
    </w:tbl>
    <w:p>
      <w:pPr>
        <w:spacing w:after="0"/>
      </w:pPr>
    </w:p>
    <w:p>
      <w:pPr>
        <w:pStyle w:val="Heading2"/>
      </w:pPr>
      <w:r>
        <w:t>当前需优先确认</w:t>
      </w:r>
    </w:p>
    <w:p>
      <w:r>
        <w:t>草稿：当前 Schema 仍受标题 2–80 字、正文 20–1500 字等约束，请明确未完成内容如何保存，创建、更新和读取规则保持一致。</w:t>
      </w:r>
    </w:p>
    <w:p>
      <w:r>
        <w:t>会话：csrfToken 仅存在内存，当前 /auth/me 不返回它。请提供刷新后的恢复方式，保证用户不必重复登录才能继续保存。</w:t>
      </w:r>
    </w:p>
    <w:p>
      <w:r>
        <w:t>PC 端悬停信封显示摘要，双击进入详情；登录及功能按钮悬停发光。这些由前端实现，不增加后端工作。</w:t>
      </w:r>
    </w:p>
    <w:p>
      <w:r>
        <w:br w:type="page"/>
      </w:r>
    </w:p>
    <w:p>
      <w:pPr>
        <w:pStyle w:val="Heading1"/>
      </w:pPr>
      <w:r>
        <w:t>01 接着完成寄出审核和回信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208"/>
      </w:tblGrid>
      <w:tr>
        <w:trPr>
          <w:tblHeader/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</w:pPr>
            <w:r>
              <w:rPr>
                <w:b/>
                <w:color w:val="000000"/>
                <w:sz w:val="20"/>
              </w:rPr>
              <w:t>需要明确的行为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寄出公开信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color w:val="000000"/>
                <w:sz w:val="20"/>
              </w:rPr>
              <w:t>提供已有草稿提交审核的请求。待审信仅作者与审核管理员可见，通过后进入公共列表。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7F8F8"/>
          </w:tcPr>
          <w:p>
            <w:pPr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最简审核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7F8F8"/>
          </w:tcPr>
          <w:p>
            <w:pPr>
              <w:spacing w:after="0" w:line="300" w:lineRule="exact"/>
            </w:pPr>
            <w:r>
              <w:rPr>
                <w:b w:val="0"/>
                <w:color w:val="000000"/>
                <w:sz w:val="20"/>
              </w:rPr>
              <w:t>待审列表、详情、通过、填写原因并退回；退回后作者可修改并重新提交。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完整回信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0" w:line="300" w:lineRule="exact"/>
            </w:pPr>
            <w:r>
              <w:rPr>
                <w:b w:val="0"/>
                <w:color w:val="000000"/>
                <w:sz w:val="20"/>
              </w:rPr>
              <w:t>复用创建信件，填写 parentLetterId；提供原信的回信列表查询方式，回信审核后展示。首版仅一层关联。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7F8F8"/>
          </w:tcPr>
          <w:p>
            <w:pPr>
              <w:spacing w:after="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失败处理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7F8F8"/>
          </w:tcPr>
          <w:p>
            <w:pPr>
              <w:spacing w:after="0" w:line="300" w:lineRule="exact"/>
            </w:pPr>
            <w:r>
              <w:rPr>
                <w:b w:val="0"/>
                <w:color w:val="000000"/>
                <w:sz w:val="20"/>
              </w:rPr>
              <w:t>校验错误对应输入项；登录失效后保留文本；超时重试复用 Idempotency-Key，避免重复记录。</w:t>
            </w:r>
          </w:p>
        </w:tc>
      </w:tr>
    </w:tbl>
    <w:p>
      <w:pPr>
        <w:spacing w:after="0"/>
      </w:pPr>
    </w:p>
    <w:p>
      <w:pPr>
        <w:pStyle w:val="Heading2"/>
      </w:pPr>
      <w:r>
        <w:t>本轮验收</w:t>
      </w:r>
    </w:p>
    <w:p>
      <w:pPr>
        <w:pStyle w:val="ListBullet"/>
      </w:pPr>
      <w:r>
        <w:t>A 注册或登录，写信并保存；刷新后能找到草稿并继续编辑。</w:t>
      </w:r>
    </w:p>
    <w:p>
      <w:pPr>
        <w:pStyle w:val="ListBullet"/>
      </w:pPr>
      <w:r>
        <w:t>A 寄出后显示待审核；管理员通过后，B 能在另一设备或独立浏览器会话读到。</w:t>
      </w:r>
    </w:p>
    <w:p>
      <w:pPr>
        <w:pStyle w:val="ListBullet"/>
      </w:pPr>
      <w:r>
        <w:t>B 从详情回信，审核通过后能在原信下查看；退回时作者能看到原因并修改。</w:t>
      </w:r>
    </w:p>
    <w:p>
      <w:pPr>
        <w:pStyle w:val="ListBullet"/>
      </w:pPr>
      <w:r>
        <w:t>长文、换行、Emoji 正常显示；重复点击不重复创建，失败不丢正文。</w:t>
      </w:r>
    </w:p>
    <w:p>
      <w:pPr>
        <w:pStyle w:val="Heading2"/>
      </w:pPr>
      <w:r>
        <w:t>后续再接入</w:t>
      </w:r>
    </w:p>
    <w:p>
      <w:r>
        <w:t>定时信笺、指定用户私人寄信、转发、收藏与共鸣、简短回应、互动通知、搜索与随机拆信、专题和真实首页统计。本轮不用为这些新增接口或补充设计；已实现的保留即可。</w:t>
      </w:r>
    </w:p>
    <w:p>
      <w:pPr>
        <w:pStyle w:val="Heading2"/>
      </w:pPr>
      <w:r>
        <w:t>交接回复</w:t>
      </w:r>
    </w:p>
    <w:p>
      <w:r>
        <w:t>请回复核心接口的可用版本、启动说明、测试账号创建方式，以及草稿校验、CSRF 恢复、提交审核和回信列表的处理方案。部署先明确 API 地址与前端访问方式，按现有同源 /api/v1 约定对接。</w:t>
      </w:r>
    </w:p>
    <w:p>
      <w:r>
        <w:t>接口基准：restriction/openapi.yaml；状态沿用 draft、active、deleted，审核状态由时间字段和审核记录表达。修改契约时同步提供请求与响应示例。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0" w:lineRule="exact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48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8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60" w:lineRule="exact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00" w:lineRule="exact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40" w:lineRule="exact"/>
      <w:contextualSpacing/>
    </w:pPr>
    <w:rPr>
      <w:rFonts w:ascii="Noto Sans CJK SC" w:hAnsi="Noto Sans CJK SC" w:eastAsia="Noto Sans CJK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珞珈烟火邮局后端协作交接清单</dc:title>
  <dc:subject/>
  <dc:creator>珞珈烟火邮局项目组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