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08CE" w14:textId="77777777" w:rsidR="00D107A2" w:rsidRPr="00D107A2" w:rsidRDefault="00D107A2" w:rsidP="00D107A2">
      <w:pPr>
        <w:pStyle w:val="Ttulo1"/>
        <w:ind w:left="567" w:right="567"/>
        <w:rPr>
          <w:rFonts w:ascii="Helvetica" w:hAnsi="Helvetica"/>
          <w:b/>
          <w:color w:val="009AA6"/>
        </w:rPr>
      </w:pPr>
      <w:r w:rsidRPr="00D107A2">
        <w:rPr>
          <w:rFonts w:ascii="Helvetica" w:hAnsi="Helvetica"/>
          <w:b/>
          <w:color w:val="009AA6"/>
        </w:rPr>
        <w:t>Professor(s)</w:t>
      </w:r>
    </w:p>
    <w:p w14:paraId="32A2D849" w14:textId="77777777" w:rsidR="00DF4B54" w:rsidRPr="00DF4B54" w:rsidRDefault="00DF4B54" w:rsidP="00DF4B54">
      <w:pPr>
        <w:pStyle w:val="Ttulo1"/>
        <w:spacing w:before="0" w:after="0"/>
        <w:ind w:left="567" w:right="567"/>
        <w:rPr>
          <w:rFonts w:ascii="Helvetica Light" w:eastAsiaTheme="minorEastAsia" w:hAnsi="Helvetica Light" w:cs="Helvetica"/>
          <w:bCs w:val="0"/>
          <w:color w:val="404040" w:themeColor="text1" w:themeTint="BF"/>
          <w:sz w:val="20"/>
          <w:szCs w:val="20"/>
        </w:rPr>
      </w:pPr>
      <w:r w:rsidRPr="00DF4B54">
        <w:rPr>
          <w:rFonts w:ascii="Helvetica Light" w:eastAsiaTheme="minorEastAsia" w:hAnsi="Helvetica Light" w:cs="Helvetica"/>
          <w:bCs w:val="0"/>
          <w:color w:val="404040" w:themeColor="text1" w:themeTint="BF"/>
          <w:sz w:val="20"/>
          <w:szCs w:val="20"/>
        </w:rPr>
        <w:t>Dimitris Korobilis</w:t>
      </w:r>
    </w:p>
    <w:p w14:paraId="2C503F96" w14:textId="77777777" w:rsidR="00DF4B54" w:rsidRPr="00DF4B54" w:rsidRDefault="00DF4B54" w:rsidP="00DF4B54">
      <w:pPr>
        <w:pStyle w:val="Ttulo1"/>
        <w:spacing w:before="0" w:after="0"/>
        <w:ind w:left="567" w:right="567"/>
        <w:rPr>
          <w:rFonts w:ascii="Helvetica Light" w:eastAsiaTheme="minorEastAsia" w:hAnsi="Helvetica Light" w:cs="Helvetica"/>
          <w:bCs w:val="0"/>
          <w:color w:val="404040" w:themeColor="text1" w:themeTint="BF"/>
          <w:sz w:val="20"/>
          <w:szCs w:val="20"/>
        </w:rPr>
      </w:pPr>
      <w:r w:rsidRPr="00DF4B54">
        <w:rPr>
          <w:rFonts w:ascii="Helvetica Light" w:eastAsiaTheme="minorEastAsia" w:hAnsi="Helvetica Light" w:cs="Helvetica"/>
          <w:bCs w:val="0"/>
          <w:color w:val="404040" w:themeColor="text1" w:themeTint="BF"/>
          <w:sz w:val="20"/>
          <w:szCs w:val="20"/>
        </w:rPr>
        <w:t>Email: d.korobilis@essex.ac.uk</w:t>
      </w:r>
    </w:p>
    <w:p w14:paraId="5038D560" w14:textId="77777777" w:rsidR="00DF4B54" w:rsidRDefault="00DF4B54" w:rsidP="00DF4B54">
      <w:pPr>
        <w:pStyle w:val="Ttulo1"/>
        <w:spacing w:before="0" w:after="0"/>
        <w:ind w:left="567" w:right="567"/>
        <w:rPr>
          <w:rFonts w:ascii="Helvetica Light" w:eastAsiaTheme="minorEastAsia" w:hAnsi="Helvetica Light" w:cs="Helvetica"/>
          <w:bCs w:val="0"/>
          <w:color w:val="404040" w:themeColor="text1" w:themeTint="BF"/>
          <w:sz w:val="20"/>
          <w:szCs w:val="20"/>
        </w:rPr>
      </w:pPr>
      <w:r w:rsidRPr="00DF4B54">
        <w:rPr>
          <w:rFonts w:ascii="Helvetica Light" w:eastAsiaTheme="minorEastAsia" w:hAnsi="Helvetica Light" w:cs="Helvetica"/>
          <w:bCs w:val="0"/>
          <w:color w:val="404040" w:themeColor="text1" w:themeTint="BF"/>
          <w:sz w:val="20"/>
          <w:szCs w:val="20"/>
        </w:rPr>
        <w:t>University of Essex</w:t>
      </w:r>
    </w:p>
    <w:p w14:paraId="568496B0" w14:textId="64F2C33D" w:rsidR="00DF4B54" w:rsidRPr="00DF4B54" w:rsidRDefault="00DF4B54" w:rsidP="00DF4B54">
      <w:pPr>
        <w:pStyle w:val="Ttulo1"/>
        <w:spacing w:before="0" w:after="0"/>
        <w:ind w:left="567" w:right="567"/>
        <w:rPr>
          <w:rFonts w:ascii="Helvetica Light" w:eastAsiaTheme="minorEastAsia" w:hAnsi="Helvetica Light" w:cs="Helvetica"/>
          <w:bCs w:val="0"/>
          <w:color w:val="404040" w:themeColor="text1" w:themeTint="BF"/>
          <w:sz w:val="20"/>
          <w:szCs w:val="20"/>
        </w:rPr>
      </w:pPr>
      <w:r w:rsidRPr="00DF4B54">
        <w:rPr>
          <w:rFonts w:ascii="Helvetica Light" w:eastAsiaTheme="minorEastAsia" w:hAnsi="Helvetica Light" w:cs="Helvetica"/>
          <w:bCs w:val="0"/>
          <w:color w:val="404040" w:themeColor="text1" w:themeTint="BF"/>
          <w:sz w:val="20"/>
          <w:szCs w:val="20"/>
        </w:rPr>
        <w:t>https://sites.google.com/site/dimitriskorobilis</w:t>
      </w:r>
      <w:r w:rsidRPr="00DF4B54">
        <w:rPr>
          <w:rFonts w:ascii="Helvetica Light" w:eastAsiaTheme="minorEastAsia" w:hAnsi="Helvetica Light" w:cs="Helvetica"/>
          <w:b/>
          <w:bCs w:val="0"/>
          <w:color w:val="404040" w:themeColor="text1" w:themeTint="BF"/>
          <w:sz w:val="20"/>
          <w:szCs w:val="20"/>
        </w:rPr>
        <w:t xml:space="preserve"> </w:t>
      </w:r>
    </w:p>
    <w:p w14:paraId="503BD080" w14:textId="7168A4BB" w:rsidR="00D107A2" w:rsidRPr="00D107A2" w:rsidRDefault="00D107A2" w:rsidP="00DF4B54">
      <w:pPr>
        <w:pStyle w:val="Ttulo1"/>
        <w:ind w:left="567" w:right="567"/>
        <w:rPr>
          <w:rFonts w:ascii="Helvetica" w:hAnsi="Helvetica"/>
          <w:b/>
          <w:color w:val="009AA6"/>
        </w:rPr>
      </w:pPr>
      <w:r w:rsidRPr="00D107A2">
        <w:rPr>
          <w:rFonts w:ascii="Helvetica" w:hAnsi="Helvetica"/>
          <w:b/>
          <w:color w:val="009AA6"/>
        </w:rPr>
        <w:t>Overview and Objectives</w:t>
      </w:r>
    </w:p>
    <w:p w14:paraId="3577A4CE" w14:textId="77777777" w:rsidR="00DF4B54" w:rsidRPr="002802F9" w:rsidRDefault="00DF4B54" w:rsidP="00DF4B54">
      <w:pPr>
        <w:pStyle w:val="NormalWeb"/>
        <w:shd w:val="clear" w:color="auto" w:fill="FFFFFF"/>
        <w:ind w:left="567"/>
        <w:jc w:val="both"/>
        <w:rPr>
          <w:rFonts w:ascii="Roboto" w:hAnsi="Roboto"/>
          <w:color w:val="545454"/>
          <w:sz w:val="22"/>
          <w:szCs w:val="22"/>
          <w:lang w:val="en-US"/>
        </w:rPr>
      </w:pPr>
      <w:r w:rsidRPr="002802F9">
        <w:rPr>
          <w:rFonts w:ascii="Roboto" w:hAnsi="Roboto"/>
          <w:color w:val="545454"/>
          <w:sz w:val="22"/>
          <w:szCs w:val="22"/>
          <w:lang w:val="en-US"/>
        </w:rPr>
        <w:t xml:space="preserve">This is a course in introductory Bayesian econometrics with a focus on models used in empirical macroeconomics. It begins with a brief introduction to Bayesian econometrics, describing the main concepts underlying Bayesian theory and seeing how Bayesian methods work in </w:t>
      </w:r>
      <w:r>
        <w:rPr>
          <w:rFonts w:ascii="Roboto" w:hAnsi="Roboto"/>
          <w:color w:val="545454"/>
          <w:sz w:val="22"/>
          <w:szCs w:val="22"/>
          <w:lang w:val="en-US"/>
        </w:rPr>
        <w:t>the familiar context of the re</w:t>
      </w:r>
      <w:r w:rsidRPr="002802F9">
        <w:rPr>
          <w:rFonts w:ascii="Roboto" w:hAnsi="Roboto"/>
          <w:color w:val="545454"/>
          <w:sz w:val="22"/>
          <w:szCs w:val="22"/>
          <w:lang w:val="en-US"/>
        </w:rPr>
        <w:t>gression model. Computational methods are of great importance in modern Bayesian econometrics and these are discussed in detail.</w:t>
      </w:r>
    </w:p>
    <w:p w14:paraId="49FA3C91" w14:textId="77777777" w:rsidR="00DF4B54" w:rsidRPr="002802F9" w:rsidRDefault="00DF4B54" w:rsidP="00DF4B54">
      <w:pPr>
        <w:pStyle w:val="NormalWeb"/>
        <w:shd w:val="clear" w:color="auto" w:fill="FFFFFF"/>
        <w:ind w:left="567"/>
        <w:jc w:val="both"/>
        <w:rPr>
          <w:rFonts w:ascii="Roboto" w:hAnsi="Roboto"/>
          <w:color w:val="545454"/>
          <w:sz w:val="22"/>
          <w:szCs w:val="22"/>
          <w:lang w:val="en-US"/>
        </w:rPr>
      </w:pPr>
      <w:r w:rsidRPr="002802F9">
        <w:rPr>
          <w:rFonts w:ascii="Roboto" w:hAnsi="Roboto"/>
          <w:color w:val="545454"/>
          <w:sz w:val="22"/>
          <w:szCs w:val="22"/>
          <w:lang w:val="en-US"/>
        </w:rPr>
        <w:t>In macroeconomics, we often have Big Data and work with models where the number of parameters to be estimated is large relative to the number of observations in the data set. A range of Bayesian methods have been derived for dealing with Big Data including Bayesian model averaging (BMA), stochastic search variable selection (SSVS) and the least absolute shrinkage and selection operator (LASSO). The second part of the course covers these methods and shows how they are applied in the context of the regression model. Subsequently, the course turns to state space models and discusses estimation of several state space models popularly used in macroeconomics. These include time series models where parameters change over time, models with regime change and stochastic volatility models.</w:t>
      </w:r>
    </w:p>
    <w:p w14:paraId="1FF25654" w14:textId="77777777" w:rsidR="00DF4B54" w:rsidRPr="00DF6910" w:rsidRDefault="00DF4B54" w:rsidP="00DF4B54">
      <w:pPr>
        <w:pStyle w:val="NormalWeb"/>
        <w:shd w:val="clear" w:color="auto" w:fill="FFFFFF"/>
        <w:ind w:left="567"/>
        <w:jc w:val="both"/>
        <w:rPr>
          <w:rFonts w:ascii="Roboto" w:hAnsi="Roboto"/>
          <w:color w:val="545454"/>
          <w:sz w:val="22"/>
          <w:szCs w:val="22"/>
          <w:lang w:val="en-US"/>
        </w:rPr>
      </w:pPr>
      <w:r w:rsidRPr="002802F9">
        <w:rPr>
          <w:rFonts w:ascii="Roboto" w:hAnsi="Roboto"/>
          <w:color w:val="545454"/>
          <w:sz w:val="22"/>
          <w:szCs w:val="22"/>
          <w:lang w:val="en-US"/>
        </w:rPr>
        <w:t>The models and methods covered in this course are of direct use in many macroeconomic applications. But they also represent the groundwork that underlies popular multivariate macroeconomic mo</w:t>
      </w:r>
      <w:r>
        <w:rPr>
          <w:rFonts w:ascii="Roboto" w:hAnsi="Roboto"/>
          <w:color w:val="545454"/>
          <w:sz w:val="22"/>
          <w:szCs w:val="22"/>
          <w:lang w:val="en-US"/>
        </w:rPr>
        <w:t>dels such as Vector Autoregres</w:t>
      </w:r>
      <w:r w:rsidRPr="002802F9">
        <w:rPr>
          <w:rFonts w:ascii="Roboto" w:hAnsi="Roboto"/>
          <w:color w:val="545454"/>
          <w:sz w:val="22"/>
          <w:szCs w:val="22"/>
          <w:lang w:val="en-US"/>
        </w:rPr>
        <w:t>sions (VARs), time-varying parameter VARs (TVP-VARs), factor and Dynamic Stochastic General Equi</w:t>
      </w:r>
      <w:r>
        <w:rPr>
          <w:rFonts w:ascii="Roboto" w:hAnsi="Roboto"/>
          <w:color w:val="545454"/>
          <w:sz w:val="22"/>
          <w:szCs w:val="22"/>
          <w:lang w:val="en-US"/>
        </w:rPr>
        <w:t>libirum (DSGE) models.</w:t>
      </w:r>
    </w:p>
    <w:p w14:paraId="104D5DF1" w14:textId="77777777" w:rsidR="00D107A2" w:rsidRPr="00D107A2" w:rsidRDefault="00D107A2" w:rsidP="00D107A2">
      <w:pPr>
        <w:pStyle w:val="Ttulo1"/>
        <w:ind w:left="567" w:right="567"/>
        <w:jc w:val="both"/>
        <w:rPr>
          <w:rFonts w:ascii="Helvetica" w:hAnsi="Helvetica"/>
          <w:b/>
          <w:color w:val="009AA6"/>
        </w:rPr>
      </w:pPr>
      <w:r w:rsidRPr="00D107A2">
        <w:rPr>
          <w:rFonts w:ascii="Helvetica" w:hAnsi="Helvetica"/>
          <w:b/>
          <w:color w:val="009AA6"/>
        </w:rPr>
        <w:lastRenderedPageBreak/>
        <w:t>Course Outline</w:t>
      </w:r>
    </w:p>
    <w:p w14:paraId="16EE69F7" w14:textId="7777777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Code for references: K = Koop (2003), KPT = Koop, Poirier and Tobias (2007), Ko = Korobilis (2013)</w:t>
      </w:r>
    </w:p>
    <w:p w14:paraId="5363E4F9" w14:textId="7777777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p>
    <w:p w14:paraId="3A53FFCC" w14:textId="7777777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Topic 1: Bayesian Basics</w:t>
      </w:r>
      <w:r w:rsidRPr="00DF4B54">
        <w:rPr>
          <w:rFonts w:ascii="MS Gothic" w:eastAsia="MS Gothic" w:hAnsi="MS Gothic" w:cs="MS Gothic" w:hint="eastAsia"/>
          <w:bCs w:val="0"/>
          <w:color w:val="404040" w:themeColor="text1" w:themeTint="BF"/>
          <w:sz w:val="20"/>
          <w:szCs w:val="24"/>
          <w:lang w:val="en-GB"/>
        </w:rPr>
        <w:t> </w:t>
      </w:r>
    </w:p>
    <w:p w14:paraId="4388F8B2" w14:textId="7777777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p>
    <w:p w14:paraId="0316D725" w14:textId="3BFFE69E"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 An Ove</w:t>
      </w:r>
      <w:r>
        <w:rPr>
          <w:rFonts w:ascii="Helvetica Light" w:eastAsiaTheme="minorEastAsia" w:hAnsi="Helvetica Light" w:cstheme="minorBidi"/>
          <w:bCs w:val="0"/>
          <w:color w:val="404040" w:themeColor="text1" w:themeTint="BF"/>
          <w:sz w:val="20"/>
          <w:szCs w:val="24"/>
          <w:lang w:val="en-GB"/>
        </w:rPr>
        <w:t>rview of Bayesian Econometrics.</w:t>
      </w:r>
    </w:p>
    <w:p w14:paraId="57836B7E" w14:textId="7AA963E5"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ii) Bayesian inference in the Normal linear regression model. Computational topic: Monte Carlo integration</w:t>
      </w:r>
      <w:r>
        <w:rPr>
          <w:rFonts w:ascii="Helvetica Light" w:eastAsiaTheme="minorEastAsia" w:hAnsi="Helvetica Light" w:cstheme="minorBidi"/>
          <w:bCs w:val="0"/>
          <w:color w:val="404040" w:themeColor="text1" w:themeTint="BF"/>
          <w:sz w:val="20"/>
          <w:szCs w:val="24"/>
          <w:lang w:val="en-GB"/>
        </w:rPr>
        <w:t>.</w:t>
      </w:r>
    </w:p>
    <w:p w14:paraId="67BFB7C2" w14:textId="71749964"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iii) Bayesian treatment of the regression model with general error covariance matrix Computational topic: Gibbs sampling (Reading: K pages 62-68) and the Metropolis-Hasting al</w:t>
      </w:r>
      <w:r>
        <w:rPr>
          <w:rFonts w:ascii="Helvetica Light" w:eastAsiaTheme="minorEastAsia" w:hAnsi="Helvetica Light" w:cstheme="minorBidi"/>
          <w:bCs w:val="0"/>
          <w:color w:val="404040" w:themeColor="text1" w:themeTint="BF"/>
          <w:sz w:val="20"/>
          <w:szCs w:val="24"/>
          <w:lang w:val="en-GB"/>
        </w:rPr>
        <w:t>gorithm</w:t>
      </w:r>
      <w:r w:rsidRPr="00DF4B54">
        <w:rPr>
          <w:rFonts w:ascii="Helvetica Light" w:eastAsiaTheme="minorEastAsia" w:hAnsi="Helvetica Light" w:cstheme="minorBidi"/>
          <w:bCs w:val="0"/>
          <w:color w:val="404040" w:themeColor="text1" w:themeTint="BF"/>
          <w:sz w:val="20"/>
          <w:szCs w:val="24"/>
          <w:lang w:val="en-GB"/>
        </w:rPr>
        <w:t>.</w:t>
      </w:r>
    </w:p>
    <w:p w14:paraId="40F97866" w14:textId="7777777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p>
    <w:p w14:paraId="2E20288F" w14:textId="77777777" w:rsid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Topic 2: Bayesian Model Averaging and Model Selection</w:t>
      </w:r>
    </w:p>
    <w:p w14:paraId="0E149D32" w14:textId="51AEFFDC" w:rsid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 Bayesian Model Averaging (BMA) Computational topic: Markov Chain Mon</w:t>
      </w:r>
      <w:r>
        <w:rPr>
          <w:rFonts w:ascii="Helvetica Light" w:eastAsiaTheme="minorEastAsia" w:hAnsi="Helvetica Light" w:cstheme="minorBidi"/>
          <w:bCs w:val="0"/>
          <w:color w:val="404040" w:themeColor="text1" w:themeTint="BF"/>
          <w:sz w:val="20"/>
          <w:szCs w:val="24"/>
          <w:lang w:val="en-GB"/>
        </w:rPr>
        <w:t>te Carlo Model Composition (MC3).</w:t>
      </w:r>
    </w:p>
    <w:p w14:paraId="4711348F" w14:textId="0020AFA9" w:rsid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ii) Prior shrinkage: empirical Bayes</w:t>
      </w:r>
      <w:r>
        <w:rPr>
          <w:rFonts w:ascii="Helvetica Light" w:eastAsiaTheme="minorEastAsia" w:hAnsi="Helvetica Light" w:cstheme="minorBidi"/>
          <w:bCs w:val="0"/>
          <w:color w:val="404040" w:themeColor="text1" w:themeTint="BF"/>
          <w:sz w:val="20"/>
          <w:szCs w:val="24"/>
          <w:lang w:val="en-GB"/>
        </w:rPr>
        <w:t xml:space="preserve"> and training sample priors.</w:t>
      </w:r>
    </w:p>
    <w:p w14:paraId="442F5E89" w14:textId="178405B0" w:rsid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iii) Stocha</w:t>
      </w:r>
      <w:r>
        <w:rPr>
          <w:rFonts w:ascii="Helvetica Light" w:eastAsiaTheme="minorEastAsia" w:hAnsi="Helvetica Light" w:cstheme="minorBidi"/>
          <w:bCs w:val="0"/>
          <w:color w:val="404040" w:themeColor="text1" w:themeTint="BF"/>
          <w:sz w:val="20"/>
          <w:szCs w:val="24"/>
          <w:lang w:val="en-GB"/>
        </w:rPr>
        <w:t>stic Search Variable Selection.</w:t>
      </w:r>
    </w:p>
    <w:p w14:paraId="51844561" w14:textId="69A4312A"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Pr>
          <w:rFonts w:ascii="Helvetica Light" w:eastAsiaTheme="minorEastAsia" w:hAnsi="Helvetica Light" w:cstheme="minorBidi"/>
          <w:bCs w:val="0"/>
          <w:color w:val="404040" w:themeColor="text1" w:themeTint="BF"/>
          <w:sz w:val="20"/>
          <w:szCs w:val="24"/>
          <w:lang w:val="en-GB"/>
        </w:rPr>
        <w:t>iv) The Bayesian Lasso.</w:t>
      </w:r>
    </w:p>
    <w:p w14:paraId="5A668D8D" w14:textId="7777777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p>
    <w:p w14:paraId="60CB287C" w14:textId="46A37A2B"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Topic 3: Bayesian State Space Modelling</w:t>
      </w:r>
    </w:p>
    <w:p w14:paraId="7417D2B6" w14:textId="49E09F27"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 The Normal linear state space model</w:t>
      </w:r>
      <w:r>
        <w:rPr>
          <w:rFonts w:ascii="Helvetica Light" w:eastAsiaTheme="minorEastAsia" w:hAnsi="Helvetica Light" w:cstheme="minorBidi"/>
          <w:bCs w:val="0"/>
          <w:color w:val="404040" w:themeColor="text1" w:themeTint="BF"/>
          <w:sz w:val="20"/>
          <w:szCs w:val="24"/>
          <w:lang w:val="en-GB"/>
        </w:rPr>
        <w:t>.</w:t>
      </w:r>
    </w:p>
    <w:p w14:paraId="5CC2B835" w14:textId="7161C95E"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ii) Linearized DSGE models as state space models</w:t>
      </w:r>
      <w:r>
        <w:rPr>
          <w:rFonts w:ascii="Helvetica Light" w:eastAsiaTheme="minorEastAsia" w:hAnsi="Helvetica Light" w:cstheme="minorBidi"/>
          <w:bCs w:val="0"/>
          <w:color w:val="404040" w:themeColor="text1" w:themeTint="BF"/>
          <w:sz w:val="20"/>
          <w:szCs w:val="24"/>
          <w:lang w:val="en-GB"/>
        </w:rPr>
        <w:t>.</w:t>
      </w:r>
    </w:p>
    <w:p w14:paraId="6A7CD338" w14:textId="13092686" w:rsidR="00DF4B54" w:rsidRP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iii) Dynamic mixture models for modelling breaks and regime change</w:t>
      </w:r>
      <w:r>
        <w:rPr>
          <w:rFonts w:ascii="MS Gothic" w:eastAsia="MS Gothic" w:hAnsi="MS Gothic" w:cs="MS Gothic" w:hint="eastAsia"/>
          <w:bCs w:val="0"/>
          <w:color w:val="404040" w:themeColor="text1" w:themeTint="BF"/>
          <w:sz w:val="20"/>
          <w:szCs w:val="24"/>
          <w:lang w:val="en-GB"/>
        </w:rPr>
        <w:t>.</w:t>
      </w:r>
    </w:p>
    <w:p w14:paraId="345C9FF5" w14:textId="66189F02" w:rsid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iv) Stochastic volatility</w:t>
      </w:r>
      <w:r>
        <w:rPr>
          <w:rFonts w:ascii="Helvetica Light" w:eastAsiaTheme="minorEastAsia" w:hAnsi="Helvetica Light" w:cstheme="minorBidi"/>
          <w:bCs w:val="0"/>
          <w:color w:val="404040" w:themeColor="text1" w:themeTint="BF"/>
          <w:sz w:val="20"/>
          <w:szCs w:val="24"/>
          <w:lang w:val="en-GB"/>
        </w:rPr>
        <w:t>.</w:t>
      </w:r>
    </w:p>
    <w:p w14:paraId="44381104" w14:textId="3BF1B842" w:rsidR="00DF4B54" w:rsidRDefault="00DF4B54" w:rsidP="00DF4B54">
      <w:pPr>
        <w:pStyle w:val="Ttulo1"/>
        <w:spacing w:before="0" w:after="0"/>
        <w:ind w:left="567" w:right="567"/>
        <w:jc w:val="both"/>
        <w:rPr>
          <w:rFonts w:ascii="Helvetica Light" w:eastAsiaTheme="minorEastAsia" w:hAnsi="Helvetica Light" w:cstheme="minorBidi"/>
          <w:bCs w:val="0"/>
          <w:color w:val="404040" w:themeColor="text1" w:themeTint="BF"/>
          <w:sz w:val="20"/>
          <w:szCs w:val="24"/>
          <w:lang w:val="en-GB"/>
        </w:rPr>
      </w:pPr>
      <w:r w:rsidRPr="00DF4B54">
        <w:rPr>
          <w:rFonts w:ascii="Helvetica Light" w:eastAsiaTheme="minorEastAsia" w:hAnsi="Helvetica Light" w:cstheme="minorBidi"/>
          <w:bCs w:val="0"/>
          <w:color w:val="404040" w:themeColor="text1" w:themeTint="BF"/>
          <w:sz w:val="20"/>
          <w:szCs w:val="24"/>
          <w:lang w:val="en-GB"/>
        </w:rPr>
        <w:t>v) Forecasting with TVP regression models (including dynamic model averaging)</w:t>
      </w:r>
      <w:r>
        <w:rPr>
          <w:rFonts w:ascii="Helvetica Light" w:eastAsiaTheme="minorEastAsia" w:hAnsi="Helvetica Light" w:cstheme="minorBidi"/>
          <w:bCs w:val="0"/>
          <w:color w:val="404040" w:themeColor="text1" w:themeTint="BF"/>
          <w:sz w:val="20"/>
          <w:szCs w:val="24"/>
          <w:lang w:val="en-GB"/>
        </w:rPr>
        <w:t>.</w:t>
      </w:r>
    </w:p>
    <w:p w14:paraId="39934C5E" w14:textId="77777777" w:rsidR="00D107A2" w:rsidRDefault="00D107A2" w:rsidP="00D107A2">
      <w:pPr>
        <w:autoSpaceDE w:val="0"/>
        <w:autoSpaceDN w:val="0"/>
        <w:adjustRightInd w:val="0"/>
        <w:spacing w:after="0" w:line="240" w:lineRule="auto"/>
        <w:ind w:left="567"/>
        <w:rPr>
          <w:rFonts w:ascii="Helvetica Light" w:hAnsi="Helvetica Light"/>
          <w:color w:val="auto"/>
          <w:lang w:val="en-GB"/>
        </w:rPr>
        <w:sectPr w:rsidR="00D107A2" w:rsidSect="001967DB">
          <w:headerReference w:type="even" r:id="rId7"/>
          <w:headerReference w:type="default" r:id="rId8"/>
          <w:footerReference w:type="even" r:id="rId9"/>
          <w:footerReference w:type="default" r:id="rId10"/>
          <w:headerReference w:type="first" r:id="rId11"/>
          <w:footerReference w:type="first" r:id="rId12"/>
          <w:pgSz w:w="11900" w:h="16840"/>
          <w:pgMar w:top="1440" w:right="1797" w:bottom="1440" w:left="567" w:header="426" w:footer="709" w:gutter="0"/>
          <w:cols w:space="708"/>
        </w:sectPr>
      </w:pPr>
    </w:p>
    <w:p w14:paraId="62E5810C" w14:textId="77777777" w:rsidR="00D107A2" w:rsidRPr="00D107A2" w:rsidRDefault="00D107A2" w:rsidP="00D107A2">
      <w:pPr>
        <w:autoSpaceDE w:val="0"/>
        <w:autoSpaceDN w:val="0"/>
        <w:adjustRightInd w:val="0"/>
        <w:spacing w:after="0" w:line="240" w:lineRule="auto"/>
        <w:ind w:left="567"/>
        <w:rPr>
          <w:rFonts w:ascii="Helvetica Light" w:hAnsi="Helvetica Light"/>
          <w:color w:val="auto"/>
          <w:lang w:val="en-GB"/>
        </w:rPr>
      </w:pPr>
    </w:p>
    <w:p w14:paraId="19948D77" w14:textId="77777777" w:rsidR="00D107A2" w:rsidRPr="00D107A2" w:rsidRDefault="00D107A2" w:rsidP="00D107A2">
      <w:pPr>
        <w:pStyle w:val="Ttulo2"/>
        <w:ind w:right="567"/>
        <w:rPr>
          <w:b w:val="0"/>
          <w:color w:val="E98300"/>
        </w:rPr>
      </w:pPr>
      <w:r w:rsidRPr="00D107A2">
        <w:rPr>
          <w:color w:val="E98300"/>
        </w:rPr>
        <w:t>List of References</w:t>
      </w:r>
    </w:p>
    <w:p w14:paraId="72C8B60C" w14:textId="77777777" w:rsidR="00A83CCE" w:rsidRPr="00A83CCE" w:rsidRDefault="00D107A2" w:rsidP="00D107A2">
      <w:pPr>
        <w:autoSpaceDE w:val="0"/>
        <w:autoSpaceDN w:val="0"/>
        <w:adjustRightInd w:val="0"/>
        <w:spacing w:after="0" w:line="240" w:lineRule="auto"/>
        <w:rPr>
          <w:rFonts w:cs="Helvetica"/>
          <w:color w:val="808080" w:themeColor="background1" w:themeShade="80"/>
        </w:rPr>
      </w:pPr>
      <w:r w:rsidRPr="005C6DDF">
        <w:rPr>
          <w:rFonts w:eastAsia="Times New Roman" w:cs="Tahoma"/>
          <w:color w:val="7F7F7F" w:themeColor="text1" w:themeTint="80"/>
          <w:lang w:val="en-GB" w:eastAsia="es-ES"/>
        </w:rPr>
        <w:br/>
      </w:r>
      <w:r w:rsidR="00D4512E" w:rsidRPr="00A83CCE">
        <w:rPr>
          <w:rFonts w:eastAsia="Times New Roman" w:cs="Helvetica"/>
          <w:color w:val="808080" w:themeColor="background1" w:themeShade="80"/>
          <w:lang w:val="en-GB" w:eastAsia="es-ES"/>
        </w:rPr>
        <w:t>Koop, G. (2003). Bayesian Econometrics, Wiley</w:t>
      </w:r>
      <w:r w:rsidR="00D4512E" w:rsidRPr="00A83CCE">
        <w:rPr>
          <w:rFonts w:cs="Helvetica"/>
          <w:color w:val="808080" w:themeColor="background1" w:themeShade="80"/>
        </w:rPr>
        <w:t xml:space="preserve"> </w:t>
      </w:r>
    </w:p>
    <w:p w14:paraId="3A5FDAE1" w14:textId="77777777" w:rsidR="00A83CCE" w:rsidRPr="00A83CCE" w:rsidRDefault="00A83CCE" w:rsidP="00D107A2">
      <w:pPr>
        <w:autoSpaceDE w:val="0"/>
        <w:autoSpaceDN w:val="0"/>
        <w:adjustRightInd w:val="0"/>
        <w:spacing w:after="0" w:line="240" w:lineRule="auto"/>
        <w:rPr>
          <w:rFonts w:cs="Helvetica"/>
          <w:color w:val="808080" w:themeColor="background1" w:themeShade="80"/>
        </w:rPr>
      </w:pPr>
    </w:p>
    <w:p w14:paraId="0CC9EFF0" w14:textId="64AFB7D4" w:rsidR="00D4512E" w:rsidRPr="00A83CCE" w:rsidRDefault="00A83CCE" w:rsidP="00D107A2">
      <w:pPr>
        <w:autoSpaceDE w:val="0"/>
        <w:autoSpaceDN w:val="0"/>
        <w:adjustRightInd w:val="0"/>
        <w:spacing w:after="0" w:line="240" w:lineRule="auto"/>
        <w:rPr>
          <w:rFonts w:cs="Helvetica"/>
          <w:color w:val="808080" w:themeColor="background1" w:themeShade="80"/>
        </w:rPr>
      </w:pPr>
      <w:r w:rsidRPr="00A83CCE">
        <w:rPr>
          <w:rFonts w:cs="Helvetica"/>
          <w:color w:val="808080" w:themeColor="background1" w:themeShade="80"/>
        </w:rPr>
        <w:t>Koop, G., Poirier, D. and Tobias, J. (2007). Bayesian Econometric Methods, Cambridge University Press</w:t>
      </w:r>
    </w:p>
    <w:p w14:paraId="374C10A2" w14:textId="77777777" w:rsidR="00D4512E" w:rsidRPr="00A83CCE" w:rsidRDefault="00D4512E" w:rsidP="00D107A2">
      <w:pPr>
        <w:autoSpaceDE w:val="0"/>
        <w:autoSpaceDN w:val="0"/>
        <w:adjustRightInd w:val="0"/>
        <w:spacing w:after="0" w:line="240" w:lineRule="auto"/>
        <w:rPr>
          <w:rFonts w:cs="Helvetica"/>
          <w:color w:val="808080" w:themeColor="background1" w:themeShade="80"/>
        </w:rPr>
      </w:pPr>
    </w:p>
    <w:p w14:paraId="3A0D3F99" w14:textId="64F995BF" w:rsidR="00D107A2" w:rsidRPr="00A83CCE" w:rsidRDefault="00D4512E" w:rsidP="00D107A2">
      <w:pPr>
        <w:autoSpaceDE w:val="0"/>
        <w:autoSpaceDN w:val="0"/>
        <w:adjustRightInd w:val="0"/>
        <w:spacing w:after="0" w:line="240" w:lineRule="auto"/>
        <w:rPr>
          <w:rFonts w:eastAsia="Times New Roman" w:cs="Helvetica"/>
          <w:color w:val="808080" w:themeColor="background1" w:themeShade="80"/>
          <w:lang w:val="en-GB" w:eastAsia="es-ES"/>
        </w:rPr>
      </w:pPr>
      <w:r w:rsidRPr="00A83CCE">
        <w:rPr>
          <w:rFonts w:eastAsia="Times New Roman" w:cs="Helvetica"/>
          <w:color w:val="808080" w:themeColor="background1" w:themeShade="80"/>
          <w:lang w:val="en-GB" w:eastAsia="es-ES"/>
        </w:rPr>
        <w:t>Koop, G. and Korobilis, D. (2012). Forecasting inflation using dynamic model averaging, International Economic Review</w:t>
      </w:r>
      <w:r w:rsidR="00A83CCE" w:rsidRPr="00A83CCE">
        <w:rPr>
          <w:rFonts w:eastAsia="Times New Roman" w:cs="Helvetica"/>
          <w:color w:val="808080" w:themeColor="background1" w:themeShade="80"/>
          <w:lang w:val="en-GB" w:eastAsia="es-ES"/>
        </w:rPr>
        <w:t>.</w:t>
      </w:r>
    </w:p>
    <w:p w14:paraId="0597F1F9" w14:textId="77777777" w:rsidR="00A83CCE" w:rsidRPr="00A83CCE" w:rsidRDefault="00A83CCE" w:rsidP="00D107A2">
      <w:pPr>
        <w:autoSpaceDE w:val="0"/>
        <w:autoSpaceDN w:val="0"/>
        <w:adjustRightInd w:val="0"/>
        <w:spacing w:after="0" w:line="240" w:lineRule="auto"/>
        <w:rPr>
          <w:rFonts w:cs="Helvetica"/>
          <w:color w:val="808080" w:themeColor="background1" w:themeShade="80"/>
          <w:shd w:val="clear" w:color="auto" w:fill="FFFFFF"/>
        </w:rPr>
      </w:pPr>
    </w:p>
    <w:p w14:paraId="55F29B33" w14:textId="3BFD75AB" w:rsidR="00A83CCE" w:rsidRPr="00A83CCE" w:rsidRDefault="00A83CCE" w:rsidP="00D107A2">
      <w:pPr>
        <w:autoSpaceDE w:val="0"/>
        <w:autoSpaceDN w:val="0"/>
        <w:adjustRightInd w:val="0"/>
        <w:spacing w:after="0" w:line="240" w:lineRule="auto"/>
        <w:rPr>
          <w:rFonts w:eastAsia="Times New Roman" w:cs="Helvetica"/>
          <w:color w:val="808080" w:themeColor="background1" w:themeShade="80"/>
          <w:lang w:val="en-GB" w:eastAsia="es-ES"/>
        </w:rPr>
      </w:pPr>
      <w:r w:rsidRPr="00A83CCE">
        <w:rPr>
          <w:rFonts w:cs="Helvetica"/>
          <w:color w:val="808080" w:themeColor="background1" w:themeShade="80"/>
          <w:shd w:val="clear" w:color="auto" w:fill="FFFFFF"/>
        </w:rPr>
        <w:t>Korobilis, D. (2013). Hierarchical shrinkage priors for dynamic regressions with many predictors, International Journal of Forecasting, 29, 43-59.</w:t>
      </w:r>
    </w:p>
    <w:p w14:paraId="35BBFA7E" w14:textId="77777777" w:rsidR="00D4512E" w:rsidRPr="005C6DDF" w:rsidRDefault="00D4512E" w:rsidP="00D107A2">
      <w:pPr>
        <w:autoSpaceDE w:val="0"/>
        <w:autoSpaceDN w:val="0"/>
        <w:adjustRightInd w:val="0"/>
        <w:spacing w:after="0" w:line="240" w:lineRule="auto"/>
        <w:rPr>
          <w:rFonts w:eastAsia="Times New Roman" w:cs="dcr10"/>
          <w:color w:val="7F7F7F" w:themeColor="text1" w:themeTint="80"/>
          <w:lang w:val="en-GB" w:eastAsia="es-ES"/>
        </w:rPr>
      </w:pPr>
    </w:p>
    <w:p w14:paraId="294D9FB5" w14:textId="77777777" w:rsidR="00D107A2" w:rsidRPr="00D107A2" w:rsidRDefault="00D107A2" w:rsidP="00D107A2"/>
    <w:sectPr w:rsidR="00D107A2" w:rsidRPr="00D107A2" w:rsidSect="00D107A2">
      <w:type w:val="continuous"/>
      <w:pgSz w:w="11900" w:h="16840"/>
      <w:pgMar w:top="1440" w:right="1797" w:bottom="1440" w:left="567" w:header="426" w:footer="709"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6A7D8" w14:textId="77777777" w:rsidR="00B729F8" w:rsidRDefault="00B729F8" w:rsidP="00AF202C">
      <w:r>
        <w:separator/>
      </w:r>
    </w:p>
  </w:endnote>
  <w:endnote w:type="continuationSeparator" w:id="0">
    <w:p w14:paraId="5D30B283" w14:textId="77777777" w:rsidR="00B729F8" w:rsidRDefault="00B729F8" w:rsidP="00A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Helvetica Light">
    <w:altName w:val="Arial Nova Light"/>
    <w:charset w:val="00"/>
    <w:family w:val="auto"/>
    <w:pitch w:val="variable"/>
    <w:sig w:usb0="800000AF" w:usb1="4000204A" w:usb2="00000000" w:usb3="00000000" w:csb0="00000001" w:csb1="00000000"/>
  </w:font>
  <w:font w:name="Roboto">
    <w:altName w:val="Times New Roman"/>
    <w:charset w:val="00"/>
    <w:family w:val="auto"/>
    <w:pitch w:val="variable"/>
    <w:sig w:usb0="00000001"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dcr1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33461" w14:textId="77777777" w:rsidR="001967DB" w:rsidRDefault="001967DB" w:rsidP="00D107A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6AD4474" w14:textId="77777777" w:rsidR="001967DB" w:rsidRDefault="001967DB" w:rsidP="001967D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59964CCB" w14:textId="77777777" w:rsidTr="00F93CB8">
      <w:trPr>
        <w:trHeight w:val="142"/>
      </w:trPr>
      <w:tc>
        <w:tcPr>
          <w:tcW w:w="8931" w:type="dxa"/>
          <w:shd w:val="clear" w:color="auto" w:fill="009AA6"/>
        </w:tcPr>
        <w:p w14:paraId="29A6A568" w14:textId="77777777" w:rsidR="001967DB" w:rsidRPr="001967DB" w:rsidRDefault="001967DB" w:rsidP="00F93CB8">
          <w:pPr>
            <w:pStyle w:val="Piedepgina"/>
            <w:spacing w:after="0" w:line="240" w:lineRule="auto"/>
            <w:ind w:left="601" w:right="360" w:hanging="601"/>
          </w:pPr>
        </w:p>
      </w:tc>
      <w:tc>
        <w:tcPr>
          <w:tcW w:w="425" w:type="dxa"/>
        </w:tcPr>
        <w:p w14:paraId="792447E4" w14:textId="77777777" w:rsidR="001967DB" w:rsidRPr="001967DB" w:rsidRDefault="001967DB" w:rsidP="00F93CB8">
          <w:pPr>
            <w:pStyle w:val="Piedepgina"/>
            <w:spacing w:after="0" w:line="240" w:lineRule="auto"/>
          </w:pPr>
        </w:p>
      </w:tc>
      <w:tc>
        <w:tcPr>
          <w:tcW w:w="1418" w:type="dxa"/>
          <w:shd w:val="clear" w:color="auto" w:fill="E98300"/>
        </w:tcPr>
        <w:p w14:paraId="7FE6F01C" w14:textId="77777777" w:rsidR="001967DB" w:rsidRPr="001967DB" w:rsidRDefault="001967DB" w:rsidP="00F93CB8">
          <w:pPr>
            <w:pStyle w:val="Piedepgina"/>
            <w:spacing w:after="0" w:line="240" w:lineRule="auto"/>
          </w:pPr>
        </w:p>
      </w:tc>
    </w:tr>
  </w:tbl>
  <w:p w14:paraId="760CF3DD" w14:textId="6FEB484D" w:rsidR="00D107A2" w:rsidRPr="00D107A2" w:rsidRDefault="00D107A2" w:rsidP="00D107A2">
    <w:pPr>
      <w:pStyle w:val="Piedepgina"/>
      <w:framePr w:wrap="around" w:vAnchor="text" w:hAnchor="page" w:x="11353" w:y="12"/>
      <w:rPr>
        <w:rStyle w:val="Nmerodepgina"/>
        <w:color w:val="7F7F7F" w:themeColor="text1" w:themeTint="80"/>
      </w:rPr>
    </w:pPr>
    <w:r w:rsidRPr="00D107A2">
      <w:rPr>
        <w:rStyle w:val="Nmerodepgina"/>
        <w:color w:val="7F7F7F" w:themeColor="text1" w:themeTint="80"/>
      </w:rPr>
      <w:fldChar w:fldCharType="begin"/>
    </w:r>
    <w:r w:rsidRPr="00D107A2">
      <w:rPr>
        <w:rStyle w:val="Nmerodepgina"/>
        <w:color w:val="7F7F7F" w:themeColor="text1" w:themeTint="80"/>
      </w:rPr>
      <w:instrText xml:space="preserve">PAGE  </w:instrText>
    </w:r>
    <w:r w:rsidRPr="00D107A2">
      <w:rPr>
        <w:rStyle w:val="Nmerodepgina"/>
        <w:color w:val="7F7F7F" w:themeColor="text1" w:themeTint="80"/>
      </w:rPr>
      <w:fldChar w:fldCharType="separate"/>
    </w:r>
    <w:r w:rsidR="00E36259">
      <w:rPr>
        <w:rStyle w:val="Nmerodepgina"/>
        <w:noProof/>
        <w:color w:val="7F7F7F" w:themeColor="text1" w:themeTint="80"/>
      </w:rPr>
      <w:t>1</w:t>
    </w:r>
    <w:r w:rsidRPr="00D107A2">
      <w:rPr>
        <w:rStyle w:val="Nmerodepgina"/>
        <w:color w:val="7F7F7F" w:themeColor="text1" w:themeTint="80"/>
      </w:rPr>
      <w:fldChar w:fldCharType="end"/>
    </w:r>
  </w:p>
  <w:tbl>
    <w:tblPr>
      <w:tblStyle w:val="Tablaconcuadrcula"/>
      <w:tblW w:w="1077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425"/>
      <w:gridCol w:w="1418"/>
    </w:tblGrid>
    <w:tr w:rsidR="001967DB" w:rsidRPr="001967DB" w14:paraId="6B35EDF9" w14:textId="77777777" w:rsidTr="001967DB">
      <w:tc>
        <w:tcPr>
          <w:tcW w:w="8931" w:type="dxa"/>
        </w:tcPr>
        <w:p w14:paraId="69F4699B" w14:textId="77777777" w:rsidR="001967DB" w:rsidRPr="001967DB" w:rsidRDefault="001967DB">
          <w:pPr>
            <w:pStyle w:val="Piedepgina"/>
            <w:rPr>
              <w:color w:val="7F7F7F" w:themeColor="text1" w:themeTint="80"/>
              <w:szCs w:val="20"/>
            </w:rPr>
          </w:pPr>
          <w:r w:rsidRPr="001967DB">
            <w:rPr>
              <w:color w:val="7F7F7F" w:themeColor="text1" w:themeTint="80"/>
              <w:szCs w:val="20"/>
            </w:rPr>
            <w:t>Course Title</w:t>
          </w:r>
        </w:p>
      </w:tc>
      <w:tc>
        <w:tcPr>
          <w:tcW w:w="425" w:type="dxa"/>
        </w:tcPr>
        <w:p w14:paraId="6084571E" w14:textId="77777777" w:rsidR="001967DB" w:rsidRPr="001967DB" w:rsidRDefault="001967DB">
          <w:pPr>
            <w:pStyle w:val="Piedepgina"/>
          </w:pPr>
        </w:p>
      </w:tc>
      <w:tc>
        <w:tcPr>
          <w:tcW w:w="1418" w:type="dxa"/>
        </w:tcPr>
        <w:p w14:paraId="500F04BF" w14:textId="77777777" w:rsidR="001967DB" w:rsidRPr="001967DB" w:rsidRDefault="001967DB" w:rsidP="001967DB">
          <w:pPr>
            <w:pStyle w:val="Piedepgina"/>
            <w:jc w:val="right"/>
            <w:rPr>
              <w:color w:val="7F7F7F" w:themeColor="text1" w:themeTint="80"/>
              <w:szCs w:val="20"/>
            </w:rPr>
          </w:pPr>
        </w:p>
      </w:tc>
    </w:tr>
  </w:tbl>
  <w:p w14:paraId="0EF75A74" w14:textId="77777777" w:rsidR="001967DB" w:rsidRPr="001967DB" w:rsidRDefault="001967DB">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139F0" w14:textId="77777777" w:rsidR="00E36259" w:rsidRDefault="00E362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98273" w14:textId="77777777" w:rsidR="00B729F8" w:rsidRDefault="00B729F8" w:rsidP="00AF202C">
      <w:r>
        <w:separator/>
      </w:r>
    </w:p>
  </w:footnote>
  <w:footnote w:type="continuationSeparator" w:id="0">
    <w:p w14:paraId="30F43D74" w14:textId="77777777" w:rsidR="00B729F8" w:rsidRDefault="00B729F8" w:rsidP="00AF2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7B8C6" w14:textId="77777777" w:rsidR="00E36259" w:rsidRDefault="00E3625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2"/>
      <w:gridCol w:w="850"/>
      <w:gridCol w:w="8222"/>
    </w:tblGrid>
    <w:tr w:rsidR="001967DB" w14:paraId="15CDB807" w14:textId="77777777" w:rsidTr="002C24F7">
      <w:trPr>
        <w:trHeight w:val="284"/>
      </w:trPr>
      <w:tc>
        <w:tcPr>
          <w:tcW w:w="1702" w:type="dxa"/>
          <w:vMerge w:val="restart"/>
          <w:textDirection w:val="tbRl"/>
        </w:tcPr>
        <w:p w14:paraId="0F7CBF80" w14:textId="77777777" w:rsidR="001967DB" w:rsidRPr="00AF202C" w:rsidRDefault="001967DB" w:rsidP="00AF202C">
          <w:pPr>
            <w:pStyle w:val="Encabezado"/>
            <w:ind w:left="113" w:right="113"/>
            <w:jc w:val="center"/>
            <w:rPr>
              <w:b/>
              <w:bCs/>
              <w:color w:val="009AA6"/>
              <w:spacing w:val="50"/>
              <w:sz w:val="48"/>
              <w:szCs w:val="32"/>
            </w:rPr>
          </w:pPr>
          <w:r>
            <w:rPr>
              <w:b/>
              <w:bCs/>
              <w:noProof/>
              <w:color w:val="009AA6"/>
              <w:spacing w:val="50"/>
              <w:sz w:val="48"/>
              <w:szCs w:val="32"/>
              <w:lang w:val="es-ES" w:eastAsia="es-ES"/>
            </w:rPr>
            <w:drawing>
              <wp:inline distT="0" distB="0" distL="0" distR="0" wp14:anchorId="5055BABD" wp14:editId="03E9C8D8">
                <wp:extent cx="937846" cy="114149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summer.jpg"/>
                        <pic:cNvPicPr/>
                      </pic:nvPicPr>
                      <pic:blipFill>
                        <a:blip r:embed="rId1">
                          <a:extLst>
                            <a:ext uri="{28A0092B-C50C-407E-A947-70E740481C1C}">
                              <a14:useLocalDpi xmlns:a14="http://schemas.microsoft.com/office/drawing/2010/main" val="0"/>
                            </a:ext>
                          </a:extLst>
                        </a:blip>
                        <a:stretch>
                          <a:fillRect/>
                        </a:stretch>
                      </pic:blipFill>
                      <pic:spPr>
                        <a:xfrm>
                          <a:off x="0" y="0"/>
                          <a:ext cx="937846" cy="1141493"/>
                        </a:xfrm>
                        <a:prstGeom prst="rect">
                          <a:avLst/>
                        </a:prstGeom>
                      </pic:spPr>
                    </pic:pic>
                  </a:graphicData>
                </a:graphic>
              </wp:inline>
            </w:drawing>
          </w:r>
        </w:p>
      </w:tc>
      <w:tc>
        <w:tcPr>
          <w:tcW w:w="850" w:type="dxa"/>
          <w:vMerge w:val="restart"/>
          <w:textDirection w:val="btLr"/>
        </w:tcPr>
        <w:p w14:paraId="3FCB487F" w14:textId="4272A3A8" w:rsidR="001967DB" w:rsidRPr="00AF202C" w:rsidRDefault="001967DB" w:rsidP="00FE0E6A">
          <w:pPr>
            <w:pStyle w:val="Encabezado"/>
            <w:ind w:left="113" w:right="113"/>
            <w:jc w:val="center"/>
            <w:rPr>
              <w:b/>
              <w:bCs/>
              <w:color w:val="009AA6"/>
              <w:spacing w:val="50"/>
              <w:szCs w:val="32"/>
            </w:rPr>
          </w:pPr>
          <w:r w:rsidRPr="00AF202C">
            <w:rPr>
              <w:b/>
              <w:bCs/>
              <w:color w:val="009AA6"/>
              <w:spacing w:val="50"/>
              <w:sz w:val="48"/>
              <w:szCs w:val="32"/>
            </w:rPr>
            <w:t>201</w:t>
          </w:r>
          <w:r w:rsidR="00DF24B9">
            <w:rPr>
              <w:b/>
              <w:bCs/>
              <w:color w:val="009AA6"/>
              <w:spacing w:val="50"/>
              <w:sz w:val="48"/>
              <w:szCs w:val="32"/>
            </w:rPr>
            <w:t>8</w:t>
          </w:r>
        </w:p>
      </w:tc>
      <w:tc>
        <w:tcPr>
          <w:tcW w:w="8222" w:type="dxa"/>
          <w:shd w:val="clear" w:color="auto" w:fill="009AA6"/>
        </w:tcPr>
        <w:p w14:paraId="74A91669" w14:textId="77777777" w:rsidR="001967DB" w:rsidRDefault="001967DB" w:rsidP="002C24F7">
          <w:pPr>
            <w:pStyle w:val="Encabezado"/>
            <w:spacing w:after="0"/>
          </w:pPr>
        </w:p>
      </w:tc>
    </w:tr>
    <w:tr w:rsidR="001967DB" w14:paraId="35692BEC" w14:textId="77777777" w:rsidTr="001967DB">
      <w:trPr>
        <w:trHeight w:val="1431"/>
      </w:trPr>
      <w:tc>
        <w:tcPr>
          <w:tcW w:w="1702" w:type="dxa"/>
          <w:vMerge/>
        </w:tcPr>
        <w:p w14:paraId="10199E04" w14:textId="77777777" w:rsidR="001967DB" w:rsidRDefault="001967DB" w:rsidP="00AF202C">
          <w:pPr>
            <w:pStyle w:val="Encabezado"/>
          </w:pPr>
        </w:p>
      </w:tc>
      <w:tc>
        <w:tcPr>
          <w:tcW w:w="850" w:type="dxa"/>
          <w:vMerge/>
          <w:vAlign w:val="center"/>
        </w:tcPr>
        <w:p w14:paraId="41CFBF24" w14:textId="77777777" w:rsidR="001967DB" w:rsidRDefault="001967DB" w:rsidP="00AF202C">
          <w:pPr>
            <w:pStyle w:val="Encabezado"/>
          </w:pPr>
        </w:p>
      </w:tc>
      <w:tc>
        <w:tcPr>
          <w:tcW w:w="8222" w:type="dxa"/>
          <w:vAlign w:val="center"/>
        </w:tcPr>
        <w:p w14:paraId="6FF74932" w14:textId="517AD238" w:rsidR="001967DB" w:rsidRDefault="00DF24B9" w:rsidP="00E42A91">
          <w:pPr>
            <w:pStyle w:val="Ttulo2"/>
            <w:shd w:val="clear" w:color="auto" w:fill="FFFFFF"/>
            <w:spacing w:before="360" w:line="312" w:lineRule="atLeast"/>
            <w:rPr>
              <w:b w:val="0"/>
              <w:bCs w:val="0"/>
              <w:color w:val="009AA6"/>
              <w:sz w:val="42"/>
              <w:szCs w:val="42"/>
            </w:rPr>
          </w:pPr>
          <w:r>
            <w:rPr>
              <w:color w:val="7F7F7F" w:themeColor="text1" w:themeTint="80"/>
              <w:sz w:val="40"/>
            </w:rPr>
            <w:t>18</w:t>
          </w:r>
          <w:r w:rsidR="00E36259">
            <w:rPr>
              <w:color w:val="7F7F7F" w:themeColor="text1" w:themeTint="80"/>
              <w:sz w:val="40"/>
            </w:rPr>
            <w:t>MA01</w:t>
          </w:r>
          <w:bookmarkStart w:id="0" w:name="_GoBack"/>
          <w:bookmarkEnd w:id="0"/>
          <w:r w:rsidR="001967DB">
            <w:rPr>
              <w:color w:val="7F7F7F" w:themeColor="text1" w:themeTint="80"/>
              <w:sz w:val="40"/>
            </w:rPr>
            <w:t xml:space="preserve"> – </w:t>
          </w:r>
          <w:r w:rsidR="00E42A91">
            <w:rPr>
              <w:b w:val="0"/>
              <w:bCs w:val="0"/>
              <w:color w:val="009AA6"/>
              <w:sz w:val="42"/>
              <w:szCs w:val="42"/>
            </w:rPr>
            <w:t>Bayesian Time Series Methods: Introductory</w:t>
          </w:r>
        </w:p>
        <w:p w14:paraId="59E4B10D" w14:textId="5A725A19" w:rsidR="00E42A91" w:rsidRPr="00E42A91" w:rsidRDefault="00E42A91" w:rsidP="00E42A91"/>
      </w:tc>
    </w:tr>
    <w:tr w:rsidR="001967DB" w14:paraId="56593AAA" w14:textId="77777777" w:rsidTr="001967DB">
      <w:trPr>
        <w:trHeight w:val="274"/>
      </w:trPr>
      <w:tc>
        <w:tcPr>
          <w:tcW w:w="1702" w:type="dxa"/>
          <w:vMerge/>
        </w:tcPr>
        <w:p w14:paraId="1EC6BB4D" w14:textId="77777777" w:rsidR="001967DB" w:rsidRDefault="001967DB" w:rsidP="00AF202C">
          <w:pPr>
            <w:pStyle w:val="Encabezado"/>
          </w:pPr>
        </w:p>
      </w:tc>
      <w:tc>
        <w:tcPr>
          <w:tcW w:w="850" w:type="dxa"/>
          <w:vMerge/>
        </w:tcPr>
        <w:p w14:paraId="490C4626" w14:textId="77777777" w:rsidR="001967DB" w:rsidRDefault="001967DB" w:rsidP="00AF202C">
          <w:pPr>
            <w:pStyle w:val="Encabezado"/>
          </w:pPr>
        </w:p>
      </w:tc>
      <w:tc>
        <w:tcPr>
          <w:tcW w:w="8222" w:type="dxa"/>
          <w:shd w:val="clear" w:color="auto" w:fill="009AA6"/>
        </w:tcPr>
        <w:p w14:paraId="76EBFD16" w14:textId="77777777" w:rsidR="001967DB" w:rsidRPr="00AF202C" w:rsidRDefault="001967DB" w:rsidP="002C24F7">
          <w:pPr>
            <w:pStyle w:val="Encabezado"/>
            <w:spacing w:after="0"/>
          </w:pPr>
        </w:p>
      </w:tc>
    </w:tr>
  </w:tbl>
  <w:p w14:paraId="382C6765" w14:textId="77777777" w:rsidR="001967DB" w:rsidRDefault="001967D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386B9" w14:textId="77777777" w:rsidR="00E36259" w:rsidRDefault="00E362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788C"/>
    <w:multiLevelType w:val="hybridMultilevel"/>
    <w:tmpl w:val="0F32421C"/>
    <w:lvl w:ilvl="0" w:tplc="0C0A000F">
      <w:start w:val="1"/>
      <w:numFmt w:val="decimal"/>
      <w:lvlText w:val="%1."/>
      <w:lvlJc w:val="left"/>
      <w:pPr>
        <w:tabs>
          <w:tab w:val="num" w:pos="927"/>
        </w:tabs>
        <w:ind w:left="927" w:hanging="360"/>
      </w:pPr>
    </w:lvl>
    <w:lvl w:ilvl="1" w:tplc="0C0A0019">
      <w:start w:val="1"/>
      <w:numFmt w:val="lowerLetter"/>
      <w:lvlText w:val="%2."/>
      <w:lvlJc w:val="left"/>
      <w:pPr>
        <w:tabs>
          <w:tab w:val="num" w:pos="1647"/>
        </w:tabs>
        <w:ind w:left="1647" w:hanging="360"/>
      </w:pPr>
    </w:lvl>
    <w:lvl w:ilvl="2" w:tplc="0C0A001B">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2C"/>
    <w:rsid w:val="001967DB"/>
    <w:rsid w:val="002A45B4"/>
    <w:rsid w:val="002C24F7"/>
    <w:rsid w:val="004F4DF6"/>
    <w:rsid w:val="006D70F5"/>
    <w:rsid w:val="0081052C"/>
    <w:rsid w:val="00A83CCE"/>
    <w:rsid w:val="00AF202C"/>
    <w:rsid w:val="00B729F8"/>
    <w:rsid w:val="00C2705C"/>
    <w:rsid w:val="00C74A1D"/>
    <w:rsid w:val="00C80092"/>
    <w:rsid w:val="00D107A2"/>
    <w:rsid w:val="00D4512E"/>
    <w:rsid w:val="00DA15C8"/>
    <w:rsid w:val="00DF24B9"/>
    <w:rsid w:val="00DF4B54"/>
    <w:rsid w:val="00E36259"/>
    <w:rsid w:val="00E42A91"/>
    <w:rsid w:val="00F93CB8"/>
    <w:rsid w:val="00FE0E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4B44A"/>
  <w15:docId w15:val="{6072AA2A-539F-44BE-B381-B66DD860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7A2"/>
    <w:pPr>
      <w:spacing w:after="200" w:line="276" w:lineRule="auto"/>
    </w:pPr>
    <w:rPr>
      <w:rFonts w:ascii="Helvetica" w:hAnsi="Helvetica"/>
      <w:color w:val="404040" w:themeColor="text1" w:themeTint="BF"/>
      <w:sz w:val="20"/>
    </w:rPr>
  </w:style>
  <w:style w:type="paragraph" w:styleId="Ttulo1">
    <w:name w:val="heading 1"/>
    <w:basedOn w:val="Normal"/>
    <w:next w:val="Normal"/>
    <w:link w:val="Ttulo1Car"/>
    <w:uiPriority w:val="1"/>
    <w:qFormat/>
    <w:rsid w:val="00D107A2"/>
    <w:pPr>
      <w:keepNext/>
      <w:keepLines/>
      <w:spacing w:before="360" w:after="120"/>
      <w:outlineLvl w:val="0"/>
    </w:pPr>
    <w:rPr>
      <w:rFonts w:ascii="Calibri" w:eastAsiaTheme="majorEastAsia" w:hAnsi="Calibri" w:cstheme="majorBidi"/>
      <w:bCs/>
      <w:color w:val="31849B" w:themeColor="accent5" w:themeShade="BF"/>
      <w:sz w:val="28"/>
      <w:szCs w:val="28"/>
    </w:rPr>
  </w:style>
  <w:style w:type="paragraph" w:styleId="Ttulo2">
    <w:name w:val="heading 2"/>
    <w:basedOn w:val="Normal"/>
    <w:next w:val="Normal"/>
    <w:link w:val="Ttulo2Car"/>
    <w:uiPriority w:val="9"/>
    <w:unhideWhenUsed/>
    <w:qFormat/>
    <w:rsid w:val="00D107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202C"/>
    <w:pPr>
      <w:tabs>
        <w:tab w:val="center" w:pos="4320"/>
        <w:tab w:val="right" w:pos="8640"/>
      </w:tabs>
    </w:pPr>
  </w:style>
  <w:style w:type="character" w:customStyle="1" w:styleId="EncabezadoCar">
    <w:name w:val="Encabezado Car"/>
    <w:basedOn w:val="Fuentedeprrafopredeter"/>
    <w:link w:val="Encabezado"/>
    <w:uiPriority w:val="99"/>
    <w:rsid w:val="00AF202C"/>
  </w:style>
  <w:style w:type="paragraph" w:styleId="Piedepgina">
    <w:name w:val="footer"/>
    <w:basedOn w:val="Normal"/>
    <w:link w:val="PiedepginaCar"/>
    <w:uiPriority w:val="99"/>
    <w:unhideWhenUsed/>
    <w:rsid w:val="00AF202C"/>
    <w:pPr>
      <w:tabs>
        <w:tab w:val="center" w:pos="4320"/>
        <w:tab w:val="right" w:pos="8640"/>
      </w:tabs>
    </w:pPr>
  </w:style>
  <w:style w:type="character" w:customStyle="1" w:styleId="PiedepginaCar">
    <w:name w:val="Pie de página Car"/>
    <w:basedOn w:val="Fuentedeprrafopredeter"/>
    <w:link w:val="Piedepgina"/>
    <w:uiPriority w:val="99"/>
    <w:rsid w:val="00AF202C"/>
  </w:style>
  <w:style w:type="table" w:styleId="Tablaconcuadrcula">
    <w:name w:val="Table Grid"/>
    <w:basedOn w:val="Tablanormal"/>
    <w:uiPriority w:val="59"/>
    <w:rsid w:val="00AF20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F20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F202C"/>
    <w:rPr>
      <w:rFonts w:ascii="Lucida Grande" w:hAnsi="Lucida Grande" w:cs="Lucida Grande"/>
      <w:sz w:val="18"/>
      <w:szCs w:val="18"/>
    </w:rPr>
  </w:style>
  <w:style w:type="character" w:styleId="Nmerodepgina">
    <w:name w:val="page number"/>
    <w:basedOn w:val="Fuentedeprrafopredeter"/>
    <w:uiPriority w:val="99"/>
    <w:semiHidden/>
    <w:unhideWhenUsed/>
    <w:rsid w:val="001967DB"/>
  </w:style>
  <w:style w:type="character" w:customStyle="1" w:styleId="Ttulo1Car">
    <w:name w:val="Título 1 Car"/>
    <w:basedOn w:val="Fuentedeprrafopredeter"/>
    <w:link w:val="Ttulo1"/>
    <w:uiPriority w:val="1"/>
    <w:rsid w:val="00D107A2"/>
    <w:rPr>
      <w:rFonts w:ascii="Calibri" w:eastAsiaTheme="majorEastAsia" w:hAnsi="Calibri" w:cstheme="majorBidi"/>
      <w:bCs/>
      <w:color w:val="31849B" w:themeColor="accent5" w:themeShade="BF"/>
      <w:sz w:val="28"/>
      <w:szCs w:val="28"/>
    </w:rPr>
  </w:style>
  <w:style w:type="character" w:customStyle="1" w:styleId="Ttulo2Car">
    <w:name w:val="Título 2 Car"/>
    <w:basedOn w:val="Fuentedeprrafopredeter"/>
    <w:link w:val="Ttulo2"/>
    <w:uiPriority w:val="9"/>
    <w:rsid w:val="00D107A2"/>
    <w:rPr>
      <w:rFonts w:asciiTheme="majorHAnsi" w:eastAsiaTheme="majorEastAsia" w:hAnsiTheme="majorHAnsi" w:cstheme="majorBidi"/>
      <w:b/>
      <w:bCs/>
      <w:color w:val="4F81BD" w:themeColor="accent1"/>
      <w:sz w:val="26"/>
      <w:szCs w:val="26"/>
    </w:rPr>
  </w:style>
  <w:style w:type="character" w:styleId="nfasis">
    <w:name w:val="Emphasis"/>
    <w:basedOn w:val="Fuentedeprrafopredeter"/>
    <w:unhideWhenUsed/>
    <w:qFormat/>
    <w:rsid w:val="00D107A2"/>
    <w:rPr>
      <w:i/>
      <w:iCs/>
    </w:rPr>
  </w:style>
  <w:style w:type="character" w:customStyle="1" w:styleId="bodycopy1">
    <w:name w:val="bodycopy1"/>
    <w:basedOn w:val="Fuentedeprrafopredeter"/>
    <w:rsid w:val="00D107A2"/>
  </w:style>
  <w:style w:type="paragraph" w:styleId="NormalWeb">
    <w:name w:val="Normal (Web)"/>
    <w:basedOn w:val="Normal"/>
    <w:uiPriority w:val="99"/>
    <w:unhideWhenUsed/>
    <w:rsid w:val="00DF4B54"/>
    <w:pPr>
      <w:spacing w:before="100" w:beforeAutospacing="1" w:after="100" w:afterAutospacing="1" w:line="240" w:lineRule="auto"/>
    </w:pPr>
    <w:rPr>
      <w:rFonts w:ascii="Times New Roman" w:eastAsia="Times New Roman" w:hAnsi="Times New Roman" w:cs="Times New Roman"/>
      <w:color w:val="auto"/>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1320">
      <w:bodyDiv w:val="1"/>
      <w:marLeft w:val="0"/>
      <w:marRight w:val="0"/>
      <w:marTop w:val="0"/>
      <w:marBottom w:val="0"/>
      <w:divBdr>
        <w:top w:val="none" w:sz="0" w:space="0" w:color="auto"/>
        <w:left w:val="none" w:sz="0" w:space="0" w:color="auto"/>
        <w:bottom w:val="none" w:sz="0" w:space="0" w:color="auto"/>
        <w:right w:val="none" w:sz="0" w:space="0" w:color="auto"/>
      </w:divBdr>
    </w:div>
    <w:div w:id="1772236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496</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Barcelona Graduate School of Economics</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Manchón</dc:creator>
  <cp:keywords/>
  <dc:description/>
  <cp:lastModifiedBy>Moritz Hofmann</cp:lastModifiedBy>
  <cp:revision>13</cp:revision>
  <cp:lastPrinted>2015-04-30T08:34:00Z</cp:lastPrinted>
  <dcterms:created xsi:type="dcterms:W3CDTF">2015-04-30T08:33:00Z</dcterms:created>
  <dcterms:modified xsi:type="dcterms:W3CDTF">2018-06-11T11:49:00Z</dcterms:modified>
</cp:coreProperties>
</file>