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FDF3FB2" w:rsidR="00752CD2" w:rsidRPr="001D4FA5" w:rsidRDefault="00752CD2" w:rsidP="00101E00">
      <w:pPr>
        <w:rPr>
          <w:rFonts w:ascii="Arial" w:hAnsi="Arial" w:cs="Arial"/>
        </w:rPr>
      </w:pPr>
      <w:r>
        <w:rPr>
          <w:rFonts w:ascii="Arial" w:hAnsi="Arial" w:cs="Arial"/>
        </w:rPr>
        <w:t>This file documents the data sources used in the study</w:t>
      </w:r>
      <w:r w:rsidR="00FE2094">
        <w:rPr>
          <w:rFonts w:ascii="Arial" w:hAnsi="Arial" w:cs="Arial"/>
        </w:rPr>
        <w:t xml:space="preserve">. </w:t>
      </w:r>
      <w:r w:rsidR="00382333">
        <w:rPr>
          <w:rFonts w:ascii="Arial" w:hAnsi="Arial" w:cs="Arial"/>
        </w:rPr>
        <w:t>All the data files used are in the Data folder</w:t>
      </w:r>
      <w:r w:rsidR="00CC3868">
        <w:rPr>
          <w:rFonts w:ascii="Arial" w:hAnsi="Arial" w:cs="Arial"/>
        </w:rPr>
        <w:t>, which</w:t>
      </w:r>
      <w:r w:rsidR="00382333">
        <w:rPr>
          <w:rFonts w:ascii="Arial" w:hAnsi="Arial" w:cs="Arial"/>
        </w:rPr>
        <w:t xml:space="preserve"> contains three subfolders: Raw</w:t>
      </w:r>
      <w:r w:rsidR="008711E0">
        <w:rPr>
          <w:rFonts w:ascii="Arial" w:hAnsi="Arial" w:cs="Arial"/>
        </w:rPr>
        <w:t>, Analytic</w:t>
      </w:r>
      <w:r w:rsidR="00382333">
        <w:rPr>
          <w:rFonts w:ascii="Arial" w:hAnsi="Arial" w:cs="Arial"/>
        </w:rPr>
        <w:t xml:space="preserve"> and Temp. The Raw folder contains files downloaded from other sources</w:t>
      </w:r>
      <w:r w:rsidR="009C27DC">
        <w:rPr>
          <w:rFonts w:ascii="Arial" w:hAnsi="Arial" w:cs="Arial"/>
        </w:rPr>
        <w:t xml:space="preserve">. The Analytic folder contains files created for the analysis in the paper. The </w:t>
      </w:r>
      <w:r w:rsidR="004D3528">
        <w:rPr>
          <w:rFonts w:ascii="Arial" w:hAnsi="Arial" w:cs="Arial"/>
        </w:rPr>
        <w:t xml:space="preserve">Temp folder is used for temporary or non-relevant </w:t>
      </w:r>
      <w:r w:rsidR="009C27DC">
        <w:rPr>
          <w:rFonts w:ascii="Arial" w:hAnsi="Arial" w:cs="Arial"/>
        </w:rPr>
        <w:t xml:space="preserve">files. This </w:t>
      </w:r>
      <w:r w:rsidR="00273ADA">
        <w:rPr>
          <w:rFonts w:ascii="Arial" w:hAnsi="Arial" w:cs="Arial"/>
        </w:rPr>
        <w:t>guide</w:t>
      </w:r>
      <w:r w:rsidR="009C27DC">
        <w:rPr>
          <w:rFonts w:ascii="Arial" w:hAnsi="Arial" w:cs="Arial"/>
        </w:rPr>
        <w:t xml:space="preserve"> </w:t>
      </w:r>
      <w:r w:rsidR="00FE2094">
        <w:rPr>
          <w:rFonts w:ascii="Arial" w:hAnsi="Arial" w:cs="Arial"/>
        </w:rPr>
        <w:t xml:space="preserve">describes the data files </w:t>
      </w:r>
      <w:r w:rsidR="009C27DC">
        <w:rPr>
          <w:rFonts w:ascii="Arial" w:hAnsi="Arial" w:cs="Arial"/>
        </w:rPr>
        <w:t>in both the Raw and Analytic folders</w:t>
      </w:r>
      <w:r w:rsidR="00FE2094">
        <w:rPr>
          <w:rFonts w:ascii="Arial" w:hAnsi="Arial" w:cs="Arial"/>
        </w:rPr>
        <w:t>.</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77777777" w:rsidR="004405C8" w:rsidRPr="001D4FA5" w:rsidRDefault="004405C8"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The data file named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CF0312"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w:t>
      </w:r>
      <w:proofErr w:type="spellStart"/>
      <w:r>
        <w:rPr>
          <w:rFonts w:ascii="Arial" w:hAnsi="Arial" w:cs="Arial"/>
        </w:rPr>
        <w:t>xlsx</w:t>
      </w:r>
      <w:proofErr w:type="spellEnd"/>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B9FB43F" w:rsidR="00055C9A" w:rsidRPr="001D4FA5" w:rsidRDefault="00055C9A" w:rsidP="00055C9A">
      <w:pPr>
        <w:pStyle w:val="ListParagraph"/>
        <w:numPr>
          <w:ilvl w:val="0"/>
          <w:numId w:val="1"/>
        </w:numPr>
        <w:rPr>
          <w:rFonts w:ascii="Arial" w:hAnsi="Arial" w:cs="Arial"/>
          <w:b/>
        </w:rPr>
      </w:pPr>
      <w:r>
        <w:rPr>
          <w:rFonts w:ascii="Arial" w:hAnsi="Arial" w:cs="Arial"/>
          <w:b/>
        </w:rPr>
        <w:lastRenderedPageBreak/>
        <w:t>Metadata for ‘</w:t>
      </w:r>
      <w:proofErr w:type="spellStart"/>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w:t>
      </w:r>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ata.xlsx’, ‘</w:t>
      </w:r>
      <w:r w:rsidR="0082404B" w:rsidRPr="00D10E7E">
        <w:rPr>
          <w:rFonts w:ascii="Arial" w:hAnsi="Arial" w:cs="Arial"/>
          <w:b/>
        </w:rPr>
        <w:t>original_</w:t>
      </w:r>
      <w:r>
        <w:rPr>
          <w:rFonts w:ascii="Arial" w:hAnsi="Arial" w:cs="Arial"/>
          <w:b/>
        </w:rPr>
        <w:t>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CF0312"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7DF5E9F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25793698"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6CBD3B15"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w:t>
      </w:r>
      <w:proofErr w:type="spellStart"/>
      <w:r w:rsidR="00087987">
        <w:rPr>
          <w:rFonts w:ascii="Arial" w:hAnsi="Arial" w:cs="Arial"/>
        </w:rPr>
        <w:t>xlsx</w:t>
      </w:r>
      <w:proofErr w:type="spellEnd"/>
      <w:r w:rsidR="00087987">
        <w:rPr>
          <w:rFonts w:ascii="Arial" w:hAnsi="Arial" w:cs="Arial"/>
        </w:rPr>
        <w:t>’</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lastRenderedPageBreak/>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CF0312"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CF0312"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CF0312"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CF0312"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CF0312"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w:t>
      </w:r>
      <w:proofErr w:type="spellStart"/>
      <w:r>
        <w:rPr>
          <w:rFonts w:ascii="Arial" w:hAnsi="Arial" w:cs="Arial"/>
        </w:rPr>
        <w:t>xlsx</w:t>
      </w:r>
      <w:proofErr w:type="spellEnd"/>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1C74AC20"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CC2E48">
        <w:rPr>
          <w:rFonts w:ascii="Arial" w:hAnsi="Arial" w:cs="Arial"/>
          <w:b/>
        </w:rPr>
        <w:t>x</w:t>
      </w:r>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0E539134"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w:t>
      </w:r>
      <w:r w:rsidRPr="001E044B">
        <w:rPr>
          <w:rFonts w:ascii="Arial" w:hAnsi="Arial" w:cs="Arial"/>
        </w:rPr>
        <w:lastRenderedPageBreak/>
        <w:t xml:space="preserve">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lastRenderedPageBreak/>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1"/>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 xml:space="preserve">and paste it transposed in cell B1 of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r>
        <w:rPr>
          <w:rFonts w:ascii="Arial" w:hAnsi="Arial" w:cs="Arial"/>
          <w:b/>
        </w:rPr>
        <w:t>’</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2A0A4840" w:rsidR="00357E74" w:rsidRDefault="00357E74" w:rsidP="00357E74">
      <w:pPr>
        <w:rPr>
          <w:rFonts w:ascii="Arial" w:hAnsi="Arial" w:cs="Arial"/>
        </w:rPr>
      </w:pPr>
      <w:r>
        <w:rPr>
          <w:rFonts w:ascii="Arial" w:hAnsi="Arial" w:cs="Arial"/>
        </w:rPr>
        <w:t xml:space="preserve">The data file named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bookmarkStart w:id="0" w:name="_GoBack"/>
            <w:bookmarkEnd w:id="0"/>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77777777" w:rsidR="00357E74" w:rsidRDefault="00357E74" w:rsidP="00881618">
      <w:pPr>
        <w:rPr>
          <w:rFonts w:ascii="Arial" w:hAnsi="Arial" w:cs="Arial"/>
        </w:rPr>
      </w:pPr>
    </w:p>
    <w:p w14:paraId="7C26D7F5" w14:textId="77777777" w:rsidR="004405C8" w:rsidRDefault="004405C8" w:rsidP="004405C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E5E8924" w14:textId="41C4ACE1" w:rsidR="00886AAD"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5373DCBC" w14:textId="1EE80B8A" w:rsidR="00886AAD" w:rsidRDefault="00886AAD" w:rsidP="00881618">
      <w:pPr>
        <w:rPr>
          <w:rFonts w:ascii="Arial" w:hAnsi="Arial" w:cs="Arial"/>
        </w:rPr>
      </w:pPr>
    </w:p>
    <w:p w14:paraId="470F6E8C" w14:textId="3610BA4A" w:rsidR="00886AAD" w:rsidRDefault="00886AAD" w:rsidP="00881618">
      <w:pPr>
        <w:rPr>
          <w:rFonts w:ascii="Arial" w:hAnsi="Arial" w:cs="Arial"/>
        </w:rPr>
      </w:pPr>
    </w:p>
    <w:p w14:paraId="3AC78306" w14:textId="773C6C6B" w:rsidR="00886AAD" w:rsidRDefault="00886AAD" w:rsidP="00881618">
      <w:pPr>
        <w:rPr>
          <w:rFonts w:ascii="Arial" w:hAnsi="Arial" w:cs="Arial"/>
        </w:rPr>
      </w:pPr>
    </w:p>
    <w:p w14:paraId="6418430C" w14:textId="11D11F12" w:rsidR="002B3275" w:rsidRDefault="002B3275" w:rsidP="00881618">
      <w:pPr>
        <w:rPr>
          <w:rFonts w:ascii="Arial" w:hAnsi="Arial" w:cs="Arial"/>
        </w:rPr>
      </w:pPr>
    </w:p>
    <w:p w14:paraId="1EA1A4BF" w14:textId="3A39F77F" w:rsidR="002B3275" w:rsidRDefault="002B3275" w:rsidP="00881618">
      <w:pPr>
        <w:rPr>
          <w:rFonts w:ascii="Arial" w:hAnsi="Arial" w:cs="Arial"/>
        </w:rPr>
      </w:pPr>
    </w:p>
    <w:p w14:paraId="5CD8A13F" w14:textId="7DAECD1E" w:rsidR="002B3275" w:rsidRDefault="002B3275" w:rsidP="00881618">
      <w:pPr>
        <w:rPr>
          <w:rFonts w:ascii="Arial" w:hAnsi="Arial" w:cs="Arial"/>
        </w:rPr>
      </w:pPr>
    </w:p>
    <w:p w14:paraId="35FFF2EF" w14:textId="37177831" w:rsidR="002B3275" w:rsidRDefault="002B3275" w:rsidP="00881618">
      <w:pPr>
        <w:rPr>
          <w:rFonts w:ascii="Arial" w:hAnsi="Arial" w:cs="Arial"/>
        </w:rPr>
      </w:pPr>
    </w:p>
    <w:p w14:paraId="1A6AC093" w14:textId="0C6A99E7" w:rsidR="002B3275" w:rsidRDefault="002B3275" w:rsidP="00881618">
      <w:pPr>
        <w:rPr>
          <w:rFonts w:ascii="Arial" w:hAnsi="Arial" w:cs="Arial"/>
        </w:rPr>
      </w:pPr>
    </w:p>
    <w:p w14:paraId="709EE5DE" w14:textId="77777777" w:rsidR="002B3275" w:rsidRDefault="002B3275" w:rsidP="00881618">
      <w:pPr>
        <w:rPr>
          <w:rFonts w:ascii="Arial" w:hAnsi="Arial" w:cs="Arial"/>
        </w:rPr>
      </w:pPr>
    </w:p>
    <w:p w14:paraId="261D6CB1" w14:textId="77777777" w:rsidR="00886AAD" w:rsidRDefault="00886AAD" w:rsidP="00881618">
      <w:pPr>
        <w:rPr>
          <w:rFonts w:ascii="Arial" w:hAnsi="Arial" w:cs="Arial"/>
        </w:rPr>
      </w:pPr>
    </w:p>
    <w:p w14:paraId="6111C218" w14:textId="015006A3" w:rsidR="00AE6780" w:rsidRDefault="00AE6780" w:rsidP="00881618">
      <w:pPr>
        <w:rPr>
          <w:rFonts w:ascii="Arial" w:hAnsi="Arial" w:cs="Arial"/>
        </w:rPr>
      </w:pP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77777777"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r w:rsidRPr="00CC18B5">
        <w:rPr>
          <w:rStyle w:val="FootnoteReference"/>
        </w:rPr>
        <w:footnoteReference w:id="2"/>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5F61C1D" w14:textId="77777777" w:rsidR="0035584C" w:rsidRPr="00101E00" w:rsidRDefault="0035584C" w:rsidP="0035584C">
      <w:pPr>
        <w:rPr>
          <w:rFonts w:ascii="Arial" w:hAnsi="Arial" w:cs="Arial"/>
        </w:rPr>
      </w:pPr>
      <w:r w:rsidRPr="00101E00">
        <w:rPr>
          <w:rFonts w:ascii="Arial" w:hAnsi="Arial" w:cs="Arial"/>
        </w:rPr>
        <w:t xml:space="preserve">Each time you obtain a new </w:t>
      </w:r>
      <w:r w:rsidRPr="00101E00">
        <w:rPr>
          <w:rFonts w:ascii="Arial" w:hAnsi="Arial" w:cs="Arial"/>
          <w:b/>
          <w:i/>
        </w:rPr>
        <w:t>original data file</w:t>
      </w:r>
      <w:r w:rsidRPr="00101E00">
        <w:rPr>
          <w:rFonts w:ascii="Arial" w:hAnsi="Arial" w:cs="Arial"/>
        </w:rPr>
        <w:t xml:space="preserve">, add a section about that file </w:t>
      </w:r>
      <w:r>
        <w:rPr>
          <w:rFonts w:ascii="Arial" w:hAnsi="Arial" w:cs="Arial"/>
        </w:rPr>
        <w:t>here</w:t>
      </w:r>
      <w:r w:rsidRPr="00101E00">
        <w:rPr>
          <w:rFonts w:ascii="Arial" w:hAnsi="Arial" w:cs="Arial"/>
        </w:rPr>
        <w:t>.</w:t>
      </w:r>
    </w:p>
    <w:p w14:paraId="7DA188A1" w14:textId="77777777" w:rsidR="0035584C" w:rsidRDefault="0035584C" w:rsidP="0035584C">
      <w:pPr>
        <w:rPr>
          <w:rFonts w:ascii="Arial" w:hAnsi="Arial" w:cs="Arial"/>
        </w:rPr>
      </w:pPr>
    </w:p>
    <w:p w14:paraId="390391AF" w14:textId="77777777" w:rsidR="0035584C" w:rsidRPr="00101E00" w:rsidRDefault="0035584C" w:rsidP="0035584C">
      <w:pPr>
        <w:rPr>
          <w:rFonts w:ascii="Arial" w:hAnsi="Arial" w:cs="Arial"/>
        </w:rPr>
      </w:pPr>
      <w:r w:rsidRPr="00B7691C">
        <w:rPr>
          <w:rFonts w:ascii="Arial" w:hAnsi="Arial" w:cs="Arial"/>
        </w:rPr>
        <w:t>For each of your original data files, the Metadata Guide provides the kind of information typically found in a codebook accompanying a dataset a user would need to know to work with and interpret the data appropriately.</w:t>
      </w:r>
    </w:p>
    <w:p w14:paraId="58F8B087" w14:textId="77777777" w:rsidR="0035584C" w:rsidRPr="00101E00" w:rsidRDefault="0035584C" w:rsidP="0035584C">
      <w:pPr>
        <w:rPr>
          <w:rFonts w:ascii="Arial" w:hAnsi="Arial" w:cs="Arial"/>
        </w:rPr>
      </w:pPr>
    </w:p>
    <w:p w14:paraId="57990F98" w14:textId="77777777" w:rsidR="0035584C" w:rsidRDefault="0035584C" w:rsidP="0035584C">
      <w:pPr>
        <w:rPr>
          <w:rFonts w:ascii="Arial" w:hAnsi="Arial" w:cs="Arial"/>
        </w:rPr>
      </w:pPr>
      <w:r>
        <w:rPr>
          <w:rFonts w:ascii="Arial" w:hAnsi="Arial" w:cs="Arial"/>
        </w:rPr>
        <w:t>E</w:t>
      </w:r>
      <w:r w:rsidRPr="00101E00">
        <w:rPr>
          <w:rFonts w:ascii="Arial" w:hAnsi="Arial" w:cs="Arial"/>
        </w:rPr>
        <w:t xml:space="preserve">nter the required information </w:t>
      </w:r>
      <w:r w:rsidRPr="00101E00">
        <w:rPr>
          <w:rFonts w:ascii="Arial" w:hAnsi="Arial" w:cs="Arial"/>
          <w:u w:val="single"/>
        </w:rPr>
        <w:t>right away each time you obtain</w:t>
      </w:r>
      <w:r w:rsidRPr="00101E00">
        <w:rPr>
          <w:rFonts w:ascii="Arial" w:hAnsi="Arial" w:cs="Arial"/>
        </w:rPr>
        <w:t xml:space="preserve"> a new </w:t>
      </w:r>
      <w:r w:rsidRPr="00101E00">
        <w:rPr>
          <w:rFonts w:ascii="Arial" w:hAnsi="Arial" w:cs="Arial"/>
          <w:b/>
          <w:i/>
        </w:rPr>
        <w:t>original data file</w:t>
      </w:r>
      <w:r w:rsidRPr="00101E00">
        <w:rPr>
          <w:rFonts w:ascii="Arial" w:hAnsi="Arial" w:cs="Arial"/>
        </w:rPr>
        <w:t>.</w:t>
      </w: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D0722" w14:textId="77777777" w:rsidR="00CF0312" w:rsidRDefault="00CF0312" w:rsidP="001D4FA5">
      <w:r>
        <w:separator/>
      </w:r>
    </w:p>
  </w:endnote>
  <w:endnote w:type="continuationSeparator" w:id="0">
    <w:p w14:paraId="7B28ED92" w14:textId="77777777" w:rsidR="00CF0312" w:rsidRDefault="00CF0312"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3C997" w14:textId="77777777" w:rsidR="00CF0312" w:rsidRDefault="00CF0312" w:rsidP="001D4FA5">
      <w:r>
        <w:separator/>
      </w:r>
    </w:p>
  </w:footnote>
  <w:footnote w:type="continuationSeparator" w:id="0">
    <w:p w14:paraId="2F09BFB7" w14:textId="77777777" w:rsidR="00CF0312" w:rsidRDefault="00CF0312" w:rsidP="001D4FA5">
      <w:r>
        <w:continuationSeparator/>
      </w:r>
    </w:p>
  </w:footnote>
  <w:footnote w:id="1">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Datastream.</w:t>
      </w:r>
    </w:p>
  </w:footnote>
  <w:footnote w:id="2">
    <w:p w14:paraId="63B139CA" w14:textId="77777777" w:rsidR="005C52CB" w:rsidRDefault="005C52CB" w:rsidP="00CB702D">
      <w:pPr>
        <w:pStyle w:val="FootnoteText"/>
      </w:pPr>
      <w:r w:rsidRPr="00CC18B5">
        <w:rPr>
          <w:rStyle w:val="FootnoteReference"/>
        </w:rPr>
        <w:footnoteRef/>
      </w:r>
      <w:r>
        <w:t xml:space="preserve"> S</w:t>
      </w:r>
      <w:r w:rsidRPr="009F6219">
        <w:t>uch as sampling met</w:t>
      </w:r>
      <w:r>
        <w:t xml:space="preserve">hods and weights, a description </w:t>
      </w:r>
      <w:r w:rsidRPr="009F6219">
        <w:t xml:space="preserve">of the population from which the sample was drawn, </w:t>
      </w:r>
      <w:r>
        <w:t>or the structure of the data in the file (e.g.</w:t>
      </w:r>
      <w:r w:rsidRPr="009F6219">
        <w:t xml:space="preserve"> each row a country/year pair, with each variable containing v</w:t>
      </w:r>
      <w:r>
        <w:t>alues of a</w:t>
      </w:r>
      <w:r>
        <w:cr/>
        <w:t>particular indicator</w:t>
      </w:r>
      <w:r w:rsidRPr="009F6219">
        <w:t xml:space="preserve"> </w:t>
      </w:r>
      <w:r>
        <w:t>vs</w:t>
      </w:r>
      <w:r w:rsidRPr="009F6219">
        <w:t xml:space="preserve"> each row a country/ind</w:t>
      </w:r>
      <w:r>
        <w:t xml:space="preserve">icator pair, with each variable </w:t>
      </w:r>
      <w:r w:rsidRPr="009F6219">
        <w:t>containing values for a particular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67534254"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357E74">
            <w:rPr>
              <w:noProof/>
            </w:rPr>
            <w:t>May 13, 2019</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23342"/>
    <w:rsid w:val="0023309C"/>
    <w:rsid w:val="00243249"/>
    <w:rsid w:val="00243BC4"/>
    <w:rsid w:val="00250D9D"/>
    <w:rsid w:val="00260E2B"/>
    <w:rsid w:val="00267C51"/>
    <w:rsid w:val="00273ADA"/>
    <w:rsid w:val="00273F3D"/>
    <w:rsid w:val="00287707"/>
    <w:rsid w:val="002B3275"/>
    <w:rsid w:val="002B7AE5"/>
    <w:rsid w:val="002C24B4"/>
    <w:rsid w:val="002C5327"/>
    <w:rsid w:val="002E4BB9"/>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7215"/>
    <w:rsid w:val="0050453E"/>
    <w:rsid w:val="00527B53"/>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3ED7-ECDB-2944-A870-7CE57B2B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391</cp:revision>
  <dcterms:created xsi:type="dcterms:W3CDTF">2018-01-20T00:33:00Z</dcterms:created>
  <dcterms:modified xsi:type="dcterms:W3CDTF">2019-05-13T22:23:00Z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