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ptos Display" w:hAnsi="Aptos Display"/>
          <w:b/>
          <w:color w:val="1F7A7A"/>
          <w:sz w:val="28"/>
        </w:rPr>
        <w:t>NEUREV</w:t>
      </w:r>
    </w:p>
    <w:p>
      <w:pPr>
        <w:pStyle w:val="Title"/>
      </w:pPr>
      <w:r>
        <w:t>Codex Implementation Brief</w:t>
      </w:r>
    </w:p>
    <w:p>
      <w:pPr>
        <w:pStyle w:val="Subtitle"/>
      </w:pPr>
      <w:r>
        <w:t>Transform NeuRev into a plug-and-play, annotation-first research tool without discarding its advanced capabilities.</w:t>
      </w:r>
    </w:p>
    <w:p>
      <w:pPr>
        <w:spacing w:before="400"/>
        <w:pBdr>
          <w:bottom w:val="single" w:sz="14" w:space="1" w:color="1F7A7A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F5F99"/>
                <w:sz w:val="18"/>
              </w:rPr>
              <w:t>Audience</w:t>
            </w:r>
          </w:p>
        </w:tc>
        <w:tc>
          <w:tcPr>
            <w:tcW w:type="dxa" w:w="8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9"/>
              </w:rPr>
              <w:t>Codex / software implementation agent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F5F99"/>
                <w:sz w:val="18"/>
              </w:rPr>
              <w:t>Repository basis</w:t>
            </w:r>
          </w:p>
        </w:tc>
        <w:tc>
          <w:tcPr>
            <w:tcW w:type="dxa" w:w="8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9"/>
              </w:rPr>
              <w:t>Jibby2k1/NeuRev-Workbench, main, reviewed through commit 96533b1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F5F99"/>
                <w:sz w:val="18"/>
              </w:rPr>
              <w:t>Document status</w:t>
            </w:r>
          </w:p>
        </w:tc>
        <w:tc>
          <w:tcPr>
            <w:tcW w:type="dxa" w:w="8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9"/>
              </w:rPr>
              <w:t>Implementation authority: prioritized backlog with non-negotiable product and scientific constraints.</w:t>
            </w:r>
          </w:p>
        </w:tc>
      </w:tr>
    </w:tbl>
    <w:p>
      <w:pPr>
        <w:spacing w:before="1900"/>
      </w:pPr>
      <w:r>
        <w:rPr>
          <w:b/>
          <w:color w:val="16324F"/>
          <w:sz w:val="22"/>
        </w:rPr>
        <w:t>Purpose</w:t>
      </w:r>
    </w:p>
    <w:p>
      <w:r>
        <w:t>Convert the repository audit into an executable division of labor: Codex changes the product and codebase; the researcher supplies scientific truth, annotation decisions, representative data, and acceptance feedback.</w:t>
      </w:r>
    </w:p>
    <w:p>
      <w:r>
        <w:br w:type="page"/>
      </w:r>
    </w:p>
    <w:p>
      <w:pPr>
        <w:pStyle w:val="Heading1"/>
      </w:pPr>
      <w:r>
        <w:t>Document map</w:t>
      </w:r>
    </w:p>
    <w:p>
      <w:pPr>
        <w:spacing w:after="60"/>
      </w:pPr>
      <w:r>
        <w:rPr>
          <w:b/>
          <w:color w:val="1F5F99"/>
        </w:rPr>
        <w:t xml:space="preserve">1. </w:t>
      </w:r>
      <w:r>
        <w:t>Mission and product target</w:t>
      </w:r>
    </w:p>
    <w:p>
      <w:pPr>
        <w:spacing w:after="60"/>
      </w:pPr>
      <w:r>
        <w:rPr>
          <w:b/>
          <w:color w:val="1F5F99"/>
        </w:rPr>
        <w:t xml:space="preserve">2. </w:t>
      </w:r>
      <w:r>
        <w:t>Repository diagnosis</w:t>
      </w:r>
    </w:p>
    <w:p>
      <w:pPr>
        <w:spacing w:after="60"/>
      </w:pPr>
      <w:r>
        <w:rPr>
          <w:b/>
          <w:color w:val="1F5F99"/>
        </w:rPr>
        <w:t xml:space="preserve">3. </w:t>
      </w:r>
      <w:r>
        <w:t>Non-negotiable constraints</w:t>
      </w:r>
    </w:p>
    <w:p>
      <w:pPr>
        <w:spacing w:after="60"/>
      </w:pPr>
      <w:r>
        <w:rPr>
          <w:b/>
          <w:color w:val="1F5F99"/>
        </w:rPr>
        <w:t xml:space="preserve">4. </w:t>
      </w:r>
      <w:r>
        <w:t>Implementation waves</w:t>
      </w:r>
    </w:p>
    <w:p>
      <w:pPr>
        <w:spacing w:after="60"/>
      </w:pPr>
      <w:r>
        <w:rPr>
          <w:b/>
          <w:color w:val="1F5F99"/>
        </w:rPr>
        <w:t xml:space="preserve">5. </w:t>
      </w:r>
      <w:r>
        <w:t>Detailed backlog</w:t>
      </w:r>
    </w:p>
    <w:p>
      <w:pPr>
        <w:spacing w:after="60"/>
      </w:pPr>
      <w:r>
        <w:rPr>
          <w:b/>
          <w:color w:val="1F5F99"/>
        </w:rPr>
        <w:t xml:space="preserve">6. </w:t>
      </w:r>
      <w:r>
        <w:t>Testing and migration requirements</w:t>
      </w:r>
    </w:p>
    <w:p>
      <w:pPr>
        <w:spacing w:after="60"/>
      </w:pPr>
      <w:r>
        <w:rPr>
          <w:b/>
          <w:color w:val="1F5F99"/>
        </w:rPr>
        <w:t xml:space="preserve">7. </w:t>
      </w:r>
      <w:r>
        <w:t>Definition of done</w:t>
      </w:r>
    </w:p>
    <w:p>
      <w:pPr>
        <w:pStyle w:val="Callout"/>
      </w:pPr>
      <w:r>
        <w:t>This map is static so it remains reliable in headless and browser previews.</w:t>
      </w:r>
    </w:p>
    <w:p>
      <w:pPr>
        <w:pStyle w:val="Heading1"/>
      </w:pPr>
      <w:r>
        <w:t>1. Mission and product target</w:t>
      </w:r>
    </w:p>
    <w:p>
      <w:r>
        <w:t>Codex must simplify NeuRev around the annotator’s immediate job while preserving the existing research platform. The normal product flow should become:</w:t>
      </w:r>
    </w:p>
    <w:p>
      <w:pPr>
        <w:jc w:val="center"/>
      </w:pPr>
      <w:r>
        <w:rPr>
          <w:rFonts w:ascii="Aptos Display" w:hAnsi="Aptos Display"/>
          <w:b/>
          <w:color w:val="1F7A7A"/>
          <w:sz w:val="34"/>
        </w:rPr>
        <w:t>DATASETS  →  ANNOTATE  →  RESULTS</w:t>
      </w:r>
    </w:p>
    <w:p>
      <w:r>
        <w:t>All pipeline construction, experiments, method comparison, LLM planning, raw parameter controls, and detector-development masks should remain available under a clearly separated Research Tools area.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6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7A7A"/>
                <w:sz w:val="21"/>
              </w:rPr>
              <w:t>Primary product principle</w:t>
            </w:r>
          </w:p>
          <w:p>
            <w:pPr>
              <w:spacing w:after="0"/>
            </w:pPr>
            <w:r>
              <w:rPr>
                <w:rFonts w:ascii="Aptos" w:hAnsi="Aptos"/>
                <w:color w:val="1D2733"/>
                <w:sz w:val="19"/>
              </w:rPr>
              <w:t>The annotator should not need to understand CFAR, processing backends, pipeline manifests, queue heuristics, or optimization settings to decide whether a candidate is a neuron.</w:t>
            </w:r>
          </w:p>
        </w:tc>
      </w:tr>
    </w:tbl>
    <w:p>
      <w:pPr>
        <w:spacing w:after="0"/>
      </w:pPr>
    </w:p>
    <w:p>
      <w:pPr>
        <w:pStyle w:val="Heading1"/>
      </w:pPr>
      <w:r>
        <w:t>2. Repository diagnosis</w:t>
      </w:r>
    </w:p>
    <w:p>
      <w:pPr>
        <w:pStyle w:val="Heading2"/>
      </w:pPr>
      <w:r>
        <w:t>2.1 Preserve these strengths</w:t>
      </w:r>
    </w:p>
    <w:p>
      <w:pPr>
        <w:pStyle w:val="CompactBullet"/>
      </w:pPr>
      <w:r>
        <w:t>Local-first, file-based scientific artifacts and explicit manifests.</w:t>
      </w:r>
    </w:p>
    <w:p>
      <w:pPr>
        <w:pStyle w:val="CompactBullet"/>
      </w:pPr>
      <w:r>
        <w:t>Atomic annotation saves, browser recovery, undo, and run-scoped annotations.</w:t>
      </w:r>
    </w:p>
    <w:p>
      <w:pPr>
        <w:pStyle w:val="CompactBullet"/>
      </w:pPr>
      <w:r>
        <w:t>Manual center/circle/lasso ROIs, shape editing, trace materialization, split/merge records, and reviewer provenance.</w:t>
      </w:r>
    </w:p>
    <w:p>
      <w:pPr>
        <w:pStyle w:val="CompactBullet"/>
      </w:pPr>
      <w:r>
        <w:t>Dataset catalog shared by CLI, workbench, server, and LLM tooling.</w:t>
      </w:r>
    </w:p>
    <w:p>
      <w:pPr>
        <w:pStyle w:val="CompactBullet"/>
      </w:pPr>
      <w:r>
        <w:t>TIFF/NPY support, chunked TIFF iteration, NPY memory mapping, and eager-load safety guards.</w:t>
      </w:r>
    </w:p>
    <w:p>
      <w:pPr>
        <w:pStyle w:val="CompactBullet"/>
      </w:pPr>
      <w:r>
        <w:t>Existing method comparison, experiment planning, and reporting capabilities.</w:t>
      </w:r>
    </w:p>
    <w:p>
      <w:pPr>
        <w:pStyle w:val="CompactBullet"/>
      </w:pPr>
      <w:r>
        <w:t>Backward compatibility with generated apps and archived Outputs.</w:t>
      </w:r>
    </w:p>
    <w:p>
      <w:pPr>
        <w:pStyle w:val="Heading2"/>
      </w:pPr>
      <w:r>
        <w:t>2.2 Current product and code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Data intake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Manifest/CLI based; no real browser upload or local-file registration flow.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Navigation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Annotator and researcher workflows share seven top-level pages.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Modes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Guided/Standard/Expert, Guided/Explore, and workflow presets overlap and can conflict.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Review density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Too many queue, mask, parameter, export, and detector controls compete with the core decision.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Execution truth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Some selectable stages are import-only, planned, or manifest-only; python_gpu is not a full review backend.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Scientific metadata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Fallbacks can imply GCaMP/light-sheet calcium, 5 Hz, and 0.5 µm/px when unknown.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Job durability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Generation jobs are in-memory and disappear after server restart.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Large data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Chunking exists, but QC and some generic stages still eagerly materialize complete arrays.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Benchmark support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No first-class exhaustive tile/task contract exists.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Maintainability</w:t>
            </w:r>
          </w:p>
        </w:tc>
        <w:tc>
          <w:tcPr>
            <w:tcW w:type="dxa" w:w="77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Review JS, CSS, generated bundles, and Gamma preparation scripts remain oversized.</w:t>
            </w:r>
          </w:p>
        </w:tc>
      </w:tr>
    </w:tbl>
    <w:p/>
    <w:p>
      <w:pPr>
        <w:pStyle w:val="Heading1"/>
      </w:pPr>
      <w:r>
        <w:t>3. Non-negotiable constraints</w:t>
      </w:r>
    </w:p>
    <w:p>
      <w:pPr>
        <w:pStyle w:val="CompactBullet"/>
      </w:pPr>
      <w:r>
        <w:t>Do not rewrite NeuRev from scratch.</w:t>
      </w:r>
    </w:p>
    <w:p>
      <w:pPr>
        <w:pStyle w:val="CompactBullet"/>
      </w:pPr>
      <w:r>
        <w:t>Do not delete, bulk-rebuild, or silently mutate historical Outputs.</w:t>
      </w:r>
    </w:p>
    <w:p>
      <w:pPr>
        <w:pStyle w:val="CompactBullet"/>
      </w:pPr>
      <w:r>
        <w:t>Do not change the scientific meaning of existing annotations.</w:t>
      </w:r>
    </w:p>
    <w:p>
      <w:pPr>
        <w:pStyle w:val="CompactBullet"/>
      </w:pPr>
      <w:r>
        <w:t>Do not fabricate modality, indicator, frame rate, pixel size, fish identity, session identity, or acquisition metadata.</w:t>
      </w:r>
    </w:p>
    <w:p>
      <w:pPr>
        <w:pStyle w:val="CompactBullet"/>
      </w:pPr>
      <w:r>
        <w:t>Unknown metadata must remain unknown until explicitly resolved.</w:t>
      </w:r>
    </w:p>
    <w:p>
      <w:pPr>
        <w:pStyle w:val="CompactBullet"/>
      </w:pPr>
      <w:r>
        <w:t>Do not expose an option as executable unless the installed environment can execute it end-to-end.</w:t>
      </w:r>
    </w:p>
    <w:p>
      <w:pPr>
        <w:pStyle w:val="CompactBullet"/>
      </w:pPr>
      <w:r>
        <w:t>Do not combine usability refactors with detector retraining or the stopped Grid128 sweep.</w:t>
      </w:r>
    </w:p>
    <w:p>
      <w:pPr>
        <w:pStyle w:val="CompactBullet"/>
      </w:pPr>
      <w:r>
        <w:t>Every migration must preserve current annotations, architecture-run catalogs, and dataset identity.</w:t>
      </w:r>
    </w:p>
    <w:p>
      <w:pPr>
        <w:pStyle w:val="CompactBullet"/>
      </w:pPr>
      <w:r>
        <w:t>Normal annotation must remain usable without a GPU, Optuna, or pipeline-catalog knowledge.</w:t>
      </w:r>
    </w:p>
    <w:p>
      <w:pPr>
        <w:pStyle w:val="Heading1"/>
      </w:pPr>
      <w:r>
        <w:t>4. Implementation waves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Wave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Theme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Wave 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Baseline lock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Capture fixtures, app versions, screenshots, hashes, and focused tests before changing behavior.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Wave 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Annotation-first interface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Create Datasets / Annotate / Results, one task mode, contextual tools, reduced queues, and one export flow.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Wave 2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Plug-and-play ingestion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Add streamed upload, local-file registration, metadata inspection, QC, label-table import, and durable import jobs.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Wave 3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Truthful execution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Align capability states with actual runners/importers; persist jobs; remove misleading defaults and backend choices.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Wave 4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Benchmark task support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Add exhaustive tile tasks, coverage modes, reviewer assignment, adjudication, and benchmark exports.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Wave 5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Scalability and refactor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Split large JS/CSS/scripts, standardize media generation, lazy-load data, and keep dense artifacts opt-in.</w:t>
            </w:r>
          </w:p>
        </w:tc>
      </w:tr>
    </w:tbl>
    <w:p/>
    <w:p>
      <w:pPr>
        <w:pStyle w:val="Heading1"/>
      </w:pPr>
      <w:r>
        <w:t>5. Detailed backlog</w:t>
      </w:r>
    </w:p>
    <w:p>
      <w:pPr>
        <w:pStyle w:val="Heading2"/>
      </w:pPr>
      <w:r>
        <w:t>5.1 Wave 0 - baseline and migration lock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CX-000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Create regression fixtures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Select representative baseline apps: Spon Ca Burst, resting calcium, one generated run, one manual ROI dataset, and one multi-video catalog. Record annotation/run hashes and screenshots.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 scripted audit confirms no migration changes scientific labels, active run identity, dimensions, frame rate, or run catalogs.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CX-001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Define UI migration contract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Document old settings-to-new-task mappings for uiMode, reviewMode, workflow preset, queues, overlays, and active run.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Opening an old app produces a deterministic task state with no hidden scientific data.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CX-002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Add capability contract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Define shared states: ready, import_only, planned, blocked, unavailable.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CLI, API, catalog, builder, and UI render the same state for every method.</w:t>
            </w:r>
          </w:p>
        </w:tc>
      </w:tr>
    </w:tbl>
    <w:p/>
    <w:p>
      <w:pPr>
        <w:pStyle w:val="Heading2"/>
      </w:pPr>
      <w:r>
        <w:t>5.2 Wave 1 - annotation-first interface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CX-100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Replace primary navigation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Normal mode shows Datasets, Annotate, Results. Move Data, Pipelines, Experiment Lab, diagnostics, and LLM planning under Research Tools.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 first-time annotator reaches the next candidate in one click and never sees pipeline or experiment controls unless Research Tools is opened.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CX-101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Unify interaction state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Replace uiMode + reviewMode + duplicate workflow presets with one annotation_task and a separate research_tools_enabled preference.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No contradictory default exists; old settings migrate deterministically.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CX-102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Create task-specific layouts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Implement neuron validation, missed-neuron search, event validation, artifact/shape resolution, exhaustive tile, and signal/background layouts.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Only fields and tools relevant to the active task are visible.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CX-103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Reduce the core decision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Default neuron task presents Neuron, Not neuron, Unsure, optional reason/note, and Save + Next. Preserve shortcuts.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Routine labeling works without opening disclosures or selecting a queue.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CX-104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Contextualize editing tools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Hide ROI drawing/editing until Add missed neuron or Edit shape. Hide CFAR tools outside detector-development tasks.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Annotation dock no longer occupies persistent space during routine validation.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CX-105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Simplify queues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Normal choices: Next, Needs attention, Reviewed, All. Keep specialized queues in Research Tools.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Existing queue logic remains available but absent from normal annotation.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CX-106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Merge Progress and Report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Create Results page with coverage, remaining work, provenance, disagreement, exports, and method summary.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Normal navigation contains no separate Progress and Report pages.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CX-107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Consolidate exports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One Export dialog: project, ROI table, event table, benchmark truth set, lab handoff.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All existing export formats remain reachable.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CX-108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before="0" w:line="240" w:lineRule="auto"/>
            </w:pPr>
            <w:r>
              <w:rPr>
                <w:color w:val="1F5F99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P2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Standardize naming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Use NeuRev for user-visible product copy; retain neurobench for package/CLI where migration cost warrants it.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User-visible names are consistent.</w:t>
            </w:r>
          </w:p>
        </w:tc>
      </w:tr>
    </w:tbl>
    <w:p/>
    <w:p>
      <w:pPr>
        <w:pStyle w:val="Heading2"/>
      </w:pPr>
      <w:r>
        <w:t>5.3 Wave 2 - plug-and-play ingestion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CX-200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Add dataset import model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Create schema/model with source mode, original name, destination, checksum, bytes, state, metadata, warnings, and generated artifacts.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Every import has an immutable record and collision-safe dataset ID.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CX-201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Implement streamed upload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>
              <w:t>Support .tif/.tiff, NPY, CSV/TSV/XLSX, and NeuRev JSON. Stream to .partial under Inputs/&lt;dataset_id&gt;/, validate, checksum, and atomically rename.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Large upload avoids JSON memory, cannot escape allowed roots, and fails with a durable record.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CX-202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Implement local-file registration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Register an existing path without copying; validate it under configured allowed roots.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 multi-gigabyte local file becomes a dataset without re-upload.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CX-203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Create New Dataset wizard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Upload/register, inspect metadata, request unresolved fields, preview frames, run bounded QC, choose recipe, confirm.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 TIFF becomes annotatable without terminal commands or hand-authored JSON.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CX-204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Remove fabricated defaults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Use unknown modality/indicator/localization/polarity/frame rate/pixel size until provided or read from metadata.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Generated artifacts never imply GCaMP, calcium, 5 Hz, or 0.5 µm/px without evidence.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CX-205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Add generic label-table importer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CSV/TSV/XLSX mapping for IDs, X/Y, start/end, frame indexing, coordinate system, confidence. Reuse manual workbook logic.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Overlay preview is confirmed before import; warnings are preserved; rows are never silently discarded.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CX-206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Add dataset lifecycle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Show Uploaded → Metadata needed → QC ready → Processing → Ready → Annotation in progress → Complete.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Every dataset card reports a truthful state and next action.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CX-207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before="0" w:line="240" w:lineRule="auto"/>
            </w:pPr>
            <w:r>
              <w:rPr>
                <w:color w:val="1F5F99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P2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Add adapter interface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Prepare OME-TIFF, NWB, HDF5, DANDI, and ZIP/folder adapters without forcing them into first release.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New formats can be added without changing annotation contracts.</w:t>
            </w:r>
          </w:p>
        </w:tc>
      </w:tr>
    </w:tbl>
    <w:p/>
    <w:p>
      <w:pPr>
        <w:pStyle w:val="Heading2"/>
      </w:pPr>
      <w:r>
        <w:t>5.4 Wave 3 - truthful execution and durable jobs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CX-300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Persist all jobs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Write job.json, progress.json, and log.txt for import, QC, conversion, processing, generation, and trace materialization. Rehydrate at startup.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Restart does not erase job state or completed work.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CX-301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Remove misleading backend controls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Normal annotation has one default processing action. Research Tools shows environment-aware implementations and imports.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python_gpu is not presented as a full review backend while it falls through to Fiji/Groovy.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CX-302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Align review-app stage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Make generate_neuron_review_app build the app or rename it to an explicit planning/manifest stage.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No Ready stage completes as manifest_only unless its name states that behavior.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CX-303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Filter stages by capability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Normal UI lists Ready recipes only. Research Tools may show import-only/planned stages disabled with explanations.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 user cannot launch a known-nonexecuting plan from the standard flow.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CX-304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Add preflight summaries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Show source, dimensions, frames, memory/disk estimate, dependencies, output root, metadata warnings.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Blocking conditions appear before work starts.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CX-305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Separate recipe from parameters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Offer default recipes by modality/task; raw parameters remain in Research Tools.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Annotator chooses a goal, not a stage stack.</w:t>
            </w:r>
          </w:p>
        </w:tc>
      </w:tr>
    </w:tbl>
    <w:p/>
    <w:p>
      <w:pPr>
        <w:pStyle w:val="Heading2"/>
      </w:pPr>
      <w:r>
        <w:t>5.5 Wave 4 - benchmark and adjudication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CX-400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Add annotation-task schema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Define spatial bounds, frame interval, task type, coverage mode, dataset/fish/session, reviewer assignment, status, confidence, adjudication.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Tasks support exhaustive, candidate_review, and sparse_positive coverage.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CX-401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CE8E8"/>
          </w:tcPr>
          <w:p>
            <w:pPr>
              <w:spacing w:after="0" w:before="0" w:line="240" w:lineRule="auto"/>
            </w:pPr>
            <w:r>
              <w:rPr>
                <w:color w:val="9E2A2B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P0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Build exhaustive tile workflow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Bounded tile playback, all neuron/event/artifact annotations, completion checklist, explicit coverage declaration.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Completed exhaustive tiles can support precision and false-positive metrics.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CX-402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t>Reviewer workflow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Primary/secondary queues, disagreement summaries, adjudicator decision, provenance-preserving resolution.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No original reviewer judgment is overwritten.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CX-403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Add morphology regions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Create active_annulus, soma_extent, inner_region, outer_background distinct from CFAR masks.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Morphology labels support annular/source-separation work without overloading cfar_regions.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CX-404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Export benchmark truth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Write coverage manifest, identities/footprints, event windows, artifacts, reviewer data, held-out grouping.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Export supports object/event PR, AP, FROC, calibration, and subgroup evaluation.</w:t>
            </w:r>
          </w:p>
        </w:tc>
      </w:tr>
    </w:tbl>
    <w:p/>
    <w:p>
      <w:pPr>
        <w:pStyle w:val="Heading2"/>
      </w:pPr>
      <w:r>
        <w:t>5.6 Wave 5 - scalability and maintainability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CX-500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Split Review JavaScript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Separate state/task routing, canvas geometry, ROI editing, traces/events, queues, exports, migration into tested modules.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No source module remains a multi-thousand-line cross-domain bottleneck.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CX-501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Split CSS source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Create ordered CSS modules and retain generated bundle compatibility.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Review, dataset, results, and research surfaces change independently.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CX-502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Create lightweight bootstrap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Stop embedding trace-heavy review data and full stage catalog in HTML; load manifests, ROIs, traces, research metadata on demand.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App opens quickly; traces remain lazy-loaded.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CX-503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Unify media generation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Extract frame rendering, normalization, PNG sequence, and MP4 encoding into neurobench.media.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Duplicate encoders/renderers are removed without changing outputs.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CX-504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before="0" w:line="240" w:lineRule="auto"/>
            </w:pPr>
            <w:r>
              <w:rPr>
                <w:color w:val="1F5F99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P2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Split Gamma preparation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Move dataset, specs, runners, summaries, attachment into package modules; retain compatibility CLI.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Existing commands continue to work.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CX-505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Make QC chunked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Compute sampled/chunked TIFF QC and avoid eager full-stack reads by default.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Large TIFF QC respects memory limits and reports sampling coverage.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D2733"/>
                <w:sz w:val="16"/>
              </w:rPr>
              <w:t>CX-506</w:t>
            </w:r>
          </w:p>
        </w:tc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3DC"/>
          </w:tcPr>
          <w:p>
            <w:pPr>
              <w:spacing w:after="0" w:before="0" w:line="240" w:lineRule="auto"/>
            </w:pPr>
            <w:r>
              <w:rPr>
                <w:color w:val="A35D00"/>
              </w:rPr>
            </w:r>
            <w:r>
              <w:rPr>
                <w:rFonts w:ascii="Aptos" w:hAnsi="Aptos"/>
                <w:b w:val="0"/>
                <w:color w:val="1D2733"/>
                <w:sz w:val="16"/>
              </w:rPr>
              <w:t>P1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Make dense outputs opt-in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Default to projections, sparse masks, traces, metrics, clips; Research Tools can request full stacks.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6"/>
              </w:rPr>
              <w:t>Routine workflows do not multiply unused dense artifacts.</w:t>
            </w:r>
          </w:p>
        </w:tc>
      </w:tr>
    </w:tbl>
    <w:p/>
    <w:p>
      <w:pPr>
        <w:pStyle w:val="Heading2"/>
      </w:pPr>
      <w:r>
        <w:t>5.7 Parallelization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Stream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Tasks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324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Constraint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Interface and migration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CX-100–108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Start after Wave 0 fixtures.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B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Import backend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CX-200–207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Can proceed beside A after capability contract.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Durable jobs/execution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CX-300–305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Shares API models with B.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Benchmark task model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CX-400–404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Schema/tests can begin early; UI follows A.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Structural refactors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CX-500–506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D2733"/>
                <w:sz w:val="17"/>
              </w:rPr>
              <w:t>Begin only after behavior fixtures stabilize.</w:t>
            </w:r>
          </w:p>
        </w:tc>
      </w:tr>
    </w:tbl>
    <w:p/>
    <w:p>
      <w:pPr>
        <w:pStyle w:val="Heading1"/>
      </w:pPr>
      <w:r>
        <w:t>6. Testing and migration requirements</w:t>
      </w:r>
    </w:p>
    <w:p>
      <w:pPr>
        <w:pStyle w:val="Heading2"/>
      </w:pPr>
      <w:r>
        <w:t>6.1 Required automated tests</w:t>
      </w:r>
    </w:p>
    <w:p>
      <w:pPr>
        <w:pStyle w:val="CompactBullet"/>
      </w:pPr>
      <w:r>
        <w:t>Old annotation files migrate without changing ROI, event, suggestion, virtual ROI, split/merge, reviewer, or run-scoped scientific fields.</w:t>
      </w:r>
    </w:p>
    <w:p>
      <w:pPr>
        <w:pStyle w:val="CompactBullet"/>
      </w:pPr>
      <w:r>
        <w:t>Upload path traversal, oversized request, partial cleanup, checksum mismatch, duplicate ID, and interrupted upload tests.</w:t>
      </w:r>
    </w:p>
    <w:p>
      <w:pPr>
        <w:pStyle w:val="CompactBullet"/>
      </w:pPr>
      <w:r>
        <w:t>Local registration refuses disallowed roots and unresolved paths.</w:t>
      </w:r>
    </w:p>
    <w:p>
      <w:pPr>
        <w:pStyle w:val="CompactBullet"/>
      </w:pPr>
      <w:r>
        <w:t>Unknown metadata remains unknown through import, processing, catalog, report, and export.</w:t>
      </w:r>
    </w:p>
    <w:p>
      <w:pPr>
        <w:pStyle w:val="CompactBullet"/>
      </w:pPr>
      <w:r>
        <w:t>Capability state is identical in API, catalog, builder, and displayed recipe.</w:t>
      </w:r>
    </w:p>
    <w:p>
      <w:pPr>
        <w:pStyle w:val="CompactBullet"/>
      </w:pPr>
      <w:r>
        <w:t>Restart rehydrates queued, running, failed, stopped, and completed jobs.</w:t>
      </w:r>
    </w:p>
    <w:p>
      <w:pPr>
        <w:pStyle w:val="CompactBullet"/>
      </w:pPr>
      <w:r>
        <w:t>Task-specific visibility tests prevent advanced tools from appearing in normal neuron validation.</w:t>
      </w:r>
    </w:p>
    <w:p>
      <w:pPr>
        <w:pStyle w:val="CompactBullet"/>
      </w:pPr>
      <w:r>
        <w:t>Browser test: upload → metadata → QC → process → annotate → export.</w:t>
      </w:r>
    </w:p>
    <w:p>
      <w:pPr>
        <w:pStyle w:val="CompactBullet"/>
      </w:pPr>
      <w:r>
        <w:t>Exhaustive tile completion requires coverage declaration and required review fields.</w:t>
      </w:r>
    </w:p>
    <w:p>
      <w:pPr>
        <w:pStyle w:val="CompactBullet"/>
      </w:pPr>
      <w:r>
        <w:t>Historical generated-app assets remain pinned until explicitly rebuilt.</w:t>
      </w:r>
    </w:p>
    <w:p>
      <w:pPr>
        <w:pStyle w:val="Heading2"/>
      </w:pPr>
      <w:r>
        <w:t>6.2 Required manual checks</w:t>
      </w:r>
    </w:p>
    <w:p>
      <w:pPr>
        <w:pStyle w:val="CompactBullet"/>
      </w:pPr>
      <w:r>
        <w:t>Annotate at least 20 candidates using only normal mode; count clicks and accidental mode changes.</w:t>
      </w:r>
    </w:p>
    <w:p>
      <w:pPr>
        <w:pStyle w:val="CompactBullet"/>
      </w:pPr>
      <w:r>
        <w:t>Upload one small TIFF, register one large TIFF, and import one XLSX label file.</w:t>
      </w:r>
    </w:p>
    <w:p>
      <w:pPr>
        <w:pStyle w:val="CompactBullet"/>
      </w:pPr>
      <w:r>
        <w:t>Restart the server during upload and processing.</w:t>
      </w:r>
    </w:p>
    <w:p>
      <w:pPr>
        <w:pStyle w:val="CompactBullet"/>
      </w:pPr>
      <w:r>
        <w:t>Open archived Spon and resting-calcium apps and confirm annotation/run preservation.</w:t>
      </w:r>
    </w:p>
    <w:p>
      <w:pPr>
        <w:pStyle w:val="CompactBullet"/>
      </w:pPr>
      <w:r>
        <w:t>Confirm Research Tools retains current experiment, comparison, LLM, and export capabilities.</w:t>
      </w:r>
    </w:p>
    <w:p>
      <w:pPr>
        <w:pStyle w:val="CompactBullet"/>
      </w:pPr>
      <w:r>
        <w:t>Verify keyboard-only neuron and event review.</w:t>
      </w:r>
    </w:p>
    <w:p>
      <w:pPr>
        <w:pStyle w:val="Heading2"/>
      </w:pPr>
      <w:r>
        <w:t>6.3 Repository hygiene</w:t>
      </w:r>
    </w:p>
    <w:p>
      <w:pPr>
        <w:pStyle w:val="CompactBullet"/>
      </w:pPr>
      <w:r>
        <w:t>Use thin CLI wrappers and package-backed implementations.</w:t>
      </w:r>
    </w:p>
    <w:p>
      <w:pPr>
        <w:pStyle w:val="CompactBullet"/>
      </w:pPr>
      <w:r>
        <w:t>Do not edit generated workbench.js directly; rebuild from ordered sources.</w:t>
      </w:r>
    </w:p>
    <w:p>
      <w:pPr>
        <w:pStyle w:val="CompactBullet"/>
      </w:pPr>
      <w:r>
        <w:t>Keep compatibility aliases for existing commands and manifest fields.</w:t>
      </w:r>
    </w:p>
    <w:p>
      <w:pPr>
        <w:pStyle w:val="CompactBullet"/>
      </w:pPr>
      <w:r>
        <w:t>Write migration reports before modifying stored artifacts.</w:t>
      </w:r>
    </w:p>
    <w:p>
      <w:pPr>
        <w:pStyle w:val="CompactBullet"/>
      </w:pPr>
      <w:r>
        <w:t>Never delete archived evidence as part of a usability PR.</w:t>
      </w:r>
    </w:p>
    <w:p>
      <w:pPr>
        <w:pStyle w:val="CompactBullet"/>
      </w:pPr>
      <w:r>
        <w:t>Keep GPU and expensive integration tests opt-in; maintain a CPU-safe focused suite.</w:t>
      </w:r>
    </w:p>
    <w:p>
      <w:pPr>
        <w:pStyle w:val="Heading1"/>
      </w:pPr>
      <w:r>
        <w:t>7. Definition of done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A user uploads a TIFF or registers a local file without using the terminal.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NeuRev inspects metadata and asks only for unresolved scientific fields.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The dataset appears in a lifecycle-driven Datasets page.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The first annotation screen presents one task and a three-way decision.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Routine annotation exposes no pipeline, backend, sweep, Optuna, or CFAR parameter controls.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Missed neurons, event review, editing, and morphology tools appear contextually.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Upload and processing jobs survive server restart.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Every visible method is truthfully Ready, Import results, Planned, Blocked, or Unavailable.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Exhaustive benchmark tiles and reviewer adjudication are first-class artifacts.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All prior scientific annotations and archived run catalogs remain valid.</w:t>
      </w:r>
    </w:p>
    <w:p>
      <w:pPr>
        <w:pStyle w:val="CompactBullet"/>
      </w:pPr>
      <w:r>
        <w:rPr>
          <w:b/>
          <w:color w:val="1F7A7A"/>
        </w:rPr>
        <w:t xml:space="preserve">□ </w:t>
      </w:r>
      <w:r>
        <w:t>Research Tools retains the advanced platform without occupying the annotator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6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7A7A"/>
                <w:sz w:val="21"/>
              </w:rPr>
              <w:t>First release boundary</w:t>
            </w:r>
          </w:p>
          <w:p>
            <w:pPr>
              <w:spacing w:after="0"/>
            </w:pPr>
            <w:r>
              <w:rPr>
                <w:rFonts w:ascii="Aptos" w:hAnsi="Aptos"/>
                <w:color w:val="1D2733"/>
                <w:sz w:val="19"/>
              </w:rPr>
              <w:t>Ship Waves 0–2 as the first usability release. Do not wait for every research refactor. The initial success criterion is a terminal-free TIFF-to-annotation flow and a substantially simplified task screen.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864" w:left="979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color w:val="667085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1" w:color="D7DEE7"/>
      </w:pBdr>
    </w:pPr>
    <w:r/>
    <w:r>
      <w:rPr>
        <w:rFonts w:ascii="Aptos" w:hAnsi="Aptos"/>
        <w:b/>
        <w:color w:val="1F5F99"/>
        <w:sz w:val="16"/>
      </w:rPr>
      <w:t>NeuRev Codex Implementation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5F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7A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i/>
      <w:iCs/>
      <w:color w:val="5365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59" w:right="259"/>
    </w:pPr>
    <w:rPr>
      <w:rFonts w:ascii="Aptos" w:hAnsi="Aptos"/>
      <w:b/>
      <w:color w:val="16324F"/>
      <w:sz w:val="20"/>
    </w:rPr>
  </w:style>
  <w:style w:type="paragraph" w:customStyle="1" w:styleId="CompactBullet">
    <w:name w:val="Compact Bullet"/>
    <w:basedOn w:val="ListBullet"/>
    <w:pPr>
      <w:spacing w:after="50" w:line="245" w:lineRule="auto"/>
      <w:ind w:left="331" w:hanging="230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