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Multidimensional routine hematologic modeling for acute myocardial infarction phenotype discrimination in coronary artery disease: a single-center retrospective study</w:t>
      </w:r>
    </w:p>
    <w:p>
      <w:pPr>
        <w:jc w:val="center"/>
      </w:pPr>
      <w:r>
        <w:t>Jibulang Ainiwaer</w:t>
      </w:r>
      <w:r>
        <w:rPr>
          <w:vertAlign w:val="superscript"/>
        </w:rPr>
        <w:t>1</w:t>
      </w:r>
      <w:r>
        <w:t xml:space="preserve">, </w:t>
      </w:r>
      <w:r>
        <w:t>Mubareke Pidamaimati</w:t>
      </w:r>
      <w:r>
        <w:rPr>
          <w:vertAlign w:val="superscript"/>
        </w:rPr>
        <w:t>1</w:t>
      </w:r>
      <w:r>
        <w:t xml:space="preserve">, </w:t>
      </w:r>
      <w:r>
        <w:t>Qian Xie</w:t>
      </w:r>
      <w:r>
        <w:rPr>
          <w:vertAlign w:val="superscript"/>
        </w:rPr>
        <w:t>1</w:t>
      </w:r>
      <w:r>
        <w:t xml:space="preserve">, </w:t>
      </w:r>
      <w:r>
        <w:t>Qixing Pi</w:t>
      </w:r>
      <w:r>
        <w:rPr>
          <w:vertAlign w:val="superscript"/>
        </w:rPr>
        <w:t>1</w:t>
      </w:r>
      <w:r>
        <w:t xml:space="preserve">, </w:t>
      </w:r>
      <w:r>
        <w:t>Wei Ji</w:t>
      </w:r>
      <w:r>
        <w:rPr>
          <w:vertAlign w:val="superscript"/>
        </w:rPr>
        <w:t>1</w:t>
      </w:r>
      <w:r>
        <w:t xml:space="preserve">, </w:t>
      </w:r>
      <w:r>
        <w:t>Binbin Fang</w:t>
      </w:r>
      <w:r>
        <w:rPr>
          <w:vertAlign w:val="superscript"/>
        </w:rPr>
        <w:t>1</w:t>
      </w:r>
      <w:r>
        <w:t xml:space="preserve">, </w:t>
      </w:r>
      <w:r>
        <w:t>Fen Liu</w:t>
      </w:r>
      <w:r>
        <w:rPr>
          <w:vertAlign w:val="superscript"/>
        </w:rPr>
        <w:t>1</w:t>
      </w:r>
      <w:r>
        <w:t xml:space="preserve">, </w:t>
      </w:r>
      <w:r>
        <w:t>Long Zhao</w:t>
      </w:r>
      <w:r>
        <w:rPr>
          <w:vertAlign w:val="superscript"/>
        </w:rPr>
        <w:t>1</w:t>
      </w:r>
      <w:r>
        <w:t xml:space="preserve">, </w:t>
      </w:r>
      <w:r>
        <w:t>Xiaomei Li</w:t>
      </w:r>
      <w:r>
        <w:rPr>
          <w:vertAlign w:val="superscript"/>
        </w:rPr>
        <w:t>1,2*</w:t>
      </w:r>
      <w:r>
        <w:t xml:space="preserve">, </w:t>
      </w:r>
      <w:r>
        <w:t>Yining Yang</w:t>
      </w:r>
      <w:r>
        <w:rPr>
          <w:vertAlign w:val="superscript"/>
        </w:rPr>
        <w:t>3,4*</w:t>
      </w:r>
    </w:p>
    <w:p>
      <w:pPr>
        <w:jc w:val="center"/>
      </w:pPr>
      <w:r>
        <w:t>1 Department of Cardiology, The First Affiliated Hospital of Xinjiang Medical University, Urumqi 830054, Xinjiang, China.</w:t>
      </w:r>
    </w:p>
    <w:p>
      <w:pPr>
        <w:jc w:val="center"/>
      </w:pPr>
      <w:r>
        <w:t>2 Xinjiang Key Laboratory of Cardiovascular Disease Research, Clinical Medical Research Institute of First Affiliated Hospital of Xinjiang Medical University, Urumqi 830054, China.</w:t>
      </w:r>
    </w:p>
    <w:p>
      <w:pPr>
        <w:jc w:val="center"/>
      </w:pPr>
      <w:r>
        <w:t>3 Department of Cardiology, People's Hospital of Xinjiang Uygur Autonomous Region, Urumqi 830001, Xinjiang, China.</w:t>
      </w:r>
    </w:p>
    <w:p>
      <w:pPr>
        <w:jc w:val="center"/>
      </w:pPr>
      <w:r>
        <w:t>4 Xinjiang Key Laboratory of Cardiovascular Homeostasis and Regeneration Research, Urumqi, Xinjiang, China.</w:t>
      </w:r>
    </w:p>
    <w:p>
      <w:pPr>
        <w:jc w:val="center"/>
      </w:pPr>
      <w:r>
        <w:rPr>
          <w:b/>
        </w:rPr>
        <w:t xml:space="preserve">Corresponding authors: </w:t>
      </w:r>
      <w:r>
        <w:t>Xiaomei Li (primary corresponding author), lixm505@163.com; Yining Yang (co-corresponding author), yangyn5126@xjrmyy.com.</w:t>
      </w:r>
    </w:p>
    <w:p>
      <w:pPr>
        <w:pStyle w:val="Heading1"/>
      </w:pPr>
      <w:r>
        <w:t>Abstract</w:t>
      </w:r>
    </w:p>
    <w:p>
      <w:r>
        <w:rPr>
          <w:b/>
        </w:rPr>
        <w:t xml:space="preserve">Background: </w:t>
      </w:r>
      <w:r>
        <w:t>Acute myocardial infarction (AMI) is accompanied by inflammatory, platelet, coagulation, and erythrocyte responses. Routine complete blood count (CBC) measurements capture several of these changes but are often reduced to fixed ratios. We examined whether joint modeling of routine hematologic measurements could improve AMI phenotype discrimination beyond the pan-immune-inflammation value (PIV) in patients with coronary artery disease.</w:t>
      </w:r>
    </w:p>
    <w:p>
      <w:r>
        <w:rPr>
          <w:b/>
        </w:rPr>
        <w:t xml:space="preserve">Methods: This single-center retrospective study included 1,820 patients treated at the First Affiliated Hospital of Xinjiang Medical University from 1 January 2020 to 1 January 2026; 453 met the definite AMI definition. Core-7 combined neutrophil, lymphocyte, monocyte, platelet, mean platelet volume, red cell distribution width, and hemoglobin using elastic-net logistic regression. Performance was assessed by repeated five-fold cross-validation with preprocessing and tuning restricted to training data. PIV was the principal comparator, the Enhanced model added fibrinogen, and </w:t>
      </w:r>
      <w:r>
        <w:rPr>
          <w:b/>
        </w:rPr>
        <w:t xml:space="preserve">temporal sensitivity analysis used </w:t>
      </w:r>
      <w:r>
        <w:rPr>
          <w:b/>
          <w:highlight w:val="yellow"/>
        </w:rPr>
        <w:t>a s</w:t>
      </w:r>
      <w:r>
        <w:rPr>
          <w:b/>
        </w:rPr>
        <w:t>i</w:t>
      </w:r>
      <w:r>
        <w:rPr>
          <w:b/>
          <w:highlight w:val="yellow"/>
        </w:rPr>
        <w:t>x-m</w:t>
      </w:r>
      <w:r>
        <w:rPr>
          <w:b/>
        </w:rPr>
        <w:t>on</w:t>
      </w:r>
      <w:r>
        <w:rPr>
          <w:b/>
          <w:highlight w:val="yellow"/>
        </w:rPr>
        <w:t>th buffer b</w:t>
      </w:r>
      <w:r>
        <w:rPr>
          <w:b/>
        </w:rPr>
        <w:t>a</w:t>
      </w:r>
      <w:r>
        <w:rPr>
          <w:b/>
          <w:highlight w:val="yellow"/>
        </w:rPr>
        <w:t>sed on the</w:t>
      </w:r>
      <w:r>
        <w:rPr>
          <w:b/>
        </w:rPr>
        <w:t xml:space="preserve"> deidentified </w:t>
      </w:r>
      <w:r>
        <w:rPr>
          <w:b/>
          <w:highlight w:val="yellow"/>
        </w:rPr>
        <w:t xml:space="preserve">hospitalization/coronary-angiography </w:t>
      </w:r>
      <w:r>
        <w:rPr>
          <w:b/>
        </w:rPr>
        <w:t>date</w:t>
      </w:r>
      <w:r>
        <w:rPr>
          <w:b/>
        </w:rPr>
        <w:t xml:space="preserve"> </w:t>
      </w:r>
      <w:r>
        <w:rPr>
          <w:b/>
          <w:highlight w:val="yellow"/>
        </w:rPr>
        <w:t>ax</w:t>
      </w:r>
      <w:r>
        <w:rPr>
          <w:b/>
        </w:rPr>
        <w:t>i</w:t>
      </w:r>
      <w:r>
        <w:rPr>
          <w:b/>
        </w:rPr>
        <w:t>s.</w:t>
      </w:r>
    </w:p>
    <w:p>
      <w:r>
        <w:rPr>
          <w:b/>
        </w:rPr>
        <w:t xml:space="preserve">Results: PIV showed the highest discrimination among conventional inflammatory indices (area under the receiver operating characteristic curve [AUC] 0.708, 95% confidence interval [CI] 0.678-0.735). Core-7 achieved an AUC of 0.725 (95% CI 0.697-0.753), a modest improvement over PIV (ΔAUC 0.017, 95% CI 0.003-0.031). Enhanced achieved an AUC of 0.735 (95% CI 0.710-0.763) and improved on Core-7 by 0.010 (95% CI 0.003-0.017). In the </w:t>
      </w:r>
      <w:r>
        <w:rPr>
          <w:b/>
          <w:highlight w:val="yellow"/>
        </w:rPr>
        <w:t xml:space="preserve">later group of the </w:t>
      </w:r>
      <w:r>
        <w:rPr>
          <w:b/>
        </w:rPr>
        <w:t xml:space="preserve">temporal sensitivity </w:t>
      </w:r>
      <w:r>
        <w:rPr>
          <w:b/>
          <w:highlight w:val="yellow"/>
        </w:rPr>
        <w:t>analysis</w:t>
      </w:r>
      <w:r>
        <w:rPr>
          <w:b/>
        </w:rPr>
        <w:t xml:space="preserve">, Core-7 and PIV had similar </w:t>
      </w:r>
      <w:r>
        <w:rPr>
          <w:b/>
          <w:highlight w:val="yellow"/>
        </w:rPr>
        <w:t>AUC</w:t>
      </w:r>
      <w:r>
        <w:rPr>
          <w:b/>
        </w:rPr>
        <w:t xml:space="preserve">s </w:t>
      </w:r>
      <w:r>
        <w:rPr>
          <w:b/>
          <w:highlight w:val="yellow"/>
        </w:rPr>
        <w:t xml:space="preserve">(0.701 </w:t>
      </w:r>
      <w:r>
        <w:rPr>
          <w:b/>
        </w:rPr>
        <w:t>an</w:t>
      </w:r>
      <w:r>
        <w:rPr>
          <w:b/>
        </w:rPr>
        <w:t xml:space="preserve">d </w:t>
      </w:r>
      <w:r>
        <w:rPr>
          <w:b/>
          <w:highlight w:val="yellow"/>
        </w:rPr>
        <w:t>0.699;</w:t>
      </w:r>
      <w:r>
        <w:rPr>
          <w:b/>
        </w:rPr>
        <w:t xml:space="preserve"> </w:t>
      </w:r>
      <w:r>
        <w:rPr>
          <w:b/>
        </w:rPr>
        <w:t>ΔAUC 0.0</w:t>
      </w:r>
      <w:r>
        <w:rPr>
          <w:b/>
        </w:rPr>
        <w:t>02</w:t>
      </w:r>
      <w:r>
        <w:rPr>
          <w:b/>
        </w:rPr>
        <w:t>, 95% CI -0.0</w:t>
      </w:r>
      <w:r>
        <w:rPr>
          <w:b/>
          <w:highlight w:val="yellow"/>
        </w:rPr>
        <w:t xml:space="preserve">21 to </w:t>
      </w:r>
      <w:r>
        <w:rPr>
          <w:b/>
        </w:rPr>
        <w:t>0.0</w:t>
      </w:r>
      <w:r>
        <w:rPr>
          <w:b/>
          <w:highlight w:val="yellow"/>
        </w:rPr>
        <w:t>25</w:t>
      </w:r>
      <w:r>
        <w:rPr>
          <w:b/>
        </w:rPr>
        <w:t>)</w:t>
      </w:r>
      <w:r>
        <w:rPr>
          <w:b/>
          <w:highlight w:val="yellow"/>
        </w:rPr>
        <w:t>, and Enhanced had an AUC of 0</w:t>
      </w:r>
      <w:r>
        <w:rPr>
          <w:b/>
        </w:rPr>
        <w:t>.</w:t>
      </w:r>
      <w:r>
        <w:rPr>
          <w:b/>
          <w:highlight w:val="yellow"/>
        </w:rPr>
        <w:t>719; this analysis was not formal temporal validation.</w:t>
      </w:r>
    </w:p>
    <w:p>
      <w:r>
        <w:rPr>
          <w:b/>
        </w:rPr>
        <w:t xml:space="preserve">Conclusions: </w:t>
      </w:r>
      <w:r>
        <w:rPr>
          <w:b/>
          <w:highlight w:val="yellow"/>
        </w:rPr>
        <w:t>Joint mode</w:t>
      </w:r>
      <w:r>
        <w:rPr>
          <w:b/>
        </w:rPr>
        <w:t>l</w:t>
      </w:r>
      <w:r>
        <w:rPr>
          <w:b/>
        </w:rPr>
        <w:t>i</w:t>
      </w:r>
      <w:r>
        <w:rPr>
          <w:b/>
        </w:rPr>
        <w:t>n</w:t>
      </w:r>
      <w:r>
        <w:rPr>
          <w:b/>
          <w:highlight w:val="yellow"/>
        </w:rPr>
        <w:t xml:space="preserve">g </w:t>
      </w:r>
      <w:r>
        <w:rPr>
          <w:b/>
        </w:rPr>
        <w:t>o</w:t>
      </w:r>
      <w:r>
        <w:rPr>
          <w:b/>
          <w:highlight w:val="yellow"/>
        </w:rPr>
        <w:t>f</w:t>
      </w:r>
      <w:r>
        <w:rPr>
          <w:b/>
        </w:rPr>
        <w:t xml:space="preserve"> routine hematologic m</w:t>
      </w:r>
      <w:r>
        <w:rPr>
          <w:b/>
          <w:highlight w:val="yellow"/>
        </w:rPr>
        <w:t>easurements provided m</w:t>
      </w:r>
      <w:r>
        <w:rPr>
          <w:b/>
        </w:rPr>
        <w:t>ode</w:t>
      </w:r>
      <w:r>
        <w:rPr>
          <w:b/>
          <w:highlight w:val="yellow"/>
        </w:rPr>
        <w:t>st additiona</w:t>
      </w:r>
      <w:r>
        <w:rPr>
          <w:b/>
        </w:rPr>
        <w:t>l</w:t>
      </w:r>
      <w:r>
        <w:rPr>
          <w:b/>
        </w:rPr>
        <w:t xml:space="preserve"> information beyond a fixed inflammatory ratio in internal evaluation. Core-7 retained moderate discrimination in t</w:t>
      </w:r>
      <w:r>
        <w:rPr>
          <w:b/>
          <w:highlight w:val="yellow"/>
        </w:rPr>
        <w:t>he t</w:t>
      </w:r>
      <w:r>
        <w:rPr>
          <w:b/>
        </w:rPr>
        <w:t xml:space="preserve">emporal sensitivity analysis, although its incremental advantage over PIV attenuated. Fibrinogen </w:t>
      </w:r>
      <w:r>
        <w:rPr>
          <w:b/>
          <w:highlight w:val="yellow"/>
        </w:rPr>
        <w:t>pr</w:t>
      </w:r>
      <w:r>
        <w:rPr>
          <w:b/>
        </w:rPr>
        <w:t>o</w:t>
      </w:r>
      <w:r>
        <w:rPr>
          <w:b/>
          <w:highlight w:val="yellow"/>
        </w:rPr>
        <w:t xml:space="preserve">vided a </w:t>
      </w:r>
      <w:r>
        <w:rPr>
          <w:b/>
        </w:rPr>
        <w:t>s</w:t>
      </w:r>
      <w:r>
        <w:rPr>
          <w:b/>
          <w:highlight w:val="yellow"/>
        </w:rPr>
        <w:t>ma</w:t>
      </w:r>
      <w:r>
        <w:rPr>
          <w:b/>
        </w:rPr>
        <w:t>l</w:t>
      </w:r>
      <w:r>
        <w:rPr>
          <w:b/>
          <w:highlight w:val="yellow"/>
        </w:rPr>
        <w:t>l</w:t>
      </w:r>
      <w:r>
        <w:rPr>
          <w:b/>
        </w:rPr>
        <w:t xml:space="preserve"> add</w:t>
      </w:r>
      <w:r>
        <w:rPr>
          <w:b/>
          <w:highlight w:val="yellow"/>
        </w:rPr>
        <w:t>itional</w:t>
      </w:r>
      <w:r>
        <w:rPr>
          <w:b/>
        </w:rPr>
        <w:t xml:space="preserve"> in</w:t>
      </w:r>
      <w:r>
        <w:rPr>
          <w:b/>
          <w:highlight w:val="yellow"/>
        </w:rPr>
        <w:t>crement over C</w:t>
      </w:r>
      <w:r>
        <w:rPr>
          <w:b/>
        </w:rPr>
        <w:t>or</w:t>
      </w:r>
      <w:r>
        <w:rPr>
          <w:b/>
          <w:highlight w:val="yellow"/>
        </w:rPr>
        <w:t>e-7 in internal valid</w:t>
      </w:r>
      <w:r>
        <w:rPr>
          <w:b/>
        </w:rPr>
        <w:t>ation</w:t>
      </w:r>
      <w:r>
        <w:rPr>
          <w:b/>
        </w:rPr>
        <w:t>. Further independent, time-anchored evaluation is warranted</w:t>
      </w:r>
      <w:r>
        <w:rPr>
          <w:b/>
          <w:highlight w:val="yellow"/>
        </w:rPr>
        <w:t>;</w:t>
      </w:r>
      <w:r>
        <w:rPr>
          <w:b/>
        </w:rPr>
        <w:t xml:space="preserve"> </w:t>
      </w:r>
      <w:r>
        <w:rPr>
          <w:b/>
          <w:highlight w:val="yellow"/>
        </w:rPr>
        <w:t>these findings do not esta</w:t>
      </w:r>
      <w:r>
        <w:rPr>
          <w:b/>
        </w:rPr>
        <w:t>b</w:t>
      </w:r>
      <w:r>
        <w:rPr>
          <w:b/>
          <w:highlight w:val="yellow"/>
        </w:rPr>
        <w:t xml:space="preserve">lish diagnostic </w:t>
      </w:r>
      <w:r>
        <w:rPr>
          <w:b/>
        </w:rPr>
        <w:t>or</w:t>
      </w:r>
      <w:r>
        <w:rPr>
          <w:b/>
          <w:highlight w:val="yellow"/>
        </w:rPr>
        <w:t xml:space="preserve"> triag</w:t>
      </w:r>
      <w:r>
        <w:rPr>
          <w:b/>
        </w:rPr>
        <w:t xml:space="preserve">e </w:t>
      </w:r>
      <w:r>
        <w:rPr>
          <w:b/>
          <w:highlight w:val="yellow"/>
        </w:rPr>
        <w:t>read</w:t>
      </w:r>
      <w:r>
        <w:rPr>
          <w:b/>
        </w:rPr>
        <w:t>in</w:t>
      </w:r>
      <w:r>
        <w:rPr>
          <w:b/>
        </w:rPr>
        <w:t>e</w:t>
      </w:r>
      <w:r>
        <w:rPr>
          <w:b/>
          <w:highlight w:val="yellow"/>
        </w:rPr>
        <w:t>ss</w:t>
      </w:r>
      <w:r>
        <w:rPr>
          <w:b/>
        </w:rPr>
        <w:t>.</w:t>
      </w:r>
    </w:p>
    <w:p>
      <w:r>
        <w:rPr>
          <w:i w:val="0"/>
        </w:rPr>
        <w:t>Keywords: acute myocardial infarction; coronary artery disease; complete blood count; hematologic biomarkers; fibrinogen; internal validation; calibration</w:t>
      </w:r>
    </w:p>
    <w:p>
      <w:pPr>
        <w:pStyle w:val="Heading1"/>
      </w:pPr>
      <w:r>
        <w:t>Background</w:t>
      </w:r>
    </w:p>
    <w:p>
      <w:r>
        <w:rPr>
          <w:i w:val="0"/>
        </w:rPr>
        <w:t>Acute myocardial infarction (AMI) in patients with coronary artery disease (CAD) reflects the interaction of plaque inflammation, thrombosis, platelet activation, myocardial injury, and systemic stress [1,2]. These processes are accompanied by coordinated changes in circulating blood cells and coagulation proteins. Neutrophilia and lymphocyte depletion may accompany acute inflammatory and neurohumoral stress responses, monocytes participate in plaque inflammation and subsequent immune activation, and platelet turnover and activation can alter both platelet count and mean platelet volume (MPV) [1,3-14]. Erythrocyte indices such as red cell distribution width (RDW) and hemoglobin may reflect erythropoietic stress, systemic inflammation, comorbidity, and oxygen-delivery reserve, while fibrinogen links the acute-phase response with thrombosis [15-17]. Because these complete blood count (CBC) and coagulation measurements are obtained routinely in cardiovascular care, they provide a clinically accessible window into several biological processes relevant to AMI.</w:t>
      </w:r>
    </w:p>
    <w:p>
      <w:r>
        <w:rPr>
          <w:i w:val="0"/>
        </w:rPr>
        <w:t>Previous studies have mainly evaluated hematologic inflammation through derived indices such as the neutrophil-to-lymphocyte ratio (NLR), platelet-to-lymphocyte ratio (PLR), systemic immune-inflammation index (SII), systemic inflammation response index (SIRI), and pan-immune-inflammation value (PIV) [3-12]. These indices are inexpensive and easy to calculate, but each applies a fixed mathematical weighting to a limited set of cell counts. Other routinely available measurements, including MPV, RDW, and hemoglobin, are therefore often considered separately even though they may provide complementary information about the acute coronary state [13-16].</w:t>
      </w:r>
    </w:p>
    <w:p>
      <w:r>
        <w:rPr>
          <w:i w:val="0"/>
        </w:rPr>
        <w:t>We hypothesized that evaluating these measurements together would better represent the multidimensional hematologic response accompanying AMI than a single predefined ratio. The Core-7 model was therefore built around three clinically recognizable components: leukocyte-related inflammatory responses (neutrophils, lymphocytes, and monocytes), platelet-related features (platelet count and MPV), and erythrocyte-related features (RDW and hemoglobin). Fibrinogen was examined separately as an additional coagulation and acute-phase marker [13-17]. This biologically informed grouping provided the rationale for joint modeling rather than simply selecting variables from the available laboratory database.</w:t>
      </w:r>
    </w:p>
    <w:p>
      <w:r>
        <w:rPr>
          <w:i w:val="0"/>
        </w:rPr>
        <w:t>Accordingly, we developed and internally evaluated a multidimensional routine hematologic model for discrimination of an AMI phenotype among patients with coronary artery disease. We compared the CBC-only Core-7 model with established inflammatory indices, particularly PIV, and examined whether the addition of fibrinogen provided further information. Prespecified diagnostic and temporal sensitivity analyses were used to assess the robustness of the observed associations.</w:t>
      </w:r>
    </w:p>
    <w:p>
      <w:pPr>
        <w:pStyle w:val="Heading1"/>
      </w:pPr>
      <w:r>
        <w:t>Methods</w:t>
      </w:r>
    </w:p>
    <w:p>
      <w:pPr>
        <w:pStyle w:val="Heading2"/>
      </w:pPr>
      <w:r>
        <w:t>Study design and setting</w:t>
      </w:r>
    </w:p>
    <w:p>
      <w:r>
        <w:rPr>
          <w:i w:val="0"/>
        </w:rPr>
        <w:t xml:space="preserve">This was a single-center retrospective observational study conducted in the Department of Cardiology, The First Affiliated Hospital of Xinjiang Medical University, Urumqi, Xinjiang, China, using records from Coronary Heart Disease Unit I. The study period was 1 January 2020 to 1 January 2026, and the source population comprised patients who underwent coronary angiography during this period. </w:t>
      </w:r>
      <w:r>
        <w:rPr>
          <w:i w:val="0"/>
          <w:highlight w:val="yellow"/>
        </w:rPr>
        <w:t>B</w:t>
      </w:r>
      <w:r>
        <w:rPr>
          <w:i w:val="0"/>
        </w:rPr>
        <w:t>e</w:t>
      </w:r>
      <w:r>
        <w:rPr>
          <w:i w:val="0"/>
        </w:rPr>
        <w:t>ca</w:t>
      </w:r>
      <w:r>
        <w:rPr>
          <w:i w:val="0"/>
          <w:highlight w:val="yellow"/>
        </w:rPr>
        <w:t>u</w:t>
      </w:r>
      <w:r>
        <w:rPr>
          <w:i w:val="0"/>
        </w:rPr>
        <w:t>se</w:t>
      </w:r>
      <w:r>
        <w:rPr>
          <w:i w:val="0"/>
        </w:rPr>
        <w:t xml:space="preserve"> a </w:t>
      </w:r>
      <w:r>
        <w:rPr>
          <w:i w:val="0"/>
          <w:highlight w:val="yellow"/>
        </w:rPr>
        <w:t>c</w:t>
      </w:r>
      <w:r>
        <w:rPr>
          <w:i w:val="0"/>
        </w:rPr>
        <w:t>om</w:t>
      </w:r>
      <w:r>
        <w:rPr>
          <w:i w:val="0"/>
          <w:highlight w:val="yellow"/>
        </w:rPr>
        <w:t>pl</w:t>
      </w:r>
      <w:r>
        <w:rPr>
          <w:i w:val="0"/>
        </w:rPr>
        <w:t>e</w:t>
      </w:r>
      <w:r>
        <w:rPr>
          <w:i w:val="0"/>
          <w:highlight w:val="yellow"/>
        </w:rPr>
        <w:t>t</w:t>
      </w:r>
      <w:r>
        <w:rPr>
          <w:i w:val="0"/>
        </w:rPr>
        <w:t xml:space="preserve">e </w:t>
      </w:r>
      <w:r>
        <w:rPr>
          <w:i w:val="0"/>
          <w:highlight w:val="yellow"/>
        </w:rPr>
        <w:t>el</w:t>
      </w:r>
      <w:r>
        <w:rPr>
          <w:i w:val="0"/>
        </w:rPr>
        <w:t>i</w:t>
      </w:r>
      <w:r>
        <w:rPr>
          <w:i w:val="0"/>
          <w:highlight w:val="yellow"/>
        </w:rPr>
        <w:t>g</w:t>
      </w:r>
      <w:r>
        <w:rPr>
          <w:i w:val="0"/>
        </w:rPr>
        <w:t>i</w:t>
      </w:r>
      <w:r>
        <w:rPr>
          <w:i w:val="0"/>
          <w:highlight w:val="yellow"/>
        </w:rPr>
        <w:t>b</w:t>
      </w:r>
      <w:r>
        <w:rPr>
          <w:i w:val="0"/>
        </w:rPr>
        <w:t>le</w:t>
      </w:r>
      <w:r>
        <w:rPr>
          <w:i w:val="0"/>
          <w:highlight w:val="yellow"/>
        </w:rPr>
        <w:t>-</w:t>
      </w:r>
      <w:r>
        <w:rPr>
          <w:i w:val="0"/>
        </w:rPr>
        <w:t xml:space="preserve">patient </w:t>
      </w:r>
      <w:r>
        <w:rPr>
          <w:i w:val="0"/>
          <w:highlight w:val="yellow"/>
        </w:rPr>
        <w:t>sc</w:t>
      </w:r>
      <w:r>
        <w:rPr>
          <w:i w:val="0"/>
        </w:rPr>
        <w:t>re</w:t>
      </w:r>
      <w:r>
        <w:rPr>
          <w:i w:val="0"/>
          <w:highlight w:val="yellow"/>
        </w:rPr>
        <w:t>ening</w:t>
      </w:r>
      <w:r>
        <w:rPr>
          <w:i w:val="0"/>
        </w:rPr>
        <w:t xml:space="preserve"> </w:t>
      </w:r>
      <w:r>
        <w:rPr>
          <w:i w:val="0"/>
          <w:highlight w:val="yellow"/>
        </w:rPr>
        <w:t>log was unavailabl</w:t>
      </w:r>
      <w:r>
        <w:rPr>
          <w:i w:val="0"/>
        </w:rPr>
        <w:t>e</w:t>
      </w:r>
      <w:r>
        <w:rPr>
          <w:i w:val="0"/>
          <w:highlight w:val="yellow"/>
        </w:rPr>
        <w:t>, con</w:t>
      </w:r>
      <w:r>
        <w:rPr>
          <w:i w:val="0"/>
        </w:rPr>
        <w:t>se</w:t>
      </w:r>
      <w:r>
        <w:rPr>
          <w:i w:val="0"/>
          <w:highlight w:val="yellow"/>
        </w:rPr>
        <w:t>cutive en</w:t>
      </w:r>
      <w:r>
        <w:rPr>
          <w:i w:val="0"/>
        </w:rPr>
        <w:t>r</w:t>
      </w:r>
      <w:r>
        <w:rPr>
          <w:i w:val="0"/>
          <w:highlight w:val="yellow"/>
        </w:rPr>
        <w:t>ollment could not be confirm</w:t>
      </w:r>
      <w:r>
        <w:rPr>
          <w:i w:val="0"/>
        </w:rPr>
        <w:t xml:space="preserve">ed. </w:t>
      </w:r>
      <w:r>
        <w:rPr>
          <w:i w:val="0"/>
          <w:highlight w:val="yellow"/>
        </w:rPr>
        <w:t>F</w:t>
      </w:r>
      <w:r>
        <w:rPr>
          <w:i w:val="0"/>
        </w:rPr>
        <w:t xml:space="preserve">or </w:t>
      </w:r>
      <w:r>
        <w:rPr>
          <w:i w:val="0"/>
          <w:highlight w:val="yellow"/>
        </w:rPr>
        <w:t>the</w:t>
      </w:r>
      <w:r>
        <w:rPr>
          <w:i w:val="0"/>
        </w:rPr>
        <w:t xml:space="preserve"> temporal sensitivity analysis</w:t>
      </w:r>
      <w:r>
        <w:rPr>
          <w:i w:val="0"/>
          <w:highlight w:val="yellow"/>
        </w:rPr>
        <w:t>,</w:t>
      </w:r>
      <w:r>
        <w:rPr>
          <w:i w:val="0"/>
        </w:rPr>
        <w:t xml:space="preserve"> </w:t>
      </w:r>
      <w:r>
        <w:rPr>
          <w:i w:val="0"/>
          <w:highlight w:val="yellow"/>
        </w:rPr>
        <w:t>institutionally deidentified hospitalization/coronary-</w:t>
      </w:r>
      <w:r>
        <w:rPr>
          <w:i w:val="0"/>
        </w:rPr>
        <w:t>an</w:t>
      </w:r>
      <w:r>
        <w:rPr>
          <w:i w:val="0"/>
          <w:highlight w:val="yellow"/>
        </w:rPr>
        <w:t xml:space="preserve">giography </w:t>
      </w:r>
      <w:r>
        <w:rPr>
          <w:i w:val="0"/>
        </w:rPr>
        <w:t>d</w:t>
      </w:r>
      <w:r>
        <w:rPr>
          <w:i w:val="0"/>
          <w:highlight w:val="yellow"/>
        </w:rPr>
        <w:t>ates</w:t>
      </w:r>
      <w:r>
        <w:rPr>
          <w:i w:val="0"/>
        </w:rPr>
        <w:t xml:space="preserve"> were </w:t>
      </w:r>
      <w:r>
        <w:rPr>
          <w:i w:val="0"/>
          <w:highlight w:val="yellow"/>
        </w:rPr>
        <w:t>sh</w:t>
      </w:r>
      <w:r>
        <w:rPr>
          <w:i w:val="0"/>
        </w:rPr>
        <w:t>i</w:t>
      </w:r>
      <w:r>
        <w:rPr>
          <w:i w:val="0"/>
          <w:highlight w:val="yellow"/>
        </w:rPr>
        <w:t>f</w:t>
      </w:r>
      <w:r>
        <w:rPr>
          <w:i w:val="0"/>
        </w:rPr>
        <w:t xml:space="preserve">ted </w:t>
      </w:r>
      <w:r>
        <w:rPr>
          <w:i w:val="0"/>
          <w:highlight w:val="yellow"/>
        </w:rPr>
        <w:t>on</w:t>
      </w:r>
      <w:r>
        <w:rPr>
          <w:i w:val="0"/>
        </w:rPr>
        <w:t xml:space="preserve"> a</w:t>
      </w:r>
      <w:r>
        <w:rPr>
          <w:i w:val="0"/>
        </w:rPr>
        <w:t xml:space="preserve"> patient</w:t>
      </w:r>
      <w:r>
        <w:rPr>
          <w:i w:val="0"/>
          <w:highlight w:val="yellow"/>
        </w:rPr>
        <w:t>-</w:t>
      </w:r>
      <w:r>
        <w:rPr>
          <w:i w:val="0"/>
        </w:rPr>
        <w:t>s</w:t>
      </w:r>
      <w:r>
        <w:rPr>
          <w:i w:val="0"/>
          <w:highlight w:val="yellow"/>
        </w:rPr>
        <w:t>pecific</w:t>
      </w:r>
      <w:r>
        <w:rPr>
          <w:i w:val="0"/>
        </w:rPr>
        <w:t xml:space="preserve"> </w:t>
      </w:r>
      <w:r>
        <w:rPr>
          <w:i w:val="0"/>
          <w:highlight w:val="yellow"/>
        </w:rPr>
        <w:t>basis wi</w:t>
      </w:r>
      <w:r>
        <w:rPr>
          <w:i w:val="0"/>
        </w:rPr>
        <w:t>th</w:t>
      </w:r>
      <w:r>
        <w:rPr>
          <w:i w:val="0"/>
          <w:highlight w:val="yellow"/>
        </w:rPr>
        <w:t>in +/-182 days. Th</w:t>
      </w:r>
      <w:r>
        <w:rPr>
          <w:i w:val="0"/>
        </w:rPr>
        <w:t>e</w:t>
      </w:r>
      <w:r>
        <w:rPr>
          <w:i w:val="0"/>
        </w:rPr>
        <w:t xml:space="preserve"> study </w:t>
      </w:r>
      <w:r>
        <w:rPr>
          <w:i w:val="0"/>
          <w:highlight w:val="yellow"/>
        </w:rPr>
        <w:t>eval</w:t>
      </w:r>
      <w:r>
        <w:rPr>
          <w:i w:val="0"/>
        </w:rPr>
        <w:t>u</w:t>
      </w:r>
      <w:r>
        <w:rPr>
          <w:i w:val="0"/>
          <w:highlight w:val="yellow"/>
        </w:rPr>
        <w:t>at</w:t>
      </w:r>
      <w:r>
        <w:rPr>
          <w:i w:val="0"/>
        </w:rPr>
        <w:t>ed</w:t>
      </w:r>
      <w:r>
        <w:rPr>
          <w:i w:val="0"/>
        </w:rPr>
        <w:t xml:space="preserve"> retrospective AMI phenotype discrimination rather than future-event prediction.</w:t>
      </w:r>
    </w:p>
    <w:p>
      <w:pPr>
        <w:pStyle w:val="Heading2"/>
      </w:pPr>
      <w:r>
        <w:t>Eligibility and study population</w:t>
      </w:r>
    </w:p>
    <w:p>
      <w:r>
        <w:rPr>
          <w:i w:val="0"/>
          <w:highlight w:val="yellow"/>
        </w:rPr>
        <w:t>The source export co</w:t>
      </w:r>
      <w:r>
        <w:rPr>
          <w:i w:val="0"/>
        </w:rPr>
        <w:t>n</w:t>
      </w:r>
      <w:r>
        <w:rPr>
          <w:i w:val="0"/>
          <w:highlight w:val="yellow"/>
        </w:rPr>
        <w:t>ta</w:t>
      </w:r>
      <w:r>
        <w:rPr>
          <w:i w:val="0"/>
        </w:rPr>
        <w:t>i</w:t>
      </w:r>
      <w:r>
        <w:rPr>
          <w:i w:val="0"/>
          <w:highlight w:val="yellow"/>
        </w:rPr>
        <w:t>ned</w:t>
      </w:r>
      <w:r>
        <w:rPr>
          <w:i w:val="0"/>
        </w:rPr>
        <w:t xml:space="preserve"> 2,548</w:t>
      </w:r>
      <w:r>
        <w:rPr>
          <w:i w:val="0"/>
        </w:rPr>
        <w:t xml:space="preserve"> records</w:t>
      </w:r>
      <w:r>
        <w:rPr>
          <w:i w:val="0"/>
        </w:rPr>
        <w:t xml:space="preserve"> rep</w:t>
      </w:r>
      <w:r>
        <w:rPr>
          <w:i w:val="0"/>
          <w:highlight w:val="yellow"/>
        </w:rPr>
        <w:t>r</w:t>
      </w:r>
      <w:r>
        <w:rPr>
          <w:i w:val="0"/>
        </w:rPr>
        <w:t>e</w:t>
      </w:r>
      <w:r>
        <w:rPr>
          <w:i w:val="0"/>
          <w:highlight w:val="yellow"/>
        </w:rPr>
        <w:t>sen</w:t>
      </w:r>
      <w:r>
        <w:rPr>
          <w:i w:val="0"/>
        </w:rPr>
        <w:t>t</w:t>
      </w:r>
      <w:r>
        <w:rPr>
          <w:i w:val="0"/>
        </w:rPr>
        <w:t>i</w:t>
      </w:r>
      <w:r>
        <w:rPr>
          <w:i w:val="0"/>
        </w:rPr>
        <w:t>n</w:t>
      </w:r>
      <w:r>
        <w:rPr>
          <w:i w:val="0"/>
          <w:highlight w:val="yellow"/>
        </w:rPr>
        <w:t>g</w:t>
      </w:r>
      <w:r>
        <w:rPr>
          <w:i w:val="0"/>
        </w:rPr>
        <w:t xml:space="preserve"> 2,279 unique patients</w:t>
      </w:r>
      <w:r>
        <w:rPr>
          <w:i w:val="0"/>
          <w:highlight w:val="yellow"/>
        </w:rPr>
        <w:t>. Of these, 2,010 had one source record and 269 had two; 269 surplus records</w:t>
      </w:r>
      <w:r>
        <w:rPr>
          <w:i w:val="0"/>
        </w:rPr>
        <w:t xml:space="preserve"> were </w:t>
      </w:r>
      <w:r>
        <w:rPr>
          <w:i w:val="0"/>
          <w:highlight w:val="yellow"/>
        </w:rPr>
        <w:t>remo</w:t>
      </w:r>
      <w:r>
        <w:rPr>
          <w:i w:val="0"/>
        </w:rPr>
        <w:t>v</w:t>
      </w:r>
      <w:r>
        <w:rPr>
          <w:i w:val="0"/>
          <w:highlight w:val="yellow"/>
        </w:rPr>
        <w:t>ed when ret</w:t>
      </w:r>
      <w:r>
        <w:rPr>
          <w:i w:val="0"/>
        </w:rPr>
        <w:t>ai</w:t>
      </w:r>
      <w:r>
        <w:rPr>
          <w:i w:val="0"/>
          <w:highlight w:val="yellow"/>
        </w:rPr>
        <w:t>ning</w:t>
      </w:r>
      <w:r>
        <w:rPr>
          <w:i w:val="0"/>
        </w:rPr>
        <w:t xml:space="preserve"> </w:t>
      </w:r>
      <w:r>
        <w:rPr>
          <w:i w:val="0"/>
        </w:rPr>
        <w:t>on</w:t>
      </w:r>
      <w:r>
        <w:rPr>
          <w:i w:val="0"/>
          <w:highlight w:val="yellow"/>
        </w:rPr>
        <w:t>e</w:t>
      </w:r>
      <w:r>
        <w:rPr>
          <w:i w:val="0"/>
        </w:rPr>
        <w:t xml:space="preserve"> patient</w:t>
      </w:r>
      <w:r>
        <w:rPr>
          <w:i w:val="0"/>
          <w:highlight w:val="yellow"/>
        </w:rPr>
        <w:t>-level record by a completene</w:t>
      </w:r>
      <w:r>
        <w:rPr>
          <w:i w:val="0"/>
        </w:rPr>
        <w:t>s</w:t>
      </w:r>
      <w:r>
        <w:rPr>
          <w:i w:val="0"/>
          <w:highlight w:val="yellow"/>
        </w:rPr>
        <w:t>s-based</w:t>
      </w:r>
      <w:r>
        <w:rPr>
          <w:i w:val="0"/>
        </w:rPr>
        <w:t xml:space="preserve"> </w:t>
      </w:r>
      <w:r>
        <w:rPr>
          <w:i w:val="0"/>
          <w:highlight w:val="yellow"/>
        </w:rPr>
        <w:t>rule. The source d</w:t>
      </w:r>
      <w:r>
        <w:rPr>
          <w:i w:val="0"/>
        </w:rPr>
        <w:t>i</w:t>
      </w:r>
      <w:r>
        <w:rPr>
          <w:i w:val="0"/>
          <w:highlight w:val="yellow"/>
        </w:rPr>
        <w:t xml:space="preserve">d not establish </w:t>
      </w:r>
      <w:r>
        <w:rPr>
          <w:i w:val="0"/>
        </w:rPr>
        <w:t>th</w:t>
      </w:r>
      <w:r>
        <w:rPr>
          <w:i w:val="0"/>
          <w:highlight w:val="yellow"/>
        </w:rPr>
        <w:t>at</w:t>
      </w:r>
      <w:r>
        <w:rPr>
          <w:i w:val="0"/>
        </w:rPr>
        <w:t xml:space="preserve"> multiple</w:t>
      </w:r>
      <w:r>
        <w:rPr>
          <w:i w:val="0"/>
          <w:highlight w:val="yellow"/>
        </w:rPr>
        <w:t xml:space="preserve"> records represented distinct</w:t>
      </w:r>
      <w:r>
        <w:rPr>
          <w:i w:val="0"/>
        </w:rPr>
        <w:t xml:space="preserve"> admissions</w:t>
      </w:r>
      <w:r>
        <w:rPr>
          <w:i w:val="0"/>
          <w:highlight w:val="yellow"/>
        </w:rPr>
        <w:t>. Among</w:t>
      </w:r>
      <w:r>
        <w:rPr>
          <w:i w:val="0"/>
        </w:rPr>
        <w:t xml:space="preserve"> the </w:t>
      </w:r>
      <w:r>
        <w:rPr>
          <w:i w:val="0"/>
          <w:highlight w:val="yellow"/>
        </w:rPr>
        <w:t>2,279 pa</w:t>
      </w:r>
      <w:r>
        <w:rPr>
          <w:i w:val="0"/>
        </w:rPr>
        <w:t>t</w:t>
      </w:r>
      <w:r>
        <w:rPr>
          <w:i w:val="0"/>
        </w:rPr>
        <w:t>i</w:t>
      </w:r>
      <w:r>
        <w:rPr>
          <w:i w:val="0"/>
        </w:rPr>
        <w:t>en</w:t>
      </w:r>
      <w:r>
        <w:rPr>
          <w:i w:val="0"/>
        </w:rPr>
        <w:t>t</w:t>
      </w:r>
      <w:r>
        <w:rPr>
          <w:i w:val="0"/>
          <w:highlight w:val="yellow"/>
        </w:rPr>
        <w:t>s,</w:t>
      </w:r>
      <w:r>
        <w:rPr>
          <w:i w:val="0"/>
        </w:rPr>
        <w:t xml:space="preserve"> </w:t>
      </w:r>
      <w:r>
        <w:rPr>
          <w:i w:val="0"/>
          <w:highlight w:val="yellow"/>
        </w:rPr>
        <w:t>1,944 h</w:t>
      </w:r>
      <w:r>
        <w:rPr>
          <w:i w:val="0"/>
        </w:rPr>
        <w:t>a</w:t>
      </w:r>
      <w:r>
        <w:rPr>
          <w:i w:val="0"/>
        </w:rPr>
        <w:t xml:space="preserve">d </w:t>
      </w:r>
      <w:r>
        <w:rPr>
          <w:i w:val="0"/>
          <w:highlight w:val="yellow"/>
        </w:rPr>
        <w:t>discharge-diagn</w:t>
      </w:r>
      <w:r>
        <w:rPr>
          <w:i w:val="0"/>
        </w:rPr>
        <w:t>o</w:t>
      </w:r>
      <w:r>
        <w:rPr>
          <w:i w:val="0"/>
        </w:rPr>
        <w:t>sis</w:t>
      </w:r>
      <w:r>
        <w:rPr>
          <w:i w:val="0"/>
        </w:rPr>
        <w:t xml:space="preserve"> </w:t>
      </w:r>
      <w:r>
        <w:rPr>
          <w:i w:val="0"/>
          <w:highlight w:val="yellow"/>
        </w:rPr>
        <w:t>text: 456 met the d</w:t>
      </w:r>
      <w:r>
        <w:rPr>
          <w:i w:val="0"/>
        </w:rPr>
        <w:t xml:space="preserve">efinite AMI </w:t>
      </w:r>
      <w:r>
        <w:rPr>
          <w:i w:val="0"/>
          <w:highlight w:val="yellow"/>
        </w:rPr>
        <w:t>defi</w:t>
      </w:r>
      <w:r>
        <w:rPr>
          <w:i w:val="0"/>
        </w:rPr>
        <w:t>n</w:t>
      </w:r>
      <w:r>
        <w:rPr>
          <w:i w:val="0"/>
          <w:highlight w:val="yellow"/>
        </w:rPr>
        <w:t>ition, 1,372 the</w:t>
      </w:r>
      <w:r>
        <w:rPr>
          <w:i w:val="0"/>
        </w:rPr>
        <w:t xml:space="preserve"> definite non-AMI </w:t>
      </w:r>
      <w:r>
        <w:rPr>
          <w:i w:val="0"/>
          <w:highlight w:val="yellow"/>
        </w:rPr>
        <w:t>CAD definiti</w:t>
      </w:r>
      <w:r>
        <w:rPr>
          <w:i w:val="0"/>
        </w:rPr>
        <w:t>on</w:t>
      </w:r>
      <w:r>
        <w:rPr>
          <w:i w:val="0"/>
          <w:highlight w:val="yellow"/>
        </w:rPr>
        <w:t>, five h</w:t>
      </w:r>
      <w:r>
        <w:rPr>
          <w:i w:val="0"/>
        </w:rPr>
        <w:t>a</w:t>
      </w:r>
      <w:r>
        <w:rPr>
          <w:i w:val="0"/>
          <w:highlight w:val="yellow"/>
        </w:rPr>
        <w:t>d</w:t>
      </w:r>
      <w:r>
        <w:rPr>
          <w:i w:val="0"/>
        </w:rPr>
        <w:t xml:space="preserve"> a</w:t>
      </w:r>
      <w:r>
        <w:rPr>
          <w:i w:val="0"/>
        </w:rPr>
        <w:t>n</w:t>
      </w:r>
      <w:r>
        <w:rPr>
          <w:i w:val="0"/>
        </w:rPr>
        <w:t xml:space="preserve"> ambiguous </w:t>
      </w:r>
      <w:r>
        <w:rPr>
          <w:i w:val="0"/>
          <w:highlight w:val="yellow"/>
        </w:rPr>
        <w:t xml:space="preserve">MI mention, and 111 did not meet the CAD/AMI target. The remaining 335 patients had no discharge </w:t>
      </w:r>
      <w:r>
        <w:rPr>
          <w:i w:val="0"/>
        </w:rPr>
        <w:t>diagnos</w:t>
      </w:r>
      <w:r>
        <w:rPr>
          <w:i w:val="0"/>
        </w:rPr>
        <w:t>i</w:t>
      </w:r>
      <w:r>
        <w:rPr>
          <w:i w:val="0"/>
        </w:rPr>
        <w:t xml:space="preserve">s. Before applying the core CBC availability requirement, 1,828 patients had a definite AMI or non-AMI CAD </w:t>
      </w:r>
      <w:r>
        <w:rPr>
          <w:i w:val="0"/>
          <w:highlight w:val="yellow"/>
        </w:rPr>
        <w:t>phe</w:t>
      </w:r>
      <w:r>
        <w:rPr>
          <w:i w:val="0"/>
        </w:rPr>
        <w:t>no</w:t>
      </w:r>
      <w:r>
        <w:rPr>
          <w:i w:val="0"/>
          <w:highlight w:val="yellow"/>
        </w:rPr>
        <w:t>type</w:t>
      </w:r>
      <w:r>
        <w:rPr>
          <w:i w:val="0"/>
        </w:rPr>
        <w:t>.</w:t>
      </w:r>
    </w:p>
    <w:p>
      <w:pPr>
        <w:pStyle w:val="Heading2"/>
      </w:pPr>
      <w:r>
        <w:t>Outcome definition</w:t>
      </w:r>
    </w:p>
    <w:p>
      <w:r>
        <w:rPr>
          <w:i w:val="0"/>
        </w:rPr>
        <w:t xml:space="preserve">AMI phenotype was </w:t>
      </w:r>
      <w:r>
        <w:rPr>
          <w:i w:val="0"/>
        </w:rPr>
        <w:t>c</w:t>
      </w:r>
      <w:r>
        <w:rPr>
          <w:i w:val="0"/>
          <w:highlight w:val="yellow"/>
        </w:rPr>
        <w:t>la</w:t>
      </w:r>
      <w:r>
        <w:rPr>
          <w:i w:val="0"/>
        </w:rPr>
        <w:t>s</w:t>
      </w:r>
      <w:r>
        <w:rPr>
          <w:i w:val="0"/>
          <w:highlight w:val="yellow"/>
        </w:rPr>
        <w:t>sifi</w:t>
      </w:r>
      <w:r>
        <w:rPr>
          <w:i w:val="0"/>
        </w:rPr>
        <w:t>ed</w:t>
      </w:r>
      <w:r>
        <w:rPr>
          <w:i w:val="0"/>
        </w:rPr>
        <w:t xml:space="preserve"> from discharge-diagnosis text</w:t>
      </w:r>
      <w:r>
        <w:rPr>
          <w:i w:val="0"/>
          <w:highlight w:val="yellow"/>
        </w:rPr>
        <w:t>; no independent clinical adjudication was available</w:t>
      </w:r>
      <w:r>
        <w:rPr>
          <w:i w:val="0"/>
        </w:rPr>
        <w:t>. Definite AMI required explicit current or acute/subacute MI language, including unambiguous ST-segment elevation myocardial infarction (STEMI), non-ST-segment elevation myocardial infarction (NSTEMI), or an acute wall-specific MI description. Old or prior MI, MI history, prior percutaneous coronary intervention (PCI), CAD, stable angina, and unstable angina were not sufficient alone. An MI keyword without clear acute or old/prior context, missing diagnosis, or uncertainty markers was retained as ambiguous/review. A definite non-AMI CAD phenotype included CAD, coronary disease, angina, or revascularization descriptions without current acute MI, with old/prior MI allowed in the broad primary control but excluded from the strict control. Troponin, creatine kinase-MB (CK-MB), and other cardiac injury markers were supportive only; incomplete timing, reference-limit, and dynamic-change information prevented complete Fourth Universal Definition adjudication [2].</w:t>
      </w:r>
    </w:p>
    <w:p>
      <w:pPr>
        <w:pStyle w:val="Heading2"/>
      </w:pPr>
      <w:r>
        <w:t>Primary and strict-control cohorts</w:t>
      </w:r>
    </w:p>
    <w:p>
      <w:r>
        <w:rPr>
          <w:i w:val="0"/>
        </w:rPr>
        <w:t>The cohort-entry rule required non-missing absolute neutrophil, lymphocyte, monocyte, and platelet measurements. Eight patients failed this four-variable requirement: 3 with AMI and 5 with non-AMI CAD. Among the resulting primary cohort, all seven Core-7 predictors (neutrophils, lymphocytes, monocytes, platelets, MPV, RDW, and hemoglobin) were complete, so the Core-7 complete-case analysis retained all N=1820 records. The strict-control sensitivity cohort included all definite AMI records meeting the CBC requirement and only stable angina, unstable angina, or CAD-only controls without current MI, old/prior MI, or an ACS-only marker; it contained N=1517 patients, including 453 AMI and 1064 controls.</w:t>
      </w:r>
    </w:p>
    <w:p>
      <w:pPr>
        <w:pStyle w:val="Heading2"/>
      </w:pPr>
      <w:r>
        <w:t>Predictors and laboratory measurements</w:t>
      </w:r>
    </w:p>
    <w:p>
      <w:r>
        <w:rPr>
          <w:i w:val="0"/>
        </w:rPr>
        <w:t>The Core-7 predictors were absolute neutrophil, lymphocyte, and monocyte counts, platelet count, MPV, RDW, and hemoglobin</w:t>
      </w:r>
      <w:r>
        <w:rPr>
          <w:i w:val="0"/>
          <w:highlight w:val="yellow"/>
        </w:rPr>
        <w:t>;</w:t>
      </w:r>
      <w:r>
        <w:rPr>
          <w:i w:val="0"/>
        </w:rPr>
        <w:t xml:space="preserve"> </w:t>
      </w:r>
      <w:r>
        <w:rPr>
          <w:i w:val="0"/>
          <w:highlight w:val="yellow"/>
        </w:rPr>
        <w:t>f</w:t>
      </w:r>
      <w:r>
        <w:rPr>
          <w:i w:val="0"/>
        </w:rPr>
        <w:t xml:space="preserve">ibrinogen was </w:t>
      </w:r>
      <w:r>
        <w:rPr>
          <w:i w:val="0"/>
        </w:rPr>
        <w:t>a</w:t>
      </w:r>
      <w:r>
        <w:rPr>
          <w:i w:val="0"/>
          <w:highlight w:val="yellow"/>
        </w:rPr>
        <w:t>dd</w:t>
      </w:r>
      <w:r>
        <w:rPr>
          <w:i w:val="0"/>
        </w:rPr>
        <w:t xml:space="preserve">ed </w:t>
      </w:r>
      <w:r>
        <w:rPr>
          <w:i w:val="0"/>
          <w:highlight w:val="yellow"/>
        </w:rPr>
        <w:t>f</w:t>
      </w:r>
      <w:r>
        <w:rPr>
          <w:i w:val="0"/>
        </w:rPr>
        <w:t>o</w:t>
      </w:r>
      <w:r>
        <w:rPr>
          <w:i w:val="0"/>
        </w:rPr>
        <w:t>r</w:t>
      </w:r>
      <w:r>
        <w:rPr>
          <w:i w:val="0"/>
        </w:rPr>
        <w:t xml:space="preserve"> the Enhanced model</w:t>
      </w:r>
      <w:r>
        <w:rPr>
          <w:i w:val="0"/>
          <w:highlight w:val="yellow"/>
        </w:rPr>
        <w:t>. The hematologic measurements used for analysis were obtained in association with the target hospitalization. For patients with multiple source records, one record was selected in descending priority: non-empty discharge-diagnosis information; greater completeness of absolute neutrophil, lymphocyte, monocyte, and platelet values (0-4); presence of a parsable CBC/WBC timestamp; higher qc_nonmissing_count; and original source-row order as the final tie-break. Historical timestamp fields in the exported research dataset contained legacy registration inconsistencies and could not reliably reconstruct exact CBC sampling time relative to admission, coronary angiography, or AMI diagnosis for every patient. Accordingly, the selection rule was not a clinical-time hierarchy, and the measurements are not described as uniformly first-admission, pre-angiography, pre-diagnostic, or pre-treatment</w:t>
      </w:r>
      <w:r>
        <w:rPr>
          <w:i w:val="0"/>
        </w:rPr>
        <w:t>. Laboratory units were</w:t>
      </w:r>
      <w:r>
        <w:rPr>
          <w:i w:val="0"/>
        </w:rPr>
        <w:t xml:space="preserve"> 10^9/L for leukocyte and platelet counts, fL for MPV, percent for RDW, </w:t>
      </w:r>
      <w:r>
        <w:rPr>
          <w:i w:val="0"/>
          <w:highlight w:val="yellow"/>
        </w:rPr>
        <w:t xml:space="preserve">and </w:t>
      </w:r>
      <w:r>
        <w:rPr>
          <w:i w:val="0"/>
        </w:rPr>
        <w:t>g/L for hemoglobin</w:t>
      </w:r>
      <w:r>
        <w:rPr>
          <w:i w:val="0"/>
        </w:rPr>
        <w:t xml:space="preserve"> and</w:t>
      </w:r>
      <w:r>
        <w:rPr>
          <w:i w:val="0"/>
        </w:rPr>
        <w:t xml:space="preserve"> fibrinogen. Analyzer, reagent, and platform details were not included in the deidentified research database but can be retrieved from institutional laboratory records if required during peer review. Internal CBC consistency was checked by comparing recorded absolute differential counts with values calculated from total white-cell counts and differential percentages; absolute counts were used for all derived inflammatory indices.</w:t>
      </w:r>
    </w:p>
    <w:p>
      <w:pPr>
        <w:pStyle w:val="Heading2"/>
      </w:pPr>
      <w:r>
        <w:t>Conventional inflammatory indices</w:t>
      </w:r>
    </w:p>
    <w:p>
      <w:r>
        <w:rPr>
          <w:i w:val="0"/>
        </w:rPr>
        <w:t xml:space="preserve">Using absolute counts, we calculated NLR=Neut/Lymph, PLR=PLT/Lymph, the monocyte-to-lymphocyte ratio (MLR)=Mono/Lymph, SII=PLT*Neut/Lymph, SIRI=Neut*Mono/Lymph, PIV=PLT*Neut*Mono/Lymph, and the hemoglobin-to-RDW ratio (HRR)=Hb/RDW [3-17]. </w:t>
      </w:r>
      <w:r>
        <w:rPr>
          <w:i w:val="0"/>
          <w:highlight w:val="yellow"/>
        </w:rPr>
        <w:t xml:space="preserve">PIV was the prespecified primary comparator; log(1+PIV), training-fold standardization, and an unpenalized logistic model were used on the same patients and outer-fold partitions as Core-7. </w:t>
      </w:r>
      <w:r>
        <w:rPr>
          <w:i w:val="0"/>
        </w:rPr>
        <w:t>The</w:t>
      </w:r>
      <w:r>
        <w:rPr>
          <w:i w:val="0"/>
          <w:highlight w:val="yellow"/>
        </w:rPr>
        <w:t xml:space="preserve"> oth</w:t>
      </w:r>
      <w:r>
        <w:rPr>
          <w:i w:val="0"/>
        </w:rPr>
        <w:t>e</w:t>
      </w:r>
      <w:r>
        <w:rPr>
          <w:i w:val="0"/>
          <w:highlight w:val="yellow"/>
        </w:rPr>
        <w:t>r</w:t>
      </w:r>
      <w:r>
        <w:rPr>
          <w:i w:val="0"/>
        </w:rPr>
        <w:t xml:space="preserve"> indices were </w:t>
      </w:r>
      <w:r>
        <w:rPr>
          <w:i w:val="0"/>
          <w:highlight w:val="yellow"/>
        </w:rPr>
        <w:t xml:space="preserve">reported as descriptive </w:t>
      </w:r>
      <w:r>
        <w:rPr>
          <w:i w:val="0"/>
        </w:rPr>
        <w:t>benchmark</w:t>
      </w:r>
      <w:r>
        <w:rPr>
          <w:i w:val="0"/>
          <w:highlight w:val="yellow"/>
        </w:rPr>
        <w:t>s;</w:t>
      </w:r>
      <w:r>
        <w:rPr>
          <w:i w:val="0"/>
        </w:rPr>
        <w:t xml:space="preserve"> </w:t>
      </w:r>
      <w:r>
        <w:rPr>
          <w:i w:val="0"/>
          <w:highlight w:val="yellow"/>
        </w:rPr>
        <w:t>n</w:t>
      </w:r>
      <w:r>
        <w:rPr>
          <w:i w:val="0"/>
        </w:rPr>
        <w:t>o</w:t>
      </w:r>
      <w:r>
        <w:rPr>
          <w:i w:val="0"/>
          <w:highlight w:val="yellow"/>
        </w:rPr>
        <w:t xml:space="preserve"> additional </w:t>
      </w:r>
      <w:r>
        <w:rPr>
          <w:i w:val="0"/>
        </w:rPr>
        <w:t>pa</w:t>
      </w:r>
      <w:r>
        <w:rPr>
          <w:i w:val="0"/>
          <w:highlight w:val="yellow"/>
        </w:rPr>
        <w:t>i</w:t>
      </w:r>
      <w:r>
        <w:rPr>
          <w:i w:val="0"/>
        </w:rPr>
        <w:t>r</w:t>
      </w:r>
      <w:r>
        <w:rPr>
          <w:i w:val="0"/>
          <w:highlight w:val="yellow"/>
        </w:rPr>
        <w:t>wise C</w:t>
      </w:r>
      <w:r>
        <w:rPr>
          <w:i w:val="0"/>
        </w:rPr>
        <w:t>or</w:t>
      </w:r>
      <w:r>
        <w:rPr>
          <w:i w:val="0"/>
          <w:highlight w:val="yellow"/>
        </w:rPr>
        <w:t>e-7-ver</w:t>
      </w:r>
      <w:r>
        <w:rPr>
          <w:i w:val="0"/>
        </w:rPr>
        <w:t>s</w:t>
      </w:r>
      <w:r>
        <w:rPr>
          <w:i w:val="0"/>
          <w:highlight w:val="yellow"/>
        </w:rPr>
        <w:t>us-i</w:t>
      </w:r>
      <w:r>
        <w:rPr>
          <w:i w:val="0"/>
        </w:rPr>
        <w:t>nd</w:t>
      </w:r>
      <w:r>
        <w:rPr>
          <w:i w:val="0"/>
          <w:highlight w:val="yellow"/>
        </w:rPr>
        <w:t>ex tests</w:t>
      </w:r>
      <w:r>
        <w:rPr>
          <w:i w:val="0"/>
        </w:rPr>
        <w:t xml:space="preserve"> were </w:t>
      </w:r>
      <w:r>
        <w:rPr>
          <w:i w:val="0"/>
          <w:highlight w:val="yellow"/>
        </w:rPr>
        <w:t>performed. All i</w:t>
      </w:r>
      <w:r>
        <w:rPr>
          <w:i w:val="0"/>
        </w:rPr>
        <w:t>n</w:t>
      </w:r>
      <w:r>
        <w:rPr>
          <w:i w:val="0"/>
        </w:rPr>
        <w:t>dic</w:t>
      </w:r>
      <w:r>
        <w:rPr>
          <w:i w:val="0"/>
          <w:highlight w:val="yellow"/>
        </w:rPr>
        <w:t>es were assess</w:t>
      </w:r>
      <w:r>
        <w:rPr>
          <w:i w:val="0"/>
        </w:rPr>
        <w:t xml:space="preserve">ed </w:t>
      </w:r>
      <w:r>
        <w:rPr>
          <w:i w:val="0"/>
          <w:highlight w:val="yellow"/>
        </w:rPr>
        <w:t>within the same repeated nested cross-validation framework and remained continuo</w:t>
      </w:r>
      <w:r>
        <w:rPr>
          <w:i w:val="0"/>
        </w:rPr>
        <w:t>us</w:t>
      </w:r>
      <w:r>
        <w:rPr>
          <w:i w:val="0"/>
          <w:highlight w:val="yellow"/>
        </w:rPr>
        <w:t xml:space="preserve"> w</w:t>
      </w:r>
      <w:r>
        <w:rPr>
          <w:i w:val="0"/>
        </w:rPr>
        <w:t>i</w:t>
      </w:r>
      <w:r>
        <w:rPr>
          <w:i w:val="0"/>
          <w:highlight w:val="yellow"/>
        </w:rPr>
        <w:t>thout</w:t>
      </w:r>
      <w:r>
        <w:rPr>
          <w:i w:val="0"/>
        </w:rPr>
        <w:t xml:space="preserve"> data-derived </w:t>
      </w:r>
      <w:r>
        <w:rPr>
          <w:i w:val="0"/>
        </w:rPr>
        <w:t>cutoff</w:t>
      </w:r>
      <w:r>
        <w:rPr>
          <w:i w:val="0"/>
          <w:highlight w:val="yellow"/>
        </w:rPr>
        <w:t>s</w:t>
      </w:r>
      <w:r>
        <w:rPr>
          <w:i w:val="0"/>
        </w:rPr>
        <w:t>.</w:t>
      </w:r>
    </w:p>
    <w:p>
      <w:pPr>
        <w:pStyle w:val="Heading2"/>
      </w:pPr>
      <w:r>
        <w:t>Model development and preprocessing</w:t>
      </w:r>
    </w:p>
    <w:p>
      <w:r>
        <w:rPr>
          <w:i w:val="0"/>
        </w:rPr>
        <w:t xml:space="preserve">Core-7 used the seven CBC predictors, and the Enhanced model additionally included fibrinogen. Elastic-net logistic regression was evaluated across alpha values of 0.25, 0.50, and 0.75 and C values of 0.10, 1.00, and 10.00, with parameter selection performed by five-fold cross-validation within the training data [18,19]. Neutrophils, lymphocytes, monocytes, platelets, and fibrinogen were log1p transformed and standardized; MPV, RDW, and hemoglobin were standardized on their original scale. Core-7 used complete cases. For the Enhanced model, missing fibrinogen values were replaced using the median estimated from the corresponding training data. Preprocessing, imputation, transformation, standardization, and parameter selection were performed separately within each training fold to prevent information leakage. To assess whether hematologic information added to basic clinical characteristics, </w:t>
      </w:r>
      <w:r>
        <w:rPr>
          <w:i w:val="0"/>
          <w:highlight w:val="yellow"/>
        </w:rPr>
        <w:t>the prespecified baseline clinical model included age, sex, hypertension, and diabetes; smoking was not sufficiently available for inclusion.</w:t>
      </w:r>
      <w:r>
        <w:rPr>
          <w:i w:val="0"/>
        </w:rPr>
      </w:r>
      <w:r>
        <w:rPr>
          <w:i w:val="0"/>
          <w:highlight w:val="yellow"/>
        </w:rPr>
        <w:t xml:space="preserve"> Hypertension was missing in 79/1,820 patients (4.34%) and diabetes in 48/1,820 (2.64%); both were imputed using medians estimated within each training fold, while age and sex were complet</w:t>
      </w:r>
      <w:r>
        <w:rPr>
          <w:i w:val="0"/>
        </w:rPr>
        <w:t>e. Clinical+PIV, Clinical+Core-7, and Clinical+Enhanced were evaluated using the same cross-validation procedure.</w:t>
      </w:r>
    </w:p>
    <w:p>
      <w:pPr>
        <w:pStyle w:val="Heading2"/>
      </w:pPr>
      <w:r>
        <w:t>Internal validation and uncertainty</w:t>
      </w:r>
    </w:p>
    <w:p>
      <w:r>
        <w:rPr>
          <w:i w:val="0"/>
        </w:rPr>
        <w:t>Primary internal validation used stratified</w:t>
      </w:r>
      <w:r>
        <w:rPr>
          <w:i w:val="0"/>
          <w:highlight w:val="yellow"/>
        </w:rPr>
        <w:t xml:space="preserve"> outer</w:t>
      </w:r>
      <w:r>
        <w:rPr>
          <w:i w:val="0"/>
        </w:rPr>
        <w:t xml:space="preserve"> five-fold cross-validation repeated 10 times</w:t>
      </w:r>
      <w:r>
        <w:rPr>
          <w:i w:val="0"/>
          <w:highlight w:val="yellow"/>
        </w:rPr>
        <w:t>,</w:t>
      </w:r>
      <w:r>
        <w:rPr>
          <w:i w:val="0"/>
        </w:rPr>
        <w:t xml:space="preserve"> </w:t>
      </w:r>
      <w:r>
        <w:rPr>
          <w:i w:val="0"/>
          <w:highlight w:val="yellow"/>
        </w:rPr>
        <w:t>with five-f</w:t>
      </w:r>
      <w:r>
        <w:rPr>
          <w:i w:val="0"/>
        </w:rPr>
        <w:t>o</w:t>
      </w:r>
      <w:r>
        <w:rPr>
          <w:i w:val="0"/>
          <w:highlight w:val="yellow"/>
        </w:rPr>
        <w:t>ld hype</w:t>
      </w:r>
      <w:r>
        <w:rPr>
          <w:i w:val="0"/>
        </w:rPr>
        <w:t>r</w:t>
      </w:r>
      <w:r>
        <w:rPr>
          <w:i w:val="0"/>
          <w:highlight w:val="yellow"/>
        </w:rPr>
        <w:t>parameter tuning within</w:t>
      </w:r>
      <w:r>
        <w:rPr>
          <w:i w:val="0"/>
        </w:rPr>
        <w:t xml:space="preserve"> each </w:t>
      </w:r>
      <w:r>
        <w:rPr>
          <w:i w:val="0"/>
          <w:highlight w:val="yellow"/>
        </w:rPr>
        <w:t>outer training set. Each patient received one held-out probability per repeat; the arithmetic mean of the 10 held-out probabilities was used for patient-level e</w:t>
      </w:r>
      <w:r>
        <w:rPr>
          <w:i w:val="0"/>
        </w:rPr>
        <w:t>val</w:t>
      </w:r>
      <w:r>
        <w:rPr>
          <w:i w:val="0"/>
          <w:highlight w:val="yellow"/>
        </w:rPr>
        <w:t>u</w:t>
      </w:r>
      <w:r>
        <w:rPr>
          <w:i w:val="0"/>
        </w:rPr>
        <w:t>ation</w:t>
      </w:r>
      <w:r>
        <w:rPr>
          <w:i w:val="0"/>
          <w:highlight w:val="yellow"/>
        </w:rPr>
        <w:t>.</w:t>
      </w:r>
      <w:r>
        <w:rPr>
          <w:i w:val="0"/>
        </w:rPr>
        <w:t xml:space="preserve"> </w:t>
      </w:r>
      <w:r>
        <w:rPr>
          <w:i w:val="0"/>
          <w:highlight w:val="yellow"/>
        </w:rPr>
        <w:t xml:space="preserve">Identical </w:t>
      </w:r>
      <w:r>
        <w:rPr>
          <w:i w:val="0"/>
        </w:rPr>
        <w:t>o</w:t>
      </w:r>
      <w:r>
        <w:rPr>
          <w:i w:val="0"/>
          <w:highlight w:val="yellow"/>
        </w:rPr>
        <w:t>uter</w:t>
      </w:r>
      <w:r>
        <w:rPr>
          <w:i w:val="0"/>
        </w:rPr>
        <w:t xml:space="preserve"> p</w:t>
      </w:r>
      <w:r>
        <w:rPr>
          <w:i w:val="0"/>
          <w:highlight w:val="yellow"/>
        </w:rPr>
        <w:t>a</w:t>
      </w:r>
      <w:r>
        <w:rPr>
          <w:i w:val="0"/>
        </w:rPr>
        <w:t>r</w:t>
      </w:r>
      <w:r>
        <w:rPr>
          <w:i w:val="0"/>
          <w:highlight w:val="yellow"/>
        </w:rPr>
        <w:t>t</w:t>
      </w:r>
      <w:r>
        <w:rPr>
          <w:i w:val="0"/>
        </w:rPr>
        <w:t>i</w:t>
      </w:r>
      <w:r>
        <w:rPr>
          <w:i w:val="0"/>
        </w:rPr>
        <w:t xml:space="preserve">tions were </w:t>
      </w:r>
      <w:r>
        <w:rPr>
          <w:i w:val="0"/>
          <w:highlight w:val="yellow"/>
        </w:rPr>
        <w:t>us</w:t>
      </w:r>
      <w:r>
        <w:rPr>
          <w:i w:val="0"/>
        </w:rPr>
        <w:t>ed f</w:t>
      </w:r>
      <w:r>
        <w:rPr>
          <w:i w:val="0"/>
          <w:highlight w:val="yellow"/>
        </w:rPr>
        <w:t>o</w:t>
      </w:r>
      <w:r>
        <w:rPr>
          <w:i w:val="0"/>
        </w:rPr>
        <w:t>r</w:t>
      </w:r>
      <w:r>
        <w:rPr>
          <w:i w:val="0"/>
        </w:rPr>
        <w:t xml:space="preserve"> </w:t>
      </w:r>
      <w:r>
        <w:rPr>
          <w:i w:val="0"/>
          <w:highlight w:val="yellow"/>
        </w:rPr>
        <w:t>p</w:t>
      </w:r>
      <w:r>
        <w:rPr>
          <w:i w:val="0"/>
        </w:rPr>
        <w:t>a</w:t>
      </w:r>
      <w:r>
        <w:rPr>
          <w:i w:val="0"/>
          <w:highlight w:val="yellow"/>
        </w:rPr>
        <w:t>ired</w:t>
      </w:r>
      <w:r>
        <w:rPr>
          <w:i w:val="0"/>
        </w:rPr>
        <w:t xml:space="preserve"> model </w:t>
      </w:r>
      <w:r>
        <w:rPr>
          <w:i w:val="0"/>
          <w:highlight w:val="yellow"/>
        </w:rPr>
        <w:t>comparisons where applicable. Imputation, trans</w:t>
      </w:r>
      <w:r>
        <w:rPr>
          <w:i w:val="0"/>
        </w:rPr>
        <w:t>f</w:t>
      </w:r>
      <w:r>
        <w:rPr>
          <w:i w:val="0"/>
          <w:highlight w:val="yellow"/>
        </w:rPr>
        <w:t>ormat</w:t>
      </w:r>
      <w:r>
        <w:rPr>
          <w:i w:val="0"/>
        </w:rPr>
        <w:t>i</w:t>
      </w:r>
      <w:r>
        <w:rPr>
          <w:i w:val="0"/>
          <w:highlight w:val="yellow"/>
        </w:rPr>
        <w:t>on, cen</w:t>
      </w:r>
      <w:r>
        <w:rPr>
          <w:i w:val="0"/>
        </w:rPr>
        <w:t>te</w:t>
      </w:r>
      <w:r>
        <w:rPr>
          <w:i w:val="0"/>
          <w:highlight w:val="yellow"/>
        </w:rPr>
        <w:t>ring/scaling, an</w:t>
      </w:r>
      <w:r>
        <w:rPr>
          <w:i w:val="0"/>
        </w:rPr>
        <w:t>d</w:t>
      </w:r>
      <w:r>
        <w:rPr>
          <w:i w:val="0"/>
        </w:rPr>
        <w:t xml:space="preserve"> pa</w:t>
      </w:r>
      <w:r>
        <w:rPr>
          <w:i w:val="0"/>
          <w:highlight w:val="yellow"/>
        </w:rPr>
        <w:t>rame</w:t>
      </w:r>
      <w:r>
        <w:rPr>
          <w:i w:val="0"/>
        </w:rPr>
        <w:t>t</w:t>
      </w:r>
      <w:r>
        <w:rPr>
          <w:i w:val="0"/>
        </w:rPr>
        <w:t>e</w:t>
      </w:r>
      <w:r>
        <w:rPr>
          <w:i w:val="0"/>
          <w:highlight w:val="yellow"/>
        </w:rPr>
        <w:t xml:space="preserve">r </w:t>
      </w:r>
      <w:r>
        <w:rPr>
          <w:i w:val="0"/>
        </w:rPr>
        <w:t>s</w:t>
      </w:r>
      <w:r>
        <w:rPr>
          <w:i w:val="0"/>
          <w:highlight w:val="yellow"/>
        </w:rPr>
        <w:t>ele</w:t>
      </w:r>
      <w:r>
        <w:rPr>
          <w:i w:val="0"/>
        </w:rPr>
        <w:t>c</w:t>
      </w:r>
      <w:r>
        <w:rPr>
          <w:i w:val="0"/>
        </w:rPr>
        <w:t>tion w</w:t>
      </w:r>
      <w:r>
        <w:rPr>
          <w:i w:val="0"/>
        </w:rPr>
        <w:t>e</w:t>
      </w:r>
      <w:r>
        <w:rPr>
          <w:i w:val="0"/>
        </w:rPr>
        <w:t>re</w:t>
      </w:r>
      <w:r>
        <w:rPr>
          <w:i w:val="0"/>
        </w:rPr>
        <w:t xml:space="preserve"> confi</w:t>
      </w:r>
      <w:r>
        <w:rPr>
          <w:i w:val="0"/>
          <w:highlight w:val="yellow"/>
        </w:rPr>
        <w:t>ne</w:t>
      </w:r>
      <w:r>
        <w:rPr>
          <w:i w:val="0"/>
        </w:rPr>
        <w:t>d</w:t>
      </w:r>
      <w:r>
        <w:rPr>
          <w:i w:val="0"/>
        </w:rPr>
        <w:t xml:space="preserve"> </w:t>
      </w:r>
      <w:r>
        <w:rPr>
          <w:i w:val="0"/>
          <w:highlight w:val="yellow"/>
        </w:rPr>
        <w:t>to tra</w:t>
      </w:r>
      <w:r>
        <w:rPr>
          <w:i w:val="0"/>
        </w:rPr>
        <w:t>in</w:t>
      </w:r>
      <w:r>
        <w:rPr>
          <w:i w:val="0"/>
          <w:highlight w:val="yellow"/>
        </w:rPr>
        <w:t>ing fo</w:t>
      </w:r>
      <w:r>
        <w:rPr>
          <w:i w:val="0"/>
        </w:rPr>
        <w:t>l</w:t>
      </w:r>
      <w:r>
        <w:rPr>
          <w:i w:val="0"/>
          <w:highlight w:val="yellow"/>
        </w:rPr>
        <w:t>d</w:t>
      </w:r>
      <w:r>
        <w:rPr>
          <w:i w:val="0"/>
        </w:rPr>
        <w:t>s</w:t>
      </w:r>
      <w:r>
        <w:rPr>
          <w:i w:val="0"/>
          <w:highlight w:val="yellow"/>
        </w:rPr>
        <w:t>. AUC,</w:t>
      </w:r>
      <w:r>
        <w:rPr>
          <w:i w:val="0"/>
        </w:rPr>
        <w:t xml:space="preserve"> Brier score, calibration intercept, and calibration slope were </w:t>
      </w:r>
      <w:r>
        <w:rPr>
          <w:i w:val="0"/>
        </w:rPr>
        <w:t>cal</w:t>
      </w:r>
      <w:r>
        <w:rPr>
          <w:i w:val="0"/>
        </w:rPr>
        <w:t>c</w:t>
      </w:r>
      <w:r>
        <w:rPr>
          <w:i w:val="0"/>
          <w:highlight w:val="yellow"/>
        </w:rPr>
        <w:t>u</w:t>
      </w:r>
      <w:r>
        <w:rPr>
          <w:i w:val="0"/>
        </w:rPr>
        <w:t>l</w:t>
      </w:r>
      <w:r>
        <w:rPr>
          <w:i w:val="0"/>
        </w:rPr>
        <w:t xml:space="preserve">ated from </w:t>
      </w:r>
      <w:r>
        <w:rPr>
          <w:i w:val="0"/>
          <w:highlight w:val="yellow"/>
        </w:rPr>
        <w:t xml:space="preserve">the mean held-out predictions. Confidence intervals were based on </w:t>
      </w:r>
      <w:r>
        <w:rPr>
          <w:i w:val="0"/>
        </w:rPr>
        <w:t>1,000</w:t>
      </w:r>
      <w:r>
        <w:rPr>
          <w:i w:val="0"/>
        </w:rPr>
        <w:t xml:space="preserve"> patient-level bootstrap resamples of the </w:t>
      </w:r>
      <w:r>
        <w:rPr>
          <w:i w:val="0"/>
          <w:highlight w:val="yellow"/>
        </w:rPr>
        <w:t>f</w:t>
      </w:r>
      <w:r>
        <w:rPr>
          <w:i w:val="0"/>
        </w:rPr>
        <w:t>i</w:t>
      </w:r>
      <w:r>
        <w:rPr>
          <w:i w:val="0"/>
          <w:highlight w:val="yellow"/>
        </w:rPr>
        <w:t>x</w:t>
      </w:r>
      <w:r>
        <w:rPr>
          <w:i w:val="0"/>
        </w:rPr>
        <w:t>ed</w:t>
      </w:r>
      <w:r>
        <w:rPr>
          <w:i w:val="0"/>
          <w:highlight w:val="yellow"/>
        </w:rPr>
        <w:t xml:space="preserve"> mean</w:t>
      </w:r>
      <w:r>
        <w:rPr>
          <w:i w:val="0"/>
        </w:rPr>
        <w:t xml:space="preserve"> predictions </w:t>
      </w:r>
      <w:r>
        <w:rPr>
          <w:i w:val="0"/>
          <w:highlight w:val="yellow"/>
        </w:rPr>
        <w:t>and outcomes</w:t>
      </w:r>
      <w:r>
        <w:rPr>
          <w:i w:val="0"/>
        </w:rPr>
        <w:t>,</w:t>
      </w:r>
      <w:r>
        <w:rPr>
          <w:i w:val="0"/>
          <w:highlight w:val="yellow"/>
        </w:rPr>
        <w:t xml:space="preserve"> without refitting the models; these intervals therefore do not include full model-development uncertainty</w:t>
      </w:r>
      <w:r>
        <w:rPr>
          <w:i w:val="0"/>
        </w:rPr>
        <w:t>. No univariable P-value screening or stepwise variable selection was used</w:t>
      </w:r>
      <w:r>
        <w:rPr>
          <w:i w:val="0"/>
          <w:highlight w:val="yellow"/>
        </w:rPr>
        <w:t xml:space="preserve"> [20-26]</w:t>
      </w:r>
      <w:r>
        <w:rPr>
          <w:i w:val="0"/>
        </w:rPr>
        <w:t>. A reference coefficient specification is provided in the supplementary material</w:t>
      </w:r>
      <w:r>
        <w:rPr>
          <w:i w:val="0"/>
        </w:rPr>
        <w:t>;</w:t>
      </w:r>
      <w:r>
        <w:rPr>
          <w:i w:val="0"/>
        </w:rPr>
        <w:t xml:space="preserve"> primary</w:t>
      </w:r>
      <w:r>
        <w:rPr>
          <w:i w:val="0"/>
        </w:rPr>
        <w:t xml:space="preserve"> estimates reflect repeated internal </w:t>
      </w:r>
      <w:r>
        <w:rPr>
          <w:i w:val="0"/>
        </w:rPr>
        <w:t xml:space="preserve">validation rather than a single bedside equation. For </w:t>
      </w:r>
      <w:r>
        <w:rPr>
          <w:i w:val="0"/>
        </w:rPr>
        <w:t xml:space="preserve">descriptive </w:t>
      </w:r>
      <w:r>
        <w:rPr>
          <w:i w:val="0"/>
          <w:highlight w:val="yellow"/>
        </w:rPr>
        <w:t xml:space="preserve">Table 1 </w:t>
      </w:r>
      <w:r>
        <w:rPr>
          <w:i w:val="0"/>
        </w:rPr>
        <w:t>comparisons</w:t>
      </w:r>
      <w:r>
        <w:rPr>
          <w:i w:val="0"/>
        </w:rPr>
        <w:t xml:space="preserve">, continuous variables were compared </w:t>
      </w:r>
      <w:r>
        <w:rPr>
          <w:i w:val="0"/>
        </w:rPr>
        <w:t>using the Mann-Whitney U test</w:t>
      </w:r>
      <w:r>
        <w:rPr>
          <w:i w:val="0"/>
        </w:rPr>
        <w:t xml:space="preserve"> and categorical variables using Pearson's chi-square test (</w:t>
      </w:r>
      <w:r>
        <w:rPr>
          <w:i w:val="0"/>
        </w:rPr>
        <w:t>Fisher's exact test</w:t>
      </w:r>
      <w:r>
        <w:rPr>
          <w:i w:val="0"/>
        </w:rPr>
        <w:t xml:space="preserve"> for sparse expected c</w:t>
      </w:r>
      <w:r>
        <w:rPr>
          <w:i w:val="0"/>
        </w:rPr>
        <w:t xml:space="preserve">ounts). These </w:t>
      </w:r>
      <w:r>
        <w:rPr>
          <w:i w:val="0"/>
        </w:rPr>
        <w:t>P values</w:t>
      </w:r>
      <w:r>
        <w:rPr>
          <w:i w:val="0"/>
        </w:rPr>
        <w:t xml:space="preserve"> were not used for predictor selection or model development.</w:t>
      </w:r>
    </w:p>
    <w:p>
      <w:pPr>
        <w:pStyle w:val="Heading2"/>
      </w:pPr>
      <w:r>
        <w:t>Temporal sensitivity analysis</w:t>
      </w:r>
    </w:p>
    <w:p>
      <w:r>
        <w:rPr>
          <w:i w:val="0"/>
        </w:rPr>
        <w:t>T</w:t>
      </w:r>
      <w:r>
        <w:rPr>
          <w:i w:val="0"/>
        </w:rPr>
        <w:t>he</w:t>
      </w:r>
      <w:r>
        <w:rPr>
          <w:i w:val="0"/>
        </w:rPr>
        <w:t xml:space="preserve"> temporal sensitivity analysis was </w:t>
      </w:r>
      <w:r>
        <w:rPr>
          <w:i w:val="0"/>
          <w:highlight w:val="yellow"/>
        </w:rPr>
        <w:t>bas</w:t>
      </w:r>
      <w:r>
        <w:rPr>
          <w:i w:val="0"/>
        </w:rPr>
        <w:t>e</w:t>
      </w:r>
      <w:r>
        <w:rPr>
          <w:i w:val="0"/>
          <w:highlight w:val="yellow"/>
        </w:rPr>
        <w:t xml:space="preserve">d </w:t>
      </w:r>
      <w:r>
        <w:rPr>
          <w:i w:val="0"/>
        </w:rPr>
        <w:t>o</w:t>
      </w:r>
      <w:r>
        <w:rPr>
          <w:i w:val="0"/>
          <w:highlight w:val="yellow"/>
        </w:rPr>
        <w:t>n</w:t>
      </w:r>
      <w:r>
        <w:rPr>
          <w:i w:val="0"/>
        </w:rPr>
        <w:t xml:space="preserve"> </w:t>
      </w:r>
      <w:r>
        <w:rPr>
          <w:i w:val="0"/>
          <w:highlight w:val="yellow"/>
        </w:rPr>
        <w:t>i</w:t>
      </w:r>
      <w:r>
        <w:rPr>
          <w:i w:val="0"/>
        </w:rPr>
        <w:t>nst</w:t>
      </w:r>
      <w:r>
        <w:rPr>
          <w:i w:val="0"/>
          <w:highlight w:val="yellow"/>
        </w:rPr>
        <w:t>itutionally deidentified hospitalization/co</w:t>
      </w:r>
      <w:r>
        <w:rPr>
          <w:i w:val="0"/>
        </w:rPr>
        <w:t>r</w:t>
      </w:r>
      <w:r>
        <w:rPr>
          <w:i w:val="0"/>
          <w:highlight w:val="yellow"/>
        </w:rPr>
        <w:t>onary-angiography dates asso</w:t>
      </w:r>
      <w:r>
        <w:rPr>
          <w:i w:val="0"/>
        </w:rPr>
        <w:t>c</w:t>
      </w:r>
      <w:r>
        <w:rPr>
          <w:i w:val="0"/>
          <w:highlight w:val="yellow"/>
        </w:rPr>
        <w:t>ia</w:t>
      </w:r>
      <w:r>
        <w:rPr>
          <w:i w:val="0"/>
        </w:rPr>
        <w:t xml:space="preserve">ted </w:t>
      </w:r>
      <w:r>
        <w:rPr>
          <w:i w:val="0"/>
          <w:highlight w:val="yellow"/>
        </w:rPr>
        <w:t>with the 2020-2026 st</w:t>
      </w:r>
      <w:r>
        <w:rPr>
          <w:i w:val="0"/>
        </w:rPr>
        <w:t>u</w:t>
      </w:r>
      <w:r>
        <w:rPr>
          <w:i w:val="0"/>
          <w:highlight w:val="yellow"/>
        </w:rPr>
        <w:t>dy-period cohort. The</w:t>
      </w:r>
      <w:r>
        <w:rPr>
          <w:i w:val="0"/>
        </w:rPr>
        <w:t>s</w:t>
      </w:r>
      <w:r>
        <w:rPr>
          <w:i w:val="0"/>
          <w:highlight w:val="yellow"/>
        </w:rPr>
        <w:t>e dates were sh</w:t>
      </w:r>
      <w:r>
        <w:rPr>
          <w:i w:val="0"/>
        </w:rPr>
        <w:t>i</w:t>
      </w:r>
      <w:r>
        <w:rPr>
          <w:i w:val="0"/>
          <w:highlight w:val="yellow"/>
        </w:rPr>
        <w:t>fted</w:t>
      </w:r>
      <w:r>
        <w:rPr>
          <w:i w:val="0"/>
        </w:rPr>
        <w:t xml:space="preserve"> </w:t>
      </w:r>
      <w:r>
        <w:rPr>
          <w:i w:val="0"/>
          <w:highlight w:val="yellow"/>
        </w:rPr>
        <w:t>o</w:t>
      </w:r>
      <w:r>
        <w:rPr>
          <w:i w:val="0"/>
        </w:rPr>
        <w:t>n a</w:t>
      </w:r>
      <w:r>
        <w:rPr>
          <w:i w:val="0"/>
          <w:highlight w:val="yellow"/>
        </w:rPr>
        <w:t xml:space="preserve"> </w:t>
      </w:r>
      <w:r>
        <w:rPr>
          <w:i w:val="0"/>
        </w:rPr>
        <w:t>p</w:t>
      </w:r>
      <w:r>
        <w:rPr>
          <w:i w:val="0"/>
        </w:rPr>
        <w:t>at</w:t>
      </w:r>
      <w:r>
        <w:rPr>
          <w:i w:val="0"/>
          <w:highlight w:val="yellow"/>
        </w:rPr>
        <w:t>i</w:t>
      </w:r>
      <w:r>
        <w:rPr>
          <w:i w:val="0"/>
        </w:rPr>
        <w:t>e</w:t>
      </w:r>
      <w:r>
        <w:rPr>
          <w:i w:val="0"/>
          <w:highlight w:val="yellow"/>
        </w:rPr>
        <w:t>nt-specific basis within +/-182 da</w:t>
      </w:r>
      <w:r>
        <w:rPr>
          <w:i w:val="0"/>
        </w:rPr>
        <w:t>y</w:t>
      </w:r>
      <w:r>
        <w:rPr>
          <w:i w:val="0"/>
          <w:highlight w:val="yellow"/>
        </w:rPr>
        <w:t>s; a</w:t>
      </w:r>
      <w:r>
        <w:rPr>
          <w:i w:val="0"/>
        </w:rPr>
        <w:t xml:space="preserve"> six-month buffer </w:t>
      </w:r>
      <w:r>
        <w:rPr>
          <w:i w:val="0"/>
          <w:highlight w:val="yellow"/>
        </w:rPr>
        <w:t>around the shifted-date split was excluded to reduce potential misclassificati</w:t>
      </w:r>
      <w:r>
        <w:rPr>
          <w:i w:val="0"/>
        </w:rPr>
        <w:t xml:space="preserve">on </w:t>
      </w:r>
      <w:r>
        <w:rPr>
          <w:i w:val="0"/>
          <w:highlight w:val="yellow"/>
        </w:rPr>
        <w:t>of t</w:t>
      </w:r>
      <w:r>
        <w:rPr>
          <w:i w:val="0"/>
        </w:rPr>
        <w:t>e</w:t>
      </w:r>
      <w:r>
        <w:rPr>
          <w:i w:val="0"/>
          <w:highlight w:val="yellow"/>
        </w:rPr>
        <w:t>mporal order</w:t>
      </w:r>
      <w:r>
        <w:rPr>
          <w:i w:val="0"/>
        </w:rPr>
        <w:t>i</w:t>
      </w:r>
      <w:r>
        <w:rPr>
          <w:i w:val="0"/>
          <w:highlight w:val="yellow"/>
        </w:rPr>
        <w:t>ng. Legacy WBC_test_time fields were not used for temporal allocation. The retained analysis record identifies an earlier development group, an excluded buffer, and a later fixed-evaluation group, but does not retain a source-verified calendar cutpoint. We therefore report the groups by analysis role ra</w:t>
      </w:r>
      <w:r>
        <w:rPr>
          <w:i w:val="0"/>
        </w:rPr>
        <w:t xml:space="preserve">ther </w:t>
      </w:r>
      <w:r>
        <w:rPr>
          <w:i w:val="0"/>
          <w:highlight w:val="yellow"/>
        </w:rPr>
        <w:t xml:space="preserve">than </w:t>
      </w:r>
      <w:r>
        <w:rPr>
          <w:i w:val="0"/>
        </w:rPr>
        <w:t>s</w:t>
      </w:r>
      <w:r>
        <w:rPr>
          <w:i w:val="0"/>
          <w:highlight w:val="yellow"/>
        </w:rPr>
        <w:t>upply</w:t>
      </w:r>
      <w:r>
        <w:rPr>
          <w:i w:val="0"/>
        </w:rPr>
        <w:t xml:space="preserve"> the</w:t>
      </w:r>
      <w:r>
        <w:rPr>
          <w:i w:val="0"/>
          <w:highlight w:val="yellow"/>
        </w:rPr>
        <w:t xml:space="preserve"> unsupported calendar cutoff from an earlier draft. The groups were development N=1,001 (AMI=196), buffer N=271 (AMI=79), and later N=548 (AMI=178). This</w:t>
      </w:r>
      <w:r>
        <w:rPr>
          <w:i w:val="0"/>
        </w:rPr>
        <w:t xml:space="preserve"> temporal s</w:t>
      </w:r>
      <w:r>
        <w:rPr>
          <w:i w:val="0"/>
          <w:highlight w:val="yellow"/>
        </w:rPr>
        <w:t>ens</w:t>
      </w:r>
      <w:r>
        <w:rPr>
          <w:i w:val="0"/>
        </w:rPr>
        <w:t>it</w:t>
      </w:r>
      <w:r>
        <w:rPr>
          <w:i w:val="0"/>
          <w:highlight w:val="yellow"/>
        </w:rPr>
        <w:t>iv</w:t>
      </w:r>
      <w:r>
        <w:rPr>
          <w:i w:val="0"/>
        </w:rPr>
        <w:t>it</w:t>
      </w:r>
      <w:r>
        <w:rPr>
          <w:i w:val="0"/>
        </w:rPr>
        <w:t>y</w:t>
      </w:r>
      <w:r>
        <w:rPr>
          <w:i w:val="0"/>
        </w:rPr>
        <w:t xml:space="preserve"> analysis</w:t>
      </w:r>
      <w:r>
        <w:rPr>
          <w:i w:val="0"/>
        </w:rPr>
        <w:t xml:space="preserve"> </w:t>
      </w:r>
      <w:r>
        <w:rPr>
          <w:i w:val="0"/>
          <w:highlight w:val="yellow"/>
        </w:rPr>
        <w:t>is</w:t>
      </w:r>
      <w:r>
        <w:rPr>
          <w:i w:val="0"/>
        </w:rPr>
        <w:t xml:space="preserve"> </w:t>
      </w:r>
      <w:r>
        <w:rPr>
          <w:i w:val="0"/>
          <w:highlight w:val="yellow"/>
        </w:rPr>
        <w:t>not fo</w:t>
      </w:r>
      <w:r>
        <w:rPr>
          <w:i w:val="0"/>
        </w:rPr>
        <w:t>r</w:t>
      </w:r>
      <w:r>
        <w:rPr>
          <w:i w:val="0"/>
          <w:highlight w:val="yellow"/>
        </w:rPr>
        <w:t>mal t</w:t>
      </w:r>
      <w:r>
        <w:rPr>
          <w:i w:val="0"/>
        </w:rPr>
        <w:t>em</w:t>
      </w:r>
      <w:r>
        <w:rPr>
          <w:i w:val="0"/>
          <w:highlight w:val="yellow"/>
        </w:rPr>
        <w:t>por</w:t>
      </w:r>
      <w:r>
        <w:rPr>
          <w:i w:val="0"/>
        </w:rPr>
        <w:t>a</w:t>
      </w:r>
      <w:r>
        <w:rPr>
          <w:i w:val="0"/>
          <w:highlight w:val="yellow"/>
        </w:rPr>
        <w:t>l</w:t>
      </w:r>
      <w:r>
        <w:rPr>
          <w:i w:val="0"/>
        </w:rPr>
        <w:t xml:space="preserve"> </w:t>
      </w:r>
      <w:r>
        <w:rPr>
          <w:i w:val="0"/>
          <w:highlight w:val="yellow"/>
        </w:rPr>
        <w:t>v</w:t>
      </w:r>
      <w:r>
        <w:rPr>
          <w:i w:val="0"/>
        </w:rPr>
        <w:t>a</w:t>
      </w:r>
      <w:r>
        <w:rPr>
          <w:i w:val="0"/>
        </w:rPr>
        <w:t>li</w:t>
      </w:r>
      <w:r>
        <w:rPr>
          <w:i w:val="0"/>
        </w:rPr>
        <w:t>d</w:t>
      </w:r>
      <w:r>
        <w:rPr>
          <w:i w:val="0"/>
        </w:rPr>
        <w:t>ation</w:t>
      </w:r>
      <w:r>
        <w:rPr>
          <w:i w:val="0"/>
        </w:rPr>
        <w:t>.</w:t>
      </w:r>
    </w:p>
    <w:p>
      <w:pPr>
        <w:pStyle w:val="Heading2"/>
      </w:pPr>
      <w:r>
        <w:t>Phenotype and missingness sensitivity analyses</w:t>
      </w:r>
    </w:p>
    <w:p>
      <w:r>
        <w:rPr>
          <w:i w:val="0"/>
        </w:rPr>
        <w:t>High-specificity phenotype</w:t>
      </w:r>
      <w:r>
        <w:rPr>
          <w:i w:val="0"/>
        </w:rPr>
        <w:t xml:space="preserve"> and strict-control results were treated as sensitivity analyses. </w:t>
      </w:r>
      <w:r>
        <w:rPr>
          <w:i w:val="0"/>
          <w:highlight w:val="yellow"/>
        </w:rPr>
        <w:t xml:space="preserve">The high-specificity comparison comprised 138 of the 178 later-group AMI records plus 288 strict CAD/angina controls; the other 40 later-group AMI records did not meet the prespecified diagnosis-text rule and should not be interpreted as adjudicated misclassifications. </w:t>
      </w:r>
      <w:r>
        <w:rPr>
          <w:i w:val="0"/>
        </w:rPr>
        <w:t xml:space="preserve">Fibrinogen </w:t>
      </w:r>
      <w:r>
        <w:rPr>
          <w:i w:val="0"/>
          <w:highlight w:val="yellow"/>
        </w:rPr>
        <w:t xml:space="preserve">was missing in 115/1,820 patients (6.32%), including 27/453 AMI patients (5.96%) and 88/1,367 non-AMI CAD patients (6.44%). Core-7 and Enhanced </w:t>
      </w:r>
      <w:r>
        <w:rPr>
          <w:i w:val="0"/>
        </w:rPr>
        <w:t>complete</w:t>
      </w:r>
      <w:r>
        <w:rPr>
          <w:i w:val="0"/>
          <w:highlight w:val="yellow"/>
        </w:rPr>
        <w:t>-cas</w:t>
      </w:r>
      <w:r>
        <w:rPr>
          <w:i w:val="0"/>
        </w:rPr>
        <w:t>e</w:t>
      </w:r>
      <w:r>
        <w:rPr>
          <w:i w:val="0"/>
        </w:rPr>
        <w:t xml:space="preserve"> m</w:t>
      </w:r>
      <w:r>
        <w:rPr>
          <w:i w:val="0"/>
          <w:highlight w:val="yellow"/>
        </w:rPr>
        <w:t>od</w:t>
      </w:r>
      <w:r>
        <w:rPr>
          <w:i w:val="0"/>
        </w:rPr>
        <w:t>e</w:t>
      </w:r>
      <w:r>
        <w:rPr>
          <w:i w:val="0"/>
          <w:highlight w:val="yellow"/>
        </w:rPr>
        <w:t>l</w:t>
      </w:r>
      <w:r>
        <w:rPr>
          <w:i w:val="0"/>
        </w:rPr>
        <w:t>s</w:t>
      </w:r>
      <w:r>
        <w:rPr>
          <w:i w:val="0"/>
        </w:rPr>
        <w:t xml:space="preserve"> were </w:t>
      </w:r>
      <w:r>
        <w:rPr>
          <w:i w:val="0"/>
          <w:highlight w:val="yellow"/>
        </w:rPr>
        <w:t>comp</w:t>
      </w:r>
      <w:r>
        <w:rPr>
          <w:i w:val="0"/>
        </w:rPr>
        <w:t>a</w:t>
      </w:r>
      <w:r>
        <w:rPr>
          <w:i w:val="0"/>
          <w:highlight w:val="yellow"/>
        </w:rPr>
        <w:t>re</w:t>
      </w:r>
      <w:r>
        <w:rPr>
          <w:i w:val="0"/>
        </w:rPr>
        <w:t>d</w:t>
      </w:r>
      <w:r>
        <w:rPr>
          <w:i w:val="0"/>
          <w:highlight w:val="yellow"/>
        </w:rPr>
        <w:t xml:space="preserve"> in the same 1,705 patients and identical validation part</w:t>
      </w:r>
      <w:r>
        <w:rPr>
          <w:i w:val="0"/>
        </w:rPr>
        <w:t>it</w:t>
      </w:r>
      <w:r>
        <w:rPr>
          <w:i w:val="0"/>
          <w:highlight w:val="yellow"/>
        </w:rPr>
        <w:t>ions; no fibrinogen imputation was us</w:t>
      </w:r>
      <w:r>
        <w:rPr>
          <w:i w:val="0"/>
        </w:rPr>
        <w:t>ed</w:t>
      </w:r>
      <w:r>
        <w:rPr>
          <w:i w:val="0"/>
          <w:highlight w:val="yellow"/>
        </w:rPr>
        <w:t xml:space="preserve"> in this comparison</w:t>
      </w:r>
      <w:r>
        <w:rPr>
          <w:i w:val="0"/>
        </w:rPr>
        <w:t>. Fibrinogen was not used to re-adjudicate all AMI phenotypes. P</w:t>
      </w:r>
      <w:r>
        <w:rPr>
          <w:i w:val="0"/>
        </w:rPr>
        <w:t>DW</w:t>
      </w:r>
      <w:r>
        <w:rPr>
          <w:i w:val="0"/>
        </w:rPr>
        <w:t xml:space="preserve"> was evaluated </w:t>
      </w:r>
      <w:r>
        <w:rPr>
          <w:i w:val="0"/>
        </w:rPr>
        <w:t>separate</w:t>
      </w:r>
      <w:r>
        <w:rPr>
          <w:i w:val="0"/>
          <w:highlight w:val="yellow"/>
        </w:rPr>
        <w:t>ly</w:t>
      </w:r>
      <w:r>
        <w:rPr>
          <w:i w:val="0"/>
        </w:rPr>
        <w:t xml:space="preserve"> and was not retained because its re-entry criteria were not satisfied.</w:t>
      </w:r>
    </w:p>
    <w:p>
      <w:pPr>
        <w:pStyle w:val="Heading2"/>
      </w:pPr>
      <w:r>
        <w:t>Reporting and reproducibility</w:t>
      </w:r>
    </w:p>
    <w:p>
      <w:r>
        <w:rPr>
          <w:i w:val="0"/>
          <w:highlight w:val="yellow"/>
        </w:rPr>
        <w:t>An exploratory d</w:t>
      </w:r>
      <w:r>
        <w:rPr>
          <w:i w:val="0"/>
        </w:rPr>
        <w:t xml:space="preserve">ecision-curve analysis </w:t>
      </w:r>
      <w:r>
        <w:rPr>
          <w:i w:val="0"/>
        </w:rPr>
        <w:t>use</w:t>
      </w:r>
      <w:r>
        <w:rPr>
          <w:i w:val="0"/>
          <w:highlight w:val="yellow"/>
        </w:rPr>
        <w:t>d</w:t>
      </w:r>
      <w:r>
        <w:rPr>
          <w:i w:val="0"/>
        </w:rPr>
        <w:t xml:space="preserve"> the </w:t>
      </w:r>
      <w:r>
        <w:rPr>
          <w:i w:val="0"/>
          <w:highlight w:val="yellow"/>
        </w:rPr>
        <w:t>s</w:t>
      </w:r>
      <w:r>
        <w:rPr>
          <w:i w:val="0"/>
        </w:rPr>
        <w:t>a</w:t>
      </w:r>
      <w:r>
        <w:rPr>
          <w:i w:val="0"/>
          <w:highlight w:val="yellow"/>
        </w:rPr>
        <w:t>me fibrinogen-complete N=1,705 p</w:t>
      </w:r>
      <w:r>
        <w:rPr>
          <w:i w:val="0"/>
        </w:rPr>
        <w:t>a</w:t>
      </w:r>
      <w:r>
        <w:rPr>
          <w:i w:val="0"/>
          <w:highlight w:val="yellow"/>
        </w:rPr>
        <w:t>t</w:t>
      </w:r>
      <w:r>
        <w:rPr>
          <w:i w:val="0"/>
        </w:rPr>
        <w:t>i</w:t>
      </w:r>
      <w:r>
        <w:rPr>
          <w:i w:val="0"/>
          <w:highlight w:val="yellow"/>
        </w:rPr>
        <w:t>ents and he</w:t>
      </w:r>
      <w:r>
        <w:rPr>
          <w:i w:val="0"/>
        </w:rPr>
        <w:t>l</w:t>
      </w:r>
      <w:r>
        <w:rPr>
          <w:i w:val="0"/>
          <w:highlight w:val="yellow"/>
        </w:rPr>
        <w:t>d-out predictions for the four clinic</w:t>
      </w:r>
      <w:r>
        <w:rPr>
          <w:i w:val="0"/>
        </w:rPr>
        <w:t>a</w:t>
      </w:r>
      <w:r>
        <w:rPr>
          <w:i w:val="0"/>
        </w:rPr>
        <w:t>l</w:t>
      </w:r>
      <w:r>
        <w:rPr>
          <w:i w:val="0"/>
          <w:highlight w:val="yellow"/>
        </w:rPr>
        <w:t xml:space="preserve"> models, with treat-all and treat-non</w:t>
      </w:r>
      <w:r>
        <w:rPr>
          <w:i w:val="0"/>
        </w:rPr>
        <w:t>e re</w:t>
      </w:r>
      <w:r>
        <w:rPr>
          <w:i w:val="0"/>
          <w:highlight w:val="yellow"/>
        </w:rPr>
        <w:t>feren</w:t>
      </w:r>
      <w:r>
        <w:rPr>
          <w:i w:val="0"/>
        </w:rPr>
        <w:t>c</w:t>
      </w:r>
      <w:r>
        <w:rPr>
          <w:i w:val="0"/>
          <w:highlight w:val="yellow"/>
        </w:rPr>
        <w:t xml:space="preserve">es </w:t>
      </w:r>
      <w:r>
        <w:rPr>
          <w:i w:val="0"/>
        </w:rPr>
        <w:t>o</w:t>
      </w:r>
      <w:r>
        <w:rPr>
          <w:i w:val="0"/>
          <w:highlight w:val="yellow"/>
        </w:rPr>
        <w:t>ve</w:t>
      </w:r>
      <w:r>
        <w:rPr>
          <w:i w:val="0"/>
        </w:rPr>
        <w:t>r</w:t>
      </w:r>
      <w:r>
        <w:rPr>
          <w:i w:val="0"/>
          <w:highlight w:val="yellow"/>
        </w:rPr>
        <w:t xml:space="preserve"> threshol</w:t>
      </w:r>
      <w:r>
        <w:rPr>
          <w:i w:val="0"/>
        </w:rPr>
        <w:t xml:space="preserve">ds </w:t>
      </w:r>
      <w:r>
        <w:rPr>
          <w:i w:val="0"/>
          <w:highlight w:val="yellow"/>
        </w:rPr>
        <w:t xml:space="preserve">0.05-0.50 [27]; it </w:t>
      </w:r>
      <w:r>
        <w:rPr>
          <w:i w:val="0"/>
        </w:rPr>
        <w:t>d</w:t>
      </w:r>
      <w:r>
        <w:rPr>
          <w:i w:val="0"/>
          <w:highlight w:val="yellow"/>
        </w:rPr>
        <w:t>oes</w:t>
      </w:r>
      <w:r>
        <w:rPr>
          <w:i w:val="0"/>
        </w:rPr>
        <w:t xml:space="preserve"> not </w:t>
      </w:r>
      <w:r>
        <w:rPr>
          <w:i w:val="0"/>
          <w:highlight w:val="yellow"/>
        </w:rPr>
        <w:t>establish clinical utility or treatment ben</w:t>
      </w:r>
      <w:r>
        <w:rPr>
          <w:i w:val="0"/>
        </w:rPr>
        <w:t>efi</w:t>
      </w:r>
      <w:r>
        <w:rPr>
          <w:i w:val="0"/>
        </w:rPr>
        <w:t>t</w:t>
      </w:r>
      <w:r>
        <w:rPr>
          <w:i w:val="0"/>
        </w:rPr>
        <w:t>. Reporting followed TRIPOD+AI 2024, with PROBAST+AI 2025 used for structured self-audit and STROBE retained for the observational design [28-30]. Figures were generated in R from validated analysis outputs with separate source-data files and scripts. Detailed predictor definitions, preprocessing specifications, model stability results, and sensitivity analyses are provided in Additional files 1 and 2.</w:t>
      </w:r>
    </w:p>
    <w:p>
      <w:pPr>
        <w:pStyle w:val="Heading2"/>
      </w:pPr>
      <w:r>
        <w:t>Use of generative AI tools</w:t>
      </w:r>
    </w:p>
    <w:p>
      <w:r>
        <w:rPr>
          <w:i w:val="0"/>
        </w:rPr>
        <w:t>Generative AI tools were used to assist with English-language polishing and code drafting under author supervision. All analysis code was reviewed and tested by the authors, and all data handling, statistical analyses, numerical results, references, interpretations, and final manuscript content were verified by the human authors, who retain full responsibility for the work. No generative AI was used to create patient data or scientific figures.</w:t>
      </w:r>
    </w:p>
    <w:p>
      <w:pPr>
        <w:pStyle w:val="Heading1"/>
      </w:pPr>
      <w:r>
        <w:t>Results</w:t>
      </w:r>
    </w:p>
    <w:p>
      <w:pPr>
        <w:pStyle w:val="Heading2"/>
      </w:pPr>
      <w:r>
        <w:t>Study population</w:t>
      </w:r>
    </w:p>
    <w:p>
      <w:r>
        <w:rPr>
          <w:i w:val="0"/>
        </w:rPr>
        <w:t xml:space="preserve">Of the 2,279 </w:t>
      </w:r>
      <w:r>
        <w:rPr>
          <w:i w:val="0"/>
          <w:highlight w:val="yellow"/>
        </w:rPr>
        <w:t>un</w:t>
      </w:r>
      <w:r>
        <w:rPr>
          <w:i w:val="0"/>
        </w:rPr>
        <w:t>i</w:t>
      </w:r>
      <w:r>
        <w:rPr>
          <w:i w:val="0"/>
          <w:highlight w:val="yellow"/>
        </w:rPr>
        <w:t>qu</w:t>
      </w:r>
      <w:r>
        <w:rPr>
          <w:i w:val="0"/>
        </w:rPr>
        <w:t xml:space="preserve">e patients, </w:t>
      </w:r>
      <w:r>
        <w:rPr>
          <w:i w:val="0"/>
          <w:highlight w:val="yellow"/>
        </w:rPr>
        <w:t>1,9</w:t>
      </w:r>
      <w:r>
        <w:rPr>
          <w:i w:val="0"/>
        </w:rPr>
        <w:t>4</w:t>
      </w:r>
      <w:r>
        <w:rPr>
          <w:i w:val="0"/>
          <w:highlight w:val="yellow"/>
        </w:rPr>
        <w:t>4</w:t>
      </w:r>
      <w:r>
        <w:rPr>
          <w:i w:val="0"/>
        </w:rPr>
        <w:t xml:space="preserve"> had</w:t>
      </w:r>
      <w:r>
        <w:rPr>
          <w:i w:val="0"/>
          <w:highlight w:val="yellow"/>
        </w:rPr>
        <w:t xml:space="preserve"> a discharge diagnosis: 456</w:t>
      </w:r>
      <w:r>
        <w:rPr>
          <w:i w:val="0"/>
        </w:rPr>
        <w:t xml:space="preserve"> definite AMI</w:t>
      </w:r>
      <w:r>
        <w:rPr>
          <w:i w:val="0"/>
          <w:highlight w:val="yellow"/>
        </w:rPr>
        <w:t>,</w:t>
      </w:r>
      <w:r>
        <w:rPr>
          <w:i w:val="0"/>
        </w:rPr>
        <w:t xml:space="preserve"> 1,372</w:t>
      </w:r>
      <w:r>
        <w:rPr>
          <w:i w:val="0"/>
        </w:rPr>
        <w:t xml:space="preserve"> definite non-AMI CAD</w:t>
      </w:r>
      <w:r>
        <w:rPr>
          <w:i w:val="0"/>
          <w:highlight w:val="yellow"/>
        </w:rPr>
        <w:t>,</w:t>
      </w:r>
      <w:r>
        <w:rPr>
          <w:i w:val="0"/>
        </w:rPr>
        <w:t xml:space="preserve"> </w:t>
      </w:r>
      <w:r>
        <w:rPr>
          <w:i w:val="0"/>
          <w:highlight w:val="yellow"/>
        </w:rPr>
        <w:t>five</w:t>
      </w:r>
      <w:r>
        <w:rPr>
          <w:i w:val="0"/>
        </w:rPr>
        <w:t xml:space="preserve"> ambiguous </w:t>
      </w:r>
      <w:r>
        <w:rPr>
          <w:i w:val="0"/>
          <w:highlight w:val="yellow"/>
        </w:rPr>
        <w:t>MI ment</w:t>
      </w:r>
      <w:r>
        <w:rPr>
          <w:i w:val="0"/>
        </w:rPr>
        <w:t>i</w:t>
      </w:r>
      <w:r>
        <w:rPr>
          <w:i w:val="0"/>
          <w:highlight w:val="yellow"/>
        </w:rPr>
        <w:t>o</w:t>
      </w:r>
      <w:r>
        <w:rPr>
          <w:i w:val="0"/>
        </w:rPr>
        <w:t>n</w:t>
      </w:r>
      <w:r>
        <w:rPr>
          <w:i w:val="0"/>
        </w:rPr>
        <w:t>s</w:t>
      </w:r>
      <w:r>
        <w:rPr>
          <w:i w:val="0"/>
          <w:highlight w:val="yellow"/>
        </w:rPr>
        <w:t>,</w:t>
      </w:r>
      <w:r>
        <w:rPr>
          <w:i w:val="0"/>
        </w:rPr>
        <w:t xml:space="preserve"> and 111 </w:t>
      </w:r>
      <w:r>
        <w:rPr>
          <w:i w:val="0"/>
          <w:highlight w:val="yellow"/>
        </w:rPr>
        <w:t>outs</w:t>
      </w:r>
      <w:r>
        <w:rPr>
          <w:i w:val="0"/>
        </w:rPr>
        <w:t>id</w:t>
      </w:r>
      <w:r>
        <w:rPr>
          <w:i w:val="0"/>
        </w:rPr>
        <w:t>e</w:t>
      </w:r>
      <w:r>
        <w:rPr>
          <w:i w:val="0"/>
        </w:rPr>
        <w:t xml:space="preserve"> the CAD</w:t>
      </w:r>
      <w:r>
        <w:rPr>
          <w:i w:val="0"/>
          <w:highlight w:val="yellow"/>
        </w:rPr>
        <w:t>/AMI</w:t>
      </w:r>
      <w:r>
        <w:rPr>
          <w:i w:val="0"/>
        </w:rPr>
        <w:t xml:space="preserve"> </w:t>
      </w:r>
      <w:r>
        <w:rPr>
          <w:i w:val="0"/>
          <w:highlight w:val="yellow"/>
        </w:rPr>
        <w:t>targ</w:t>
      </w:r>
      <w:r>
        <w:rPr>
          <w:i w:val="0"/>
        </w:rPr>
        <w:t>e</w:t>
      </w:r>
      <w:r>
        <w:rPr>
          <w:i w:val="0"/>
          <w:highlight w:val="yellow"/>
        </w:rPr>
        <w:t>t. The rema</w:t>
      </w:r>
      <w:r>
        <w:rPr>
          <w:i w:val="0"/>
        </w:rPr>
        <w:t>ini</w:t>
      </w:r>
      <w:r>
        <w:rPr>
          <w:i w:val="0"/>
          <w:highlight w:val="yellow"/>
        </w:rPr>
        <w:t>ng 335 pa</w:t>
      </w:r>
      <w:r>
        <w:rPr>
          <w:i w:val="0"/>
        </w:rPr>
        <w:t>ti</w:t>
      </w:r>
      <w:r>
        <w:rPr>
          <w:i w:val="0"/>
          <w:highlight w:val="yellow"/>
        </w:rPr>
        <w:t>ents had n</w:t>
      </w:r>
      <w:r>
        <w:rPr>
          <w:i w:val="0"/>
        </w:rPr>
        <w:t>o</w:t>
      </w:r>
      <w:r>
        <w:rPr>
          <w:i w:val="0"/>
          <w:highlight w:val="yellow"/>
        </w:rPr>
        <w:t xml:space="preserve"> discharge diag</w:t>
      </w:r>
      <w:r>
        <w:rPr>
          <w:i w:val="0"/>
        </w:rPr>
        <w:t>n</w:t>
      </w:r>
      <w:r>
        <w:rPr>
          <w:i w:val="0"/>
          <w:highlight w:val="yellow"/>
        </w:rPr>
        <w:t>osis</w:t>
      </w:r>
      <w:r>
        <w:rPr>
          <w:i w:val="0"/>
        </w:rPr>
        <w:t xml:space="preserve">. Among 1,828 patients with a definite AMI or non-AMI CAD </w:t>
      </w:r>
      <w:r>
        <w:rPr>
          <w:i w:val="0"/>
          <w:highlight w:val="yellow"/>
        </w:rPr>
        <w:t>phe</w:t>
      </w:r>
      <w:r>
        <w:rPr>
          <w:i w:val="0"/>
        </w:rPr>
        <w:t>no</w:t>
      </w:r>
      <w:r>
        <w:rPr>
          <w:i w:val="0"/>
          <w:highlight w:val="yellow"/>
        </w:rPr>
        <w:t>type</w:t>
      </w:r>
      <w:r>
        <w:rPr>
          <w:i w:val="0"/>
        </w:rPr>
        <w:t xml:space="preserve">, eight </w:t>
      </w:r>
      <w:r>
        <w:rPr>
          <w:i w:val="0"/>
          <w:highlight w:val="yellow"/>
        </w:rPr>
        <w:t>la</w:t>
      </w:r>
      <w:r>
        <w:rPr>
          <w:i w:val="0"/>
        </w:rPr>
        <w:t>c</w:t>
      </w:r>
      <w:r>
        <w:rPr>
          <w:i w:val="0"/>
          <w:highlight w:val="yellow"/>
        </w:rPr>
        <w:t>k</w:t>
      </w:r>
      <w:r>
        <w:rPr>
          <w:i w:val="0"/>
        </w:rPr>
        <w:t xml:space="preserve">ed </w:t>
      </w:r>
      <w:r>
        <w:rPr>
          <w:i w:val="0"/>
          <w:highlight w:val="yellow"/>
        </w:rPr>
        <w:t>on</w:t>
      </w:r>
      <w:r>
        <w:rPr>
          <w:i w:val="0"/>
        </w:rPr>
        <w:t xml:space="preserve">e </w:t>
      </w:r>
      <w:r>
        <w:rPr>
          <w:i w:val="0"/>
          <w:highlight w:val="yellow"/>
        </w:rPr>
        <w:t>or mor</w:t>
      </w:r>
      <w:r>
        <w:rPr>
          <w:i w:val="0"/>
        </w:rPr>
        <w:t xml:space="preserve">e required core CBC measurements </w:t>
      </w:r>
      <w:r>
        <w:rPr>
          <w:i w:val="0"/>
          <w:highlight w:val="yellow"/>
        </w:rPr>
        <w:t>(th</w:t>
      </w:r>
      <w:r>
        <w:rPr>
          <w:i w:val="0"/>
        </w:rPr>
        <w:t>re</w:t>
      </w:r>
      <w:r>
        <w:rPr>
          <w:i w:val="0"/>
        </w:rPr>
        <w:t>e</w:t>
      </w:r>
      <w:r>
        <w:rPr>
          <w:i w:val="0"/>
        </w:rPr>
        <w:t xml:space="preserve"> AMI and </w:t>
      </w:r>
      <w:r>
        <w:rPr>
          <w:i w:val="0"/>
          <w:highlight w:val="yellow"/>
        </w:rPr>
        <w:t>five</w:t>
      </w:r>
      <w:r>
        <w:rPr>
          <w:i w:val="0"/>
        </w:rPr>
        <w:t xml:space="preserve"> non-AMI CAD). The final primary cohort</w:t>
      </w:r>
      <w:r>
        <w:rPr>
          <w:i w:val="0"/>
        </w:rPr>
        <w:t xml:space="preserve"> included 1,820 patients (453 AMI and 1,367 non-AMI CAD). The strict-control sensitivity cohort included 1,517 patients (453 AMI and 1,064 controls). </w:t>
      </w:r>
      <w:r>
        <w:rPr>
          <w:i w:val="0"/>
        </w:rPr>
        <w:t>Figure 1</w:t>
      </w:r>
      <w:r>
        <w:rPr>
          <w:i w:val="0"/>
          <w:highlight w:val="yellow"/>
        </w:rPr>
        <w:t xml:space="preserve"> summarizes source-record consolidation and cohort selection</w:t>
      </w:r>
      <w:r>
        <w:rPr>
          <w:i w:val="0"/>
        </w:rPr>
        <w:t>.</w:t>
      </w:r>
    </w:p>
    <w:p>
      <w:pPr>
        <w:jc w:val="center"/>
      </w:pPr>
      <w:r>
        <w:drawing>
          <wp:inline xmlns:a="http://schemas.openxmlformats.org/drawingml/2006/main" xmlns:pic="http://schemas.openxmlformats.org/drawingml/2006/picture">
            <wp:extent cx="5623560" cy="6405382"/>
            <wp:docPr id="1" name="Picture 1"/>
            <wp:cNvGraphicFramePr>
              <a:graphicFrameLocks noChangeAspect="1"/>
            </wp:cNvGraphicFramePr>
            <a:graphic>
              <a:graphicData uri="http://schemas.openxmlformats.org/drawingml/2006/picture">
                <pic:pic>
                  <pic:nvPicPr>
                    <pic:cNvPr id="0" name="Figure1_Study_Population_Flow.tiff"/>
                    <pic:cNvPicPr/>
                  </pic:nvPicPr>
                  <pic:blipFill>
                    <a:blip r:embed="rId10"/>
                    <a:stretch>
                      <a:fillRect/>
                    </a:stretch>
                  </pic:blipFill>
                  <pic:spPr>
                    <a:xfrm>
                      <a:off x="0" y="0"/>
                      <a:ext cx="5623560" cy="6405382"/>
                    </a:xfrm>
                    <a:prstGeom prst="rect"/>
                  </pic:spPr>
                </pic:pic>
              </a:graphicData>
            </a:graphic>
          </wp:inline>
        </w:drawing>
      </w:r>
    </w:p>
    <w:p>
      <w:pPr>
        <w:spacing w:after="160"/>
        <w:jc w:val="left"/>
      </w:pPr>
      <w:r>
        <w:rPr>
          <w:i w:val="0"/>
          <w:sz w:val="18"/>
        </w:rPr>
        <w:t xml:space="preserve">Figure 1. Study population flow. </w:t>
      </w:r>
      <w:r>
        <w:rPr>
          <w:i w:val="0"/>
          <w:sz w:val="18"/>
          <w:highlight w:val="yellow"/>
        </w:rPr>
        <w:t>Sou</w:t>
      </w:r>
      <w:r>
        <w:rPr>
          <w:i w:val="0"/>
          <w:sz w:val="18"/>
        </w:rPr>
        <w:t>r</w:t>
      </w:r>
      <w:r>
        <w:rPr>
          <w:i w:val="0"/>
          <w:sz w:val="18"/>
          <w:highlight w:val="yellow"/>
        </w:rPr>
        <w:t>ce-record consolid</w:t>
      </w:r>
      <w:r>
        <w:rPr>
          <w:i w:val="0"/>
          <w:sz w:val="18"/>
        </w:rPr>
        <w:t>a</w:t>
      </w:r>
      <w:r>
        <w:rPr>
          <w:i w:val="0"/>
          <w:sz w:val="18"/>
          <w:highlight w:val="yellow"/>
        </w:rPr>
        <w:t>tio</w:t>
      </w:r>
      <w:r>
        <w:rPr>
          <w:i w:val="0"/>
          <w:sz w:val="18"/>
        </w:rPr>
        <w:t>n</w:t>
      </w:r>
      <w:r>
        <w:rPr>
          <w:i w:val="0"/>
          <w:sz w:val="18"/>
          <w:highlight w:val="yellow"/>
        </w:rPr>
        <w:t>, dis</w:t>
      </w:r>
      <w:r>
        <w:rPr>
          <w:i w:val="0"/>
          <w:sz w:val="18"/>
        </w:rPr>
        <w:t>ch</w:t>
      </w:r>
      <w:r>
        <w:rPr>
          <w:i w:val="0"/>
          <w:sz w:val="18"/>
          <w:highlight w:val="yellow"/>
        </w:rPr>
        <w:t>ar</w:t>
      </w:r>
      <w:r>
        <w:rPr>
          <w:i w:val="0"/>
          <w:sz w:val="18"/>
        </w:rPr>
        <w:t>g</w:t>
      </w:r>
      <w:r>
        <w:rPr>
          <w:i w:val="0"/>
          <w:sz w:val="18"/>
          <w:highlight w:val="yellow"/>
        </w:rPr>
        <w:t>e-</w:t>
      </w:r>
      <w:r>
        <w:rPr>
          <w:i w:val="0"/>
          <w:sz w:val="18"/>
        </w:rPr>
        <w:t>diagnos</w:t>
      </w:r>
      <w:r>
        <w:rPr>
          <w:i w:val="0"/>
          <w:sz w:val="18"/>
        </w:rPr>
        <w:t>i</w:t>
      </w:r>
      <w:r>
        <w:rPr>
          <w:i w:val="0"/>
          <w:sz w:val="18"/>
          <w:highlight w:val="yellow"/>
        </w:rPr>
        <w:t>s</w:t>
      </w:r>
      <w:r>
        <w:rPr>
          <w:i w:val="0"/>
          <w:sz w:val="18"/>
        </w:rPr>
        <w:t xml:space="preserve"> classification</w:t>
      </w:r>
      <w:r>
        <w:rPr>
          <w:i w:val="0"/>
          <w:sz w:val="18"/>
          <w:highlight w:val="yellow"/>
        </w:rPr>
        <w:t>,</w:t>
      </w:r>
      <w:r>
        <w:rPr>
          <w:i w:val="0"/>
          <w:sz w:val="18"/>
        </w:rPr>
        <w:t xml:space="preserve"> and </w:t>
      </w:r>
      <w:r>
        <w:rPr>
          <w:i w:val="0"/>
          <w:sz w:val="18"/>
          <w:highlight w:val="yellow"/>
        </w:rPr>
        <w:t>f</w:t>
      </w:r>
      <w:r>
        <w:rPr>
          <w:i w:val="0"/>
          <w:sz w:val="18"/>
        </w:rPr>
        <w:t>o</w:t>
      </w:r>
      <w:r>
        <w:rPr>
          <w:i w:val="0"/>
          <w:sz w:val="18"/>
        </w:rPr>
        <w:t>r</w:t>
      </w:r>
      <w:r>
        <w:rPr>
          <w:i w:val="0"/>
          <w:sz w:val="18"/>
          <w:highlight w:val="yellow"/>
        </w:rPr>
        <w:t>ma</w:t>
      </w:r>
      <w:r>
        <w:rPr>
          <w:i w:val="0"/>
          <w:sz w:val="18"/>
        </w:rPr>
        <w:t>tion of the primary and strict-control cohorts.</w:t>
      </w:r>
      <w:r>
        <w:rPr>
          <w:i w:val="0"/>
          <w:sz w:val="18"/>
          <w:highlight w:val="yellow"/>
        </w:rPr>
        <w:t xml:space="preserve"> Source records are not assumed to represent distinct admissions.</w:t>
      </w:r>
    </w:p>
    <w:p>
      <w:pPr>
        <w:pStyle w:val="Figurelegend"/>
      </w:pPr>
      <w:r>
        <w:rPr>
          <w:i w:val="0"/>
        </w:rPr>
        <w:t>Table 1. Baseline characteristics of the primary cohort according to AMI phenotype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39"/>
        <w:gridCol w:w="1539"/>
        <w:gridCol w:w="1539"/>
        <w:gridCol w:w="1539"/>
        <w:gridCol w:w="1539"/>
        <w:gridCol w:w="1539"/>
      </w:tblGrid>
      <w:tr>
        <w:trPr>
          <w:tblHeader w:val="true"/>
        </w:trPr>
        <w:tc>
          <w:tcPr>
            <w:tcW w:type="dxa" w:w="1644"/>
            <w:vAlign w:val="center"/>
            <w:tcMar>
              <w:top w:w="70" w:type="dxa"/>
              <w:start w:w="70" w:type="dxa"/>
              <w:bottom w:w="70" w:type="dxa"/>
              <w:end w:w="70" w:type="dxa"/>
            </w:tcMar>
          </w:tcPr>
          <w:p>
            <w:pPr>
              <w:spacing w:line="240" w:lineRule="auto" w:before="0" w:after="0"/>
            </w:pPr>
            <w:r>
              <w:rPr>
                <w:rFonts w:ascii="Arial" w:hAnsi="Arial"/>
                <w:b/>
                <w:sz w:val="17"/>
              </w:rPr>
              <w:t>Variable</w:t>
            </w:r>
          </w:p>
        </w:tc>
        <w:tc>
          <w:tcPr>
            <w:tcW w:type="dxa" w:w="1304"/>
            <w:vAlign w:val="center"/>
            <w:tcMar>
              <w:top w:w="70" w:type="dxa"/>
              <w:start w:w="70" w:type="dxa"/>
              <w:bottom w:w="70" w:type="dxa"/>
              <w:end w:w="70" w:type="dxa"/>
            </w:tcMar>
          </w:tcPr>
          <w:p>
            <w:pPr>
              <w:spacing w:line="240" w:lineRule="auto" w:before="0" w:after="0"/>
            </w:pPr>
            <w:r>
              <w:rPr>
                <w:rFonts w:ascii="Arial" w:hAnsi="Arial"/>
                <w:b/>
                <w:sz w:val="17"/>
              </w:rPr>
              <w:t>Unit</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Overall</w:t>
              <w:br/>
              <w:t>(N=1820)</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Definite AMI</w:t>
              <w:br/>
              <w:t>(N=453)</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Definite non-AMI CAD</w:t>
              <w:br/>
              <w:t>(N=1367)</w:t>
            </w:r>
          </w:p>
        </w:tc>
        <w:tc>
          <w:tcPr>
            <w:tcW w:type="dxa" w:w="964"/>
            <w:vAlign w:val="center"/>
            <w:tcMar>
              <w:top w:w="70" w:type="dxa"/>
              <w:start w:w="70" w:type="dxa"/>
              <w:bottom w:w="70" w:type="dxa"/>
              <w:end w:w="70" w:type="dxa"/>
            </w:tcMar>
          </w:tcPr>
          <w:p>
            <w:pPr>
              <w:spacing w:line="240" w:lineRule="auto" w:before="0" w:after="0"/>
            </w:pPr>
            <w:r>
              <w:rPr>
                <w:rFonts w:ascii="Arial" w:hAnsi="Arial"/>
                <w:b/>
                <w:sz w:val="17"/>
              </w:rPr>
              <w:t>P-value</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Age</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years</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58.8 [50.4, 67.</w:t>
            </w:r>
            <w:r>
              <w:rPr>
                <w:rFonts w:ascii="Arial" w:hAnsi="Arial"/>
                <w:sz w:val="17"/>
                <w:highlight w:val="yellow"/>
              </w:rPr>
              <w:t>7</w:t>
            </w: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57.4 [48.</w:t>
            </w:r>
            <w:r>
              <w:rPr>
                <w:rFonts w:ascii="Arial" w:hAnsi="Arial"/>
                <w:sz w:val="17"/>
                <w:highlight w:val="yellow"/>
              </w:rPr>
              <w:t>9</w:t>
            </w:r>
            <w:r>
              <w:rPr>
                <w:rFonts w:ascii="Arial" w:hAnsi="Arial"/>
                <w:sz w:val="17"/>
              </w:rPr>
              <w:t>, 66.</w:t>
            </w:r>
            <w:r>
              <w:rPr>
                <w:rFonts w:ascii="Arial" w:hAnsi="Arial"/>
                <w:sz w:val="17"/>
                <w:highlight w:val="yellow"/>
              </w:rPr>
              <w:t>6</w:t>
            </w: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59.3 [50.9, 68.2]</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0.004</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Male sex</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1452/1820 (79.8%)</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376/453 (83.0%)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1076/1367 (78.7%)</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0.049</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Hypertension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927/1741 (53.2%)</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201/435 (46.2%)</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726/1306 (55.6%)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Diabetes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459/1772 (25.9%)</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109/442 (24.7%)</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350/1330 (26.3%)</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0.491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Neutrophils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4.4 [3.5, 6.0]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5.7 [4.0, 8.5]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4.2 [3.3, 5.3]</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Lymphocytes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 [1.5, 2.5]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1.8 [1.3, 2.4]</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 [1.6, 2.5]</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Monocytes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0.5 [0.4, 0.7]</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0.6 [0.4, 0.8]</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0.5 [0.4, 0.6]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Platelets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215.0 [178.0, 255.0]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224.0 [183.0, 266.0]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212.0 [175.5, 253.0]</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MPV</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fL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[9.5, 11.1]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[9.6, 11.1]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[9.5, 11.1]</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0.673</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RDW</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13.1 [12.6, 13.6]</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12.9 [12.4, 13.4]</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13.1 [12.7, 13.6]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Hemoglobin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g/L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142.0 [132.0, 152.0]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144.0 [134.0, 155.0]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141.0 [131.0, 152.0]</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0.009</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Fibrinogen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g/L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 [3.1, 4.1]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3.8 [3.2, 4.5]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 [3.1, 3.9]</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bl>
    <w:p>
      <w:pPr>
        <w:pStyle w:val="Figurelegend"/>
      </w:pPr>
      <w:r>
        <w:rPr>
          <w:i w:val="0"/>
        </w:rPr>
        <w:t>Continuous variables are presented as median [interquartile range] unless otherwise stated. P-values compare definite AMI with definite non-AMI CAD and were calculated using the Mann-Whitney U test for continuous variables and Pearson's chi-square test for categorical variables; they are descriptive and were not used for model development. Available-case denominators were age 18</w:t>
      </w:r>
      <w:r>
        <w:rPr>
          <w:i w:val="0"/>
          <w:highlight w:val="yellow"/>
        </w:rPr>
        <w:t>20</w:t>
      </w:r>
      <w:r>
        <w:rPr>
          <w:i w:val="0"/>
        </w:rPr>
        <w:t xml:space="preserve"> (AMI 45</w:t>
      </w:r>
      <w:r>
        <w:rPr>
          <w:i w:val="0"/>
          <w:highlight w:val="yellow"/>
        </w:rPr>
        <w:t>3</w:t>
      </w:r>
      <w:r>
        <w:rPr>
          <w:i w:val="0"/>
        </w:rPr>
        <w:t>; non-AMI CAD 136</w:t>
      </w:r>
      <w:r>
        <w:rPr>
          <w:i w:val="0"/>
          <w:highlight w:val="yellow"/>
        </w:rPr>
        <w:t>7</w:t>
      </w:r>
      <w:r>
        <w:rPr>
          <w:i w:val="0"/>
        </w:rPr>
        <w:t>), hypertension 1741, diabetes 1772, and fibrinogen 1705.</w:t>
      </w:r>
    </w:p>
    <w:p>
      <w:pPr>
        <w:pStyle w:val="Heading2"/>
      </w:pPr>
      <w:r>
        <w:t>Hematologic model</w:t>
      </w:r>
    </w:p>
    <w:p>
      <w:r>
        <w:rPr>
          <w:i w:val="0"/>
        </w:rPr>
        <w:t>Core-7 combined immune-cell, platelet-related, and erythrocyte-related measurements, while fibrinogen added a secondary coagulation component. These groupings were used to organize the clinical interpretation of the model and were not treated as independent causal pathways.</w:t>
      </w:r>
    </w:p>
    <w:p>
      <w:pPr>
        <w:pStyle w:val="Heading2"/>
      </w:pPr>
      <w:r>
        <w:t>Internal model performance</w:t>
      </w:r>
    </w:p>
    <w:p>
      <w:r>
        <w:rPr>
          <w:i w:val="0"/>
        </w:rPr>
        <w:t>Among the prespecified traditional inflammatory indices, PIV had the highest discriminative ability (AUC 0.708, 95% CI 0.678-0.735). Core-7 yielded a</w:t>
      </w:r>
      <w:r>
        <w:rPr>
          <w:i w:val="0"/>
          <w:highlight w:val="yellow"/>
        </w:rPr>
        <w:t>n</w:t>
      </w:r>
      <w:r>
        <w:rPr>
          <w:i w:val="0"/>
        </w:rPr>
        <w:t xml:space="preserve"> AUC of 0.725 (95% CI 0.697-0.753), corresponding to a </w:t>
      </w:r>
      <w:r>
        <w:rPr>
          <w:i w:val="0"/>
        </w:rPr>
        <w:t>modest</w:t>
      </w:r>
      <w:r>
        <w:rPr>
          <w:i w:val="0"/>
        </w:rPr>
        <w:t xml:space="preserve"> improvement over PIV (ΔAUC 0.017, 95% CI 0.003-0.031). The Enhanced model achieved an AUC of 0.735 (95% CI 0.710-0.763) and </w:t>
      </w:r>
      <w:r>
        <w:rPr>
          <w:i w:val="0"/>
        </w:rPr>
        <w:t xml:space="preserve">improved </w:t>
      </w:r>
      <w:r>
        <w:rPr>
          <w:i w:val="0"/>
        </w:rPr>
        <w:t>on</w:t>
      </w:r>
      <w:r>
        <w:rPr>
          <w:i w:val="0"/>
        </w:rPr>
        <w:t xml:space="preserve"> Core-7 </w:t>
      </w:r>
      <w:r>
        <w:rPr>
          <w:i w:val="0"/>
          <w:highlight w:val="yellow"/>
        </w:rPr>
        <w:t>by</w:t>
      </w:r>
      <w:r>
        <w:rPr>
          <w:i w:val="0"/>
        </w:rPr>
        <w:t xml:space="preserve"> 0.010</w:t>
      </w:r>
      <w:r>
        <w:rPr>
          <w:i w:val="0"/>
        </w:rPr>
        <w:t xml:space="preserve"> </w:t>
      </w:r>
      <w:r>
        <w:rPr>
          <w:i w:val="0"/>
          <w:highlight w:val="yellow"/>
        </w:rPr>
        <w:t>(</w:t>
      </w:r>
      <w:r>
        <w:rPr>
          <w:i w:val="0"/>
        </w:rPr>
        <w:t>95% CI 0.003-0.017). Calibration</w:t>
      </w:r>
      <w:r>
        <w:rPr>
          <w:i w:val="0"/>
        </w:rPr>
        <w:t xml:space="preserve"> intercept and slope were -0.026 and 0.974 for Core-7 and -0.022 and 0.978 for Enhanced. </w:t>
      </w:r>
      <w:r>
        <w:rPr>
          <w:i w:val="0"/>
          <w:highlight w:val="yellow"/>
        </w:rPr>
        <w:t xml:space="preserve">Calibration plots used the same patient-level mean held-out predictions as these statistics; calibration-group sizes, AMI counts, and predicted-probability summaries are reported in Additional file 2, Table S6. </w:t>
      </w:r>
      <w:r>
        <w:rPr>
          <w:i w:val="0"/>
        </w:rPr>
        <w:t>Results are summarized in Table 2 and Figures 2 and 3.</w:t>
      </w:r>
    </w:p>
    <w:p>
      <w:pPr>
        <w:pStyle w:val="Figurelegend"/>
      </w:pPr>
      <w:r>
        <w:rPr>
          <w:i w:val="0"/>
        </w:rPr>
        <w:t>Table 2. Internal cross-validated model performance and paired comparisons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54"/>
        <w:gridCol w:w="1154"/>
        <w:gridCol w:w="1154"/>
        <w:gridCol w:w="1154"/>
        <w:gridCol w:w="1154"/>
        <w:gridCol w:w="1154"/>
        <w:gridCol w:w="1154"/>
        <w:gridCol w:w="1154"/>
      </w:tblGrid>
      <w:tr>
        <w:trPr>
          <w:tblHeader w:val="true"/>
        </w:trPr>
        <w:tc>
          <w:tcPr>
            <w:tcW w:type="dxa" w:w="2154"/>
            <w:vAlign w:val="center"/>
            <w:tcMar>
              <w:top w:w="70" w:type="dxa"/>
              <w:start w:w="70" w:type="dxa"/>
              <w:bottom w:w="70" w:type="dxa"/>
              <w:end w:w="70" w:type="dxa"/>
            </w:tcMar>
          </w:tcPr>
          <w:p>
            <w:pPr>
              <w:spacing w:line="240" w:lineRule="auto" w:before="0" w:after="0"/>
            </w:pPr>
            <w:r>
              <w:rPr>
                <w:rFonts w:ascii="Arial" w:hAnsi="Arial"/>
                <w:b/>
                <w:sz w:val="17"/>
              </w:rPr>
              <w:t>Model / comparison</w:t>
            </w:r>
          </w:p>
        </w:tc>
        <w:tc>
          <w:tcPr>
            <w:tcW w:type="dxa" w:w="794"/>
            <w:vAlign w:val="center"/>
            <w:tcMar>
              <w:top w:w="70" w:type="dxa"/>
              <w:start w:w="70" w:type="dxa"/>
              <w:bottom w:w="70" w:type="dxa"/>
              <w:end w:w="70" w:type="dxa"/>
            </w:tcMar>
          </w:tcPr>
          <w:p>
            <w:pPr>
              <w:spacing w:line="240" w:lineRule="auto" w:before="0" w:after="0"/>
            </w:pPr>
            <w:r>
              <w:rPr>
                <w:rFonts w:ascii="Arial" w:hAnsi="Arial"/>
                <w:b/>
                <w:sz w:val="17"/>
              </w:rPr>
              <w:t>N</w:t>
            </w:r>
          </w:p>
        </w:tc>
        <w:tc>
          <w:tcPr>
            <w:tcW w:type="dxa" w:w="794"/>
            <w:vAlign w:val="center"/>
            <w:tcMar>
              <w:top w:w="70" w:type="dxa"/>
              <w:start w:w="70" w:type="dxa"/>
              <w:bottom w:w="70" w:type="dxa"/>
              <w:end w:w="70" w:type="dxa"/>
            </w:tcMar>
          </w:tcPr>
          <w:p>
            <w:pPr>
              <w:spacing w:line="240" w:lineRule="auto" w:before="0" w:after="0"/>
            </w:pPr>
            <w:r>
              <w:rPr>
                <w:rFonts w:ascii="Arial" w:hAnsi="Arial"/>
                <w:b/>
                <w:sz w:val="17"/>
              </w:rPr>
              <w:t>AMI</w:t>
            </w:r>
          </w:p>
        </w:tc>
        <w:tc>
          <w:tcPr>
            <w:tcW w:type="dxa" w:w="2041"/>
            <w:vAlign w:val="center"/>
            <w:tcMar>
              <w:top w:w="70" w:type="dxa"/>
              <w:start w:w="70" w:type="dxa"/>
              <w:bottom w:w="70" w:type="dxa"/>
              <w:end w:w="70" w:type="dxa"/>
            </w:tcMar>
          </w:tcPr>
          <w:p>
            <w:pPr>
              <w:spacing w:line="240" w:lineRule="auto" w:before="0" w:after="0"/>
            </w:pPr>
            <w:r>
              <w:rPr>
                <w:rFonts w:ascii="Arial" w:hAnsi="Arial"/>
                <w:b/>
                <w:sz w:val="17"/>
              </w:rPr>
              <w:t>AUC (95% CI)</w:t>
            </w:r>
          </w:p>
        </w:tc>
        <w:tc>
          <w:tcPr>
            <w:tcW w:type="dxa" w:w="2098"/>
            <w:vAlign w:val="center"/>
            <w:tcMar>
              <w:top w:w="70" w:type="dxa"/>
              <w:start w:w="70" w:type="dxa"/>
              <w:bottom w:w="70" w:type="dxa"/>
              <w:end w:w="70" w:type="dxa"/>
            </w:tcMar>
          </w:tcPr>
          <w:p>
            <w:pPr>
              <w:spacing w:line="240" w:lineRule="auto" w:before="0" w:after="0"/>
            </w:pPr>
            <w:r>
              <w:rPr>
                <w:rFonts w:ascii="Arial" w:hAnsi="Arial"/>
                <w:b/>
                <w:sz w:val="17"/>
              </w:rPr>
              <w:t>ΔAUC (95% CI)</w:t>
            </w:r>
          </w:p>
        </w:tc>
        <w:tc>
          <w:tcPr>
            <w:tcW w:type="dxa" w:w="964"/>
            <w:vAlign w:val="center"/>
            <w:tcMar>
              <w:top w:w="70" w:type="dxa"/>
              <w:start w:w="70" w:type="dxa"/>
              <w:bottom w:w="70" w:type="dxa"/>
              <w:end w:w="70" w:type="dxa"/>
            </w:tcMar>
          </w:tcPr>
          <w:p>
            <w:pPr>
              <w:spacing w:line="240" w:lineRule="auto" w:before="0" w:after="0"/>
            </w:pPr>
            <w:r>
              <w:rPr>
                <w:rFonts w:ascii="Arial" w:hAnsi="Arial"/>
                <w:b/>
                <w:sz w:val="17"/>
              </w:rPr>
              <w:t>Brier</w:t>
            </w:r>
          </w:p>
        </w:tc>
        <w:tc>
          <w:tcPr>
            <w:tcW w:type="dxa" w:w="1361"/>
            <w:vAlign w:val="center"/>
            <w:tcMar>
              <w:top w:w="70" w:type="dxa"/>
              <w:start w:w="70" w:type="dxa"/>
              <w:bottom w:w="70" w:type="dxa"/>
              <w:end w:w="70" w:type="dxa"/>
            </w:tcMar>
          </w:tcPr>
          <w:p>
            <w:pPr>
              <w:spacing w:line="240" w:lineRule="auto" w:before="0" w:after="0"/>
            </w:pPr>
            <w:r>
              <w:rPr>
                <w:rFonts w:ascii="Arial" w:hAnsi="Arial"/>
                <w:b/>
                <w:sz w:val="17"/>
              </w:rPr>
              <w:t>Calibration intercept</w:t>
            </w:r>
          </w:p>
        </w:tc>
        <w:tc>
          <w:tcPr>
            <w:tcW w:type="dxa" w:w="1247"/>
            <w:vAlign w:val="center"/>
            <w:tcMar>
              <w:top w:w="70" w:type="dxa"/>
              <w:start w:w="70" w:type="dxa"/>
              <w:bottom w:w="70" w:type="dxa"/>
              <w:end w:w="70" w:type="dxa"/>
            </w:tcMar>
          </w:tcPr>
          <w:p>
            <w:pPr>
              <w:spacing w:line="240" w:lineRule="auto" w:before="0" w:after="0"/>
            </w:pPr>
            <w:r>
              <w:rPr>
                <w:rFonts w:ascii="Arial" w:hAnsi="Arial"/>
                <w:b/>
                <w:sz w:val="17"/>
              </w:rPr>
              <w:t>Calibration slope</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PIV</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0.708 (0.678–0.735)</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0.1667</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−0.008</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0.992</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Core-7</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0.725 (0.697–0.753)</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0.1628</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−0.026</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0.974</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Enhanced</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0.735 (0.710–0.763)</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0.1619</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−0.022</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0.978</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Core-7 minus PIV</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0.017 (0.003–0.031)</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Enhanced minus Core-7</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0.010 (0.003–0.017)</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w:t>
            </w:r>
          </w:p>
        </w:tc>
      </w:tr>
    </w:tbl>
    <w:p>
      <w:pPr>
        <w:pStyle w:val="Figurelegend"/>
      </w:pPr>
      <w:r>
        <w:rPr>
          <w:i w:val="0"/>
        </w:rPr>
        <w:t>PIV, pan-immune-inflammation value. Enhanced = Core-7 plus fibrinogen. Performance estimates are based on repeated internal cross-validation.</w:t>
      </w:r>
    </w:p>
    <w:p>
      <w:pPr>
        <w:jc w:val="center"/>
      </w:pPr>
      <w:r>
        <w:drawing>
          <wp:inline xmlns:a="http://schemas.openxmlformats.org/drawingml/2006/main" xmlns:pic="http://schemas.openxmlformats.org/drawingml/2006/picture">
            <wp:extent cx="5623560" cy="5261047"/>
            <wp:docPr id="2" name="Picture 2"/>
            <wp:cNvGraphicFramePr>
              <a:graphicFrameLocks noChangeAspect="1"/>
            </wp:cNvGraphicFramePr>
            <a:graphic>
              <a:graphicData uri="http://schemas.openxmlformats.org/drawingml/2006/picture">
                <pic:pic>
                  <pic:nvPicPr>
                    <pic:cNvPr id="0" name="Figure2_Primary_ROC.tiff"/>
                    <pic:cNvPicPr/>
                  </pic:nvPicPr>
                  <pic:blipFill>
                    <a:blip r:embed="rId11"/>
                    <a:stretch>
                      <a:fillRect/>
                    </a:stretch>
                  </pic:blipFill>
                  <pic:spPr>
                    <a:xfrm>
                      <a:off x="0" y="0"/>
                      <a:ext cx="5623560" cy="5261047"/>
                    </a:xfrm>
                    <a:prstGeom prst="rect"/>
                  </pic:spPr>
                </pic:pic>
              </a:graphicData>
            </a:graphic>
          </wp:inline>
        </w:drawing>
      </w:r>
    </w:p>
    <w:p>
      <w:pPr>
        <w:spacing w:after="160"/>
        <w:jc w:val="left"/>
      </w:pPr>
      <w:r>
        <w:rPr>
          <w:i w:val="0"/>
          <w:sz w:val="18"/>
        </w:rPr>
        <w:t>Figure 2. Primary model discrimination. Cross-validated receiver operating characteristic curves for PIV, Core-7, and the fibrinogen-enhanced model.</w:t>
      </w:r>
    </w:p>
    <w:p>
      <w:pPr>
        <w:jc w:val="center"/>
      </w:pPr>
      <w:r>
        <w:drawing>
          <wp:inline xmlns:a="http://schemas.openxmlformats.org/drawingml/2006/main" xmlns:pic="http://schemas.openxmlformats.org/drawingml/2006/picture">
            <wp:extent cx="5623560" cy="5248973"/>
            <wp:docPr id="3" name="Picture 3"/>
            <wp:cNvGraphicFramePr>
              <a:graphicFrameLocks noChangeAspect="1"/>
            </wp:cNvGraphicFramePr>
            <a:graphic>
              <a:graphicData uri="http://schemas.openxmlformats.org/drawingml/2006/picture">
                <pic:pic>
                  <pic:nvPicPr>
                    <pic:cNvPr id="0" name="Figure3_Calibration.tiff"/>
                    <pic:cNvPicPr/>
                  </pic:nvPicPr>
                  <pic:blipFill>
                    <a:blip r:embed="rId12"/>
                    <a:stretch>
                      <a:fillRect/>
                    </a:stretch>
                  </pic:blipFill>
                  <pic:spPr>
                    <a:xfrm>
                      <a:off x="0" y="0"/>
                      <a:ext cx="5623560" cy="5248973"/>
                    </a:xfrm>
                    <a:prstGeom prst="rect"/>
                  </pic:spPr>
                </pic:pic>
              </a:graphicData>
            </a:graphic>
          </wp:inline>
        </w:drawing>
      </w:r>
    </w:p>
    <w:p>
      <w:pPr>
        <w:spacing w:after="160"/>
        <w:jc w:val="left"/>
      </w:pPr>
      <w:r>
        <w:rPr>
          <w:sz w:val="18"/>
        </w:rPr>
        <w:t>Figure 3. Model calibration. Observed AMI proportions plotted against mean cross-validated predicted probabilities for Core-7 and the Enhanced model.</w:t>
      </w:r>
    </w:p>
    <w:p>
      <w:pPr>
        <w:pStyle w:val="Heading2"/>
      </w:pPr>
      <w:r>
        <w:t>Clinical incremental value and fibrinogen enhancement</w:t>
      </w:r>
    </w:p>
    <w:p>
      <w:r>
        <w:rPr>
          <w:i w:val="0"/>
        </w:rPr>
        <w:t>The</w:t>
      </w:r>
      <w:r>
        <w:rPr>
          <w:i w:val="0"/>
          <w:highlight w:val="yellow"/>
        </w:rPr>
        <w:t xml:space="preserve"> prespecified clinical</w:t>
      </w:r>
      <w:r>
        <w:rPr>
          <w:i w:val="0"/>
        </w:rPr>
        <w:t xml:space="preserve"> baseline </w:t>
      </w:r>
      <w:r>
        <w:rPr>
          <w:i w:val="0"/>
        </w:rPr>
        <w:t xml:space="preserve">model </w:t>
      </w:r>
      <w:r>
        <w:rPr>
          <w:i w:val="0"/>
          <w:highlight w:val="yellow"/>
        </w:rPr>
        <w:t>in</w:t>
      </w:r>
      <w:r>
        <w:rPr>
          <w:i w:val="0"/>
        </w:rPr>
        <w:t>c</w:t>
      </w:r>
      <w:r>
        <w:rPr>
          <w:i w:val="0"/>
          <w:highlight w:val="yellow"/>
        </w:rPr>
        <w:t>lud</w:t>
      </w:r>
      <w:r>
        <w:rPr>
          <w:i w:val="0"/>
        </w:rPr>
        <w:t>ed age, sex, hypertension, and diabetes</w:t>
      </w:r>
      <w:r>
        <w:rPr>
          <w:i w:val="0"/>
          <w:highlight w:val="yellow"/>
        </w:rPr>
        <w:t>; smoking was not available</w:t>
      </w:r>
      <w:r>
        <w:rPr>
          <w:i w:val="0"/>
        </w:rPr>
        <w:t xml:space="preserve">. </w:t>
      </w:r>
      <w:r>
        <w:rPr>
          <w:i w:val="0"/>
          <w:highlight w:val="yellow"/>
        </w:rPr>
        <w:t>I</w:t>
      </w:r>
      <w:r>
        <w:rPr>
          <w:i w:val="0"/>
        </w:rPr>
        <w:t>n</w:t>
      </w:r>
      <w:r>
        <w:rPr>
          <w:i w:val="0"/>
        </w:rPr>
        <w:t xml:space="preserve"> the</w:t>
      </w:r>
      <w:r>
        <w:rPr>
          <w:i w:val="0"/>
          <w:highlight w:val="yellow"/>
        </w:rPr>
        <w:t xml:space="preserve"> </w:t>
      </w:r>
      <w:r>
        <w:rPr>
          <w:i w:val="0"/>
        </w:rPr>
        <w:t>s</w:t>
      </w:r>
      <w:r>
        <w:rPr>
          <w:i w:val="0"/>
          <w:highlight w:val="yellow"/>
        </w:rPr>
        <w:t>am</w:t>
      </w:r>
      <w:r>
        <w:rPr>
          <w:i w:val="0"/>
        </w:rPr>
        <w:t xml:space="preserve">e </w:t>
      </w:r>
      <w:r>
        <w:rPr>
          <w:i w:val="0"/>
          <w:highlight w:val="yellow"/>
        </w:rPr>
        <w:t>fib</w:t>
      </w:r>
      <w:r>
        <w:rPr>
          <w:i w:val="0"/>
        </w:rPr>
        <w:t>ri</w:t>
      </w:r>
      <w:r>
        <w:rPr>
          <w:i w:val="0"/>
          <w:highlight w:val="yellow"/>
        </w:rPr>
        <w:t>nogen-comp</w:t>
      </w:r>
      <w:r>
        <w:rPr>
          <w:i w:val="0"/>
        </w:rPr>
        <w:t>le</w:t>
      </w:r>
      <w:r>
        <w:rPr>
          <w:i w:val="0"/>
          <w:highlight w:val="yellow"/>
        </w:rPr>
        <w:t xml:space="preserve">te </w:t>
      </w:r>
      <w:r>
        <w:rPr>
          <w:i w:val="0"/>
        </w:rPr>
        <w:t>s</w:t>
      </w:r>
      <w:r>
        <w:rPr>
          <w:i w:val="0"/>
          <w:highlight w:val="yellow"/>
        </w:rPr>
        <w:t>ample (N=1</w:t>
      </w:r>
      <w:r>
        <w:rPr>
          <w:i w:val="0"/>
        </w:rPr>
        <w:t>,</w:t>
      </w:r>
      <w:r>
        <w:rPr>
          <w:i w:val="0"/>
          <w:highlight w:val="yellow"/>
        </w:rPr>
        <w:t>705;</w:t>
      </w:r>
      <w:r>
        <w:rPr>
          <w:i w:val="0"/>
        </w:rPr>
        <w:t xml:space="preserve"> </w:t>
      </w:r>
      <w:r>
        <w:rPr>
          <w:i w:val="0"/>
          <w:highlight w:val="yellow"/>
        </w:rPr>
        <w:t>AMI=426),</w:t>
      </w:r>
      <w:r>
        <w:rPr>
          <w:i w:val="0"/>
        </w:rPr>
        <w:t xml:space="preserve"> AUC</w:t>
      </w:r>
      <w:r>
        <w:rPr>
          <w:i w:val="0"/>
          <w:highlight w:val="yellow"/>
        </w:rPr>
        <w:t>s</w:t>
      </w:r>
      <w:r>
        <w:rPr>
          <w:i w:val="0"/>
        </w:rPr>
        <w:t xml:space="preserve"> </w:t>
      </w:r>
      <w:r>
        <w:rPr>
          <w:i w:val="0"/>
          <w:highlight w:val="yellow"/>
        </w:rPr>
        <w:t>were</w:t>
      </w:r>
      <w:r>
        <w:rPr>
          <w:i w:val="0"/>
        </w:rPr>
        <w:t xml:space="preserve"> 0.</w:t>
      </w:r>
      <w:r>
        <w:rPr>
          <w:i w:val="0"/>
          <w:highlight w:val="yellow"/>
        </w:rPr>
        <w:t>546</w:t>
      </w:r>
      <w:r>
        <w:rPr>
          <w:i w:val="0"/>
        </w:rPr>
        <w:t xml:space="preserve"> </w:t>
      </w:r>
      <w:r>
        <w:rPr>
          <w:i w:val="0"/>
          <w:highlight w:val="yellow"/>
        </w:rPr>
        <w:t>for Clini</w:t>
      </w:r>
      <w:r>
        <w:rPr>
          <w:i w:val="0"/>
        </w:rPr>
        <w:t>c</w:t>
      </w:r>
      <w:r>
        <w:rPr>
          <w:i w:val="0"/>
        </w:rPr>
        <w:t>a</w:t>
      </w:r>
      <w:r>
        <w:rPr>
          <w:i w:val="0"/>
          <w:highlight w:val="yellow"/>
        </w:rPr>
        <w:t>l,</w:t>
      </w:r>
      <w:r>
        <w:rPr>
          <w:i w:val="0"/>
        </w:rPr>
        <w:t xml:space="preserve"> 0.71</w:t>
      </w:r>
      <w:r>
        <w:rPr>
          <w:i w:val="0"/>
          <w:highlight w:val="yellow"/>
        </w:rPr>
        <w:t>7</w:t>
      </w:r>
      <w:r>
        <w:rPr>
          <w:i w:val="0"/>
        </w:rPr>
        <w:t xml:space="preserve"> for Clinical+PIV, </w:t>
      </w:r>
      <w:r>
        <w:rPr>
          <w:i w:val="0"/>
        </w:rPr>
        <w:t>0.7</w:t>
      </w:r>
      <w:r>
        <w:rPr>
          <w:i w:val="0"/>
          <w:highlight w:val="yellow"/>
        </w:rPr>
        <w:t>3</w:t>
      </w:r>
      <w:r>
        <w:rPr>
          <w:i w:val="0"/>
        </w:rPr>
        <w:t>0 for Clinical+Core-7</w:t>
      </w:r>
      <w:r>
        <w:rPr>
          <w:i w:val="0"/>
          <w:highlight w:val="yellow"/>
        </w:rPr>
        <w:t>,</w:t>
      </w:r>
      <w:r>
        <w:rPr>
          <w:i w:val="0"/>
        </w:rPr>
        <w:t xml:space="preserve"> and 0.</w:t>
      </w:r>
      <w:r>
        <w:rPr>
          <w:i w:val="0"/>
          <w:highlight w:val="yellow"/>
        </w:rPr>
        <w:t>741</w:t>
      </w:r>
      <w:r>
        <w:rPr>
          <w:i w:val="0"/>
        </w:rPr>
        <w:t xml:space="preserve"> for Clinical+</w:t>
      </w:r>
      <w:r>
        <w:rPr>
          <w:i w:val="0"/>
          <w:highlight w:val="yellow"/>
        </w:rPr>
        <w:t>E</w:t>
      </w:r>
      <w:r>
        <w:rPr>
          <w:i w:val="0"/>
        </w:rPr>
        <w:t>n</w:t>
      </w:r>
      <w:r>
        <w:rPr>
          <w:i w:val="0"/>
          <w:highlight w:val="yellow"/>
        </w:rPr>
        <w:t>ha</w:t>
      </w:r>
      <w:r>
        <w:rPr>
          <w:i w:val="0"/>
        </w:rPr>
        <w:t>n</w:t>
      </w:r>
      <w:r>
        <w:rPr>
          <w:i w:val="0"/>
          <w:highlight w:val="yellow"/>
        </w:rPr>
        <w:t>c</w:t>
      </w:r>
      <w:r>
        <w:rPr>
          <w:i w:val="0"/>
        </w:rPr>
        <w:t xml:space="preserve">ed </w:t>
      </w:r>
      <w:r>
        <w:rPr>
          <w:i w:val="0"/>
          <w:highlight w:val="yellow"/>
        </w:rPr>
        <w:t xml:space="preserve">(95% </w:t>
      </w:r>
      <w:r>
        <w:rPr>
          <w:i w:val="0"/>
        </w:rPr>
        <w:t>C</w:t>
      </w:r>
      <w:r>
        <w:rPr>
          <w:i w:val="0"/>
          <w:highlight w:val="yellow"/>
        </w:rPr>
        <w:t>Is, 0.515-0.574, 0.689-0.745, 0.701-0.755, and 0.712-0.770, respectively); corresponding Brier sc</w:t>
      </w:r>
      <w:r>
        <w:rPr>
          <w:i w:val="0"/>
        </w:rPr>
        <w:t>ore</w:t>
      </w:r>
      <w:r>
        <w:rPr>
          <w:i w:val="0"/>
          <w:highlight w:val="yellow"/>
        </w:rPr>
        <w:t>s were 0.18</w:t>
      </w:r>
      <w:r>
        <w:rPr>
          <w:i w:val="0"/>
        </w:rPr>
        <w:t>7</w:t>
      </w:r>
      <w:r>
        <w:rPr>
          <w:i w:val="0"/>
          <w:highlight w:val="yellow"/>
        </w:rPr>
        <w:t>, 0.166, 0.162, and 0.161. Clinical covariate missingness</w:t>
      </w:r>
      <w:r>
        <w:rPr>
          <w:i w:val="0"/>
        </w:rPr>
        <w:t xml:space="preserve"> in</w:t>
      </w:r>
      <w:r>
        <w:rPr>
          <w:i w:val="0"/>
        </w:rPr>
        <w:t xml:space="preserve"> the primary </w:t>
      </w:r>
      <w:r>
        <w:rPr>
          <w:i w:val="0"/>
          <w:highlight w:val="yellow"/>
        </w:rPr>
        <w:t>cohort was 79/1,820 (4.34%) for hypertension and 48/1,820 (2.64%) for diabetes; both were imputed us</w:t>
      </w:r>
      <w:r>
        <w:rPr>
          <w:i w:val="0"/>
        </w:rPr>
        <w:t>in</w:t>
      </w:r>
      <w:r>
        <w:rPr>
          <w:i w:val="0"/>
          <w:highlight w:val="yellow"/>
        </w:rPr>
        <w:t>g training-fold medians, while age and sex were comple</w:t>
      </w:r>
      <w:r>
        <w:rPr>
          <w:i w:val="0"/>
        </w:rPr>
        <w:t>te</w:t>
      </w:r>
      <w:r>
        <w:rPr>
          <w:i w:val="0"/>
          <w:highlight w:val="yellow"/>
        </w:rPr>
        <w:t>. O</w:t>
      </w:r>
      <w:r>
        <w:rPr>
          <w:i w:val="0"/>
        </w:rPr>
        <w:t>n</w:t>
      </w:r>
      <w:r>
        <w:rPr>
          <w:i w:val="0"/>
          <w:highlight w:val="yellow"/>
        </w:rPr>
        <w:t xml:space="preserve"> identic</w:t>
      </w:r>
      <w:r>
        <w:rPr>
          <w:i w:val="0"/>
        </w:rPr>
        <w:t xml:space="preserve">al </w:t>
      </w:r>
      <w:r>
        <w:rPr>
          <w:i w:val="0"/>
          <w:highlight w:val="yellow"/>
        </w:rPr>
        <w:t>p</w:t>
      </w:r>
      <w:r>
        <w:rPr>
          <w:i w:val="0"/>
        </w:rPr>
        <w:t>a</w:t>
      </w:r>
      <w:r>
        <w:rPr>
          <w:i w:val="0"/>
          <w:highlight w:val="yellow"/>
        </w:rPr>
        <w:t>tie</w:t>
      </w:r>
      <w:r>
        <w:rPr>
          <w:i w:val="0"/>
        </w:rPr>
        <w:t>n</w:t>
      </w:r>
      <w:r>
        <w:rPr>
          <w:i w:val="0"/>
          <w:highlight w:val="yellow"/>
        </w:rPr>
        <w:t>t</w:t>
      </w:r>
      <w:r>
        <w:rPr>
          <w:i w:val="0"/>
        </w:rPr>
        <w:t xml:space="preserve">s and </w:t>
      </w:r>
      <w:r>
        <w:rPr>
          <w:i w:val="0"/>
          <w:highlight w:val="yellow"/>
        </w:rPr>
        <w:t>ou</w:t>
      </w:r>
      <w:r>
        <w:rPr>
          <w:i w:val="0"/>
        </w:rPr>
        <w:t>te</w:t>
      </w:r>
      <w:r>
        <w:rPr>
          <w:i w:val="0"/>
          <w:highlight w:val="yellow"/>
        </w:rPr>
        <w:t>r f</w:t>
      </w:r>
      <w:r>
        <w:rPr>
          <w:i w:val="0"/>
        </w:rPr>
        <w:t>o</w:t>
      </w:r>
      <w:r>
        <w:rPr>
          <w:i w:val="0"/>
        </w:rPr>
        <w:t>l</w:t>
      </w:r>
      <w:r>
        <w:rPr>
          <w:i w:val="0"/>
          <w:highlight w:val="yellow"/>
        </w:rPr>
        <w:t>d</w:t>
      </w:r>
      <w:r>
        <w:rPr>
          <w:i w:val="0"/>
        </w:rPr>
        <w:t xml:space="preserve">s, </w:t>
      </w:r>
      <w:r>
        <w:rPr>
          <w:i w:val="0"/>
          <w:highlight w:val="yellow"/>
        </w:rPr>
        <w:t>Clinic</w:t>
      </w:r>
      <w:r>
        <w:rPr>
          <w:i w:val="0"/>
        </w:rPr>
        <w:t>al</w:t>
      </w:r>
      <w:r>
        <w:rPr>
          <w:i w:val="0"/>
          <w:highlight w:val="yellow"/>
        </w:rPr>
        <w:t>+C</w:t>
      </w:r>
      <w:r>
        <w:rPr>
          <w:i w:val="0"/>
        </w:rPr>
        <w:t>o</w:t>
      </w:r>
      <w:r>
        <w:rPr>
          <w:i w:val="0"/>
          <w:highlight w:val="yellow"/>
        </w:rPr>
        <w:t>re-7 vers</w:t>
      </w:r>
      <w:r>
        <w:rPr>
          <w:i w:val="0"/>
        </w:rPr>
        <w:t>u</w:t>
      </w:r>
      <w:r>
        <w:rPr>
          <w:i w:val="0"/>
          <w:highlight w:val="yellow"/>
        </w:rPr>
        <w:t>s</w:t>
      </w:r>
      <w:r>
        <w:rPr>
          <w:i w:val="0"/>
        </w:rPr>
        <w:t xml:space="preserve"> </w:t>
      </w:r>
      <w:r>
        <w:rPr>
          <w:i w:val="0"/>
          <w:highlight w:val="yellow"/>
        </w:rPr>
        <w:t>Cl</w:t>
      </w:r>
      <w:r>
        <w:rPr>
          <w:i w:val="0"/>
        </w:rPr>
        <w:t>in</w:t>
      </w:r>
      <w:r>
        <w:rPr>
          <w:i w:val="0"/>
          <w:highlight w:val="yellow"/>
        </w:rPr>
        <w:t>ical+PIV ΔAUC</w:t>
      </w:r>
      <w:r>
        <w:rPr>
          <w:i w:val="0"/>
        </w:rPr>
        <w:t xml:space="preserve"> was </w:t>
      </w:r>
      <w:r>
        <w:rPr>
          <w:i w:val="0"/>
          <w:highlight w:val="yellow"/>
        </w:rPr>
        <w:t>0.0130 (95% CI 0.0004-0.0251). Additional fil</w:t>
      </w:r>
      <w:r>
        <w:rPr>
          <w:i w:val="0"/>
        </w:rPr>
        <w:t>e</w:t>
      </w:r>
      <w:r>
        <w:rPr>
          <w:i w:val="0"/>
          <w:highlight w:val="yellow"/>
        </w:rPr>
        <w:t xml:space="preserve"> 2, T</w:t>
      </w:r>
      <w:r>
        <w:rPr>
          <w:i w:val="0"/>
        </w:rPr>
        <w:t>a</w:t>
      </w:r>
      <w:r>
        <w:rPr>
          <w:i w:val="0"/>
          <w:highlight w:val="yellow"/>
        </w:rPr>
        <w:t xml:space="preserve">ble S8 </w:t>
      </w:r>
      <w:r>
        <w:rPr>
          <w:i w:val="0"/>
        </w:rPr>
        <w:t>re</w:t>
      </w:r>
      <w:r>
        <w:rPr>
          <w:i w:val="0"/>
          <w:highlight w:val="yellow"/>
        </w:rPr>
        <w:t>port</w:t>
      </w:r>
      <w:r>
        <w:rPr>
          <w:i w:val="0"/>
        </w:rPr>
        <w:t>s</w:t>
      </w:r>
      <w:r>
        <w:rPr>
          <w:i w:val="0"/>
        </w:rPr>
        <w:t xml:space="preserve"> the </w:t>
      </w:r>
      <w:r>
        <w:rPr>
          <w:i w:val="0"/>
          <w:highlight w:val="yellow"/>
        </w:rPr>
        <w:t>complete</w:t>
      </w:r>
      <w:r>
        <w:rPr>
          <w:i w:val="0"/>
        </w:rPr>
        <w:t xml:space="preserve"> </w:t>
      </w:r>
      <w:r>
        <w:rPr>
          <w:i w:val="0"/>
          <w:highlight w:val="yellow"/>
        </w:rPr>
        <w:t>paired comp</w:t>
      </w:r>
      <w:r>
        <w:rPr>
          <w:i w:val="0"/>
        </w:rPr>
        <w:t>ari</w:t>
      </w:r>
      <w:r>
        <w:rPr>
          <w:i w:val="0"/>
          <w:highlight w:val="yellow"/>
        </w:rPr>
        <w:t xml:space="preserve">sons </w:t>
      </w:r>
      <w:r>
        <w:rPr>
          <w:i w:val="0"/>
        </w:rPr>
        <w:t>a</w:t>
      </w:r>
      <w:r>
        <w:rPr>
          <w:i w:val="0"/>
          <w:highlight w:val="yellow"/>
        </w:rPr>
        <w:t>nd cali</w:t>
      </w:r>
      <w:r>
        <w:rPr>
          <w:i w:val="0"/>
        </w:rPr>
        <w:t>b</w:t>
      </w:r>
      <w:r>
        <w:rPr>
          <w:i w:val="0"/>
          <w:highlight w:val="yellow"/>
        </w:rPr>
        <w:t>ration r</w:t>
      </w:r>
      <w:r>
        <w:rPr>
          <w:i w:val="0"/>
        </w:rPr>
        <w:t>es</w:t>
      </w:r>
      <w:r>
        <w:rPr>
          <w:i w:val="0"/>
          <w:highlight w:val="yellow"/>
        </w:rPr>
        <w:t>ults</w:t>
      </w:r>
      <w:r>
        <w:rPr>
          <w:i w:val="0"/>
        </w:rPr>
        <w:t>.</w:t>
      </w:r>
    </w:p>
    <w:p>
      <w:pPr>
        <w:pStyle w:val="Heading2"/>
      </w:pPr>
      <w:r>
        <w:t>Temporal and diagnostic sensitivity analyses</w:t>
      </w:r>
    </w:p>
    <w:p>
      <w:r>
        <w:rPr>
          <w:i w:val="0"/>
          <w:highlight w:val="yellow"/>
        </w:rPr>
        <w:t>T</w:t>
      </w:r>
      <w:r>
        <w:rPr>
          <w:i w:val="0"/>
        </w:rPr>
        <w:t>he</w:t>
      </w:r>
      <w:r>
        <w:rPr>
          <w:i w:val="0"/>
        </w:rPr>
        <w:t xml:space="preserve"> temporal</w:t>
      </w:r>
      <w:r>
        <w:rPr>
          <w:i w:val="0"/>
        </w:rPr>
        <w:t xml:space="preserve"> sensitivity analysis</w:t>
      </w:r>
      <w:r>
        <w:rPr>
          <w:i w:val="0"/>
        </w:rPr>
        <w:t xml:space="preserve"> </w:t>
      </w:r>
      <w:r>
        <w:rPr>
          <w:i w:val="0"/>
          <w:highlight w:val="yellow"/>
        </w:rPr>
        <w:t>u</w:t>
      </w:r>
      <w:r>
        <w:rPr>
          <w:i w:val="0"/>
        </w:rPr>
        <w:t>s</w:t>
      </w:r>
      <w:r>
        <w:rPr>
          <w:i w:val="0"/>
          <w:highlight w:val="yellow"/>
        </w:rPr>
        <w:t>ed the de</w:t>
      </w:r>
      <w:r>
        <w:rPr>
          <w:i w:val="0"/>
        </w:rPr>
        <w:t>i</w:t>
      </w:r>
      <w:r>
        <w:rPr>
          <w:i w:val="0"/>
          <w:highlight w:val="yellow"/>
        </w:rPr>
        <w:t>dentified hospitalization/coronary-a</w:t>
      </w:r>
      <w:r>
        <w:rPr>
          <w:i w:val="0"/>
        </w:rPr>
        <w:t>ng</w:t>
      </w:r>
      <w:r>
        <w:rPr>
          <w:i w:val="0"/>
          <w:highlight w:val="yellow"/>
        </w:rPr>
        <w:t>iography date axis from the 2020-2026 study period with</w:t>
      </w:r>
      <w:r>
        <w:rPr>
          <w:i w:val="0"/>
        </w:rPr>
        <w:t xml:space="preserve"> a </w:t>
      </w:r>
      <w:r>
        <w:rPr>
          <w:i w:val="0"/>
          <w:highlight w:val="yellow"/>
        </w:rPr>
        <w:t>six</w:t>
      </w:r>
      <w:r>
        <w:rPr>
          <w:i w:val="0"/>
        </w:rPr>
        <w:t>-month buffer</w:t>
      </w:r>
      <w:r>
        <w:rPr>
          <w:i w:val="0"/>
          <w:highlight w:val="yellow"/>
        </w:rPr>
        <w:t>. The exact calendar cutpoint was not retained in the</w:t>
      </w:r>
      <w:r>
        <w:rPr>
          <w:i w:val="0"/>
        </w:rPr>
        <w:t xml:space="preserve"> a</w:t>
      </w:r>
      <w:r>
        <w:rPr>
          <w:i w:val="0"/>
          <w:highlight w:val="yellow"/>
        </w:rPr>
        <w:t>vailable analysis record, so the unsupported cutoff from an earlier draft is not reported. The g</w:t>
      </w:r>
      <w:r>
        <w:rPr>
          <w:i w:val="0"/>
        </w:rPr>
        <w:t>rou</w:t>
      </w:r>
      <w:r>
        <w:rPr>
          <w:i w:val="0"/>
          <w:highlight w:val="yellow"/>
        </w:rPr>
        <w:t>ps were development N=1,001 (AMI=196), buffer N=271 (AMI=79), and later N=548 (AMI=178); the earlier group was used for development, the later group for fixed evaluation, a</w:t>
      </w:r>
      <w:r>
        <w:rPr>
          <w:i w:val="0"/>
        </w:rPr>
        <w:t xml:space="preserve">nd the </w:t>
      </w:r>
      <w:r>
        <w:rPr>
          <w:i w:val="0"/>
          <w:highlight w:val="yellow"/>
        </w:rPr>
        <w:t>buffer was excluded. In the la</w:t>
      </w:r>
      <w:r>
        <w:rPr>
          <w:i w:val="0"/>
        </w:rPr>
        <w:t>te</w:t>
      </w:r>
      <w:r>
        <w:rPr>
          <w:i w:val="0"/>
          <w:highlight w:val="yellow"/>
        </w:rPr>
        <w:t>r grou</w:t>
      </w:r>
      <w:r>
        <w:rPr>
          <w:i w:val="0"/>
        </w:rPr>
        <w:t>p</w:t>
      </w:r>
      <w:r>
        <w:rPr>
          <w:i w:val="0"/>
        </w:rPr>
        <w:t>, Core-7</w:t>
      </w:r>
      <w:r>
        <w:rPr>
          <w:i w:val="0"/>
          <w:highlight w:val="yellow"/>
        </w:rPr>
        <w:t>,</w:t>
      </w:r>
      <w:r>
        <w:rPr>
          <w:i w:val="0"/>
        </w:rPr>
        <w:t xml:space="preserve"> </w:t>
      </w:r>
      <w:r>
        <w:rPr>
          <w:i w:val="0"/>
          <w:highlight w:val="yellow"/>
        </w:rPr>
        <w:t>PIV,</w:t>
      </w:r>
      <w:r>
        <w:rPr>
          <w:i w:val="0"/>
        </w:rPr>
        <w:t xml:space="preserve"> an</w:t>
      </w:r>
      <w:r>
        <w:rPr>
          <w:i w:val="0"/>
          <w:highlight w:val="yellow"/>
        </w:rPr>
        <w:t>d</w:t>
      </w:r>
      <w:r>
        <w:rPr>
          <w:i w:val="0"/>
        </w:rPr>
        <w:t xml:space="preserve"> Enhanced </w:t>
      </w:r>
      <w:r>
        <w:rPr>
          <w:i w:val="0"/>
          <w:highlight w:val="yellow"/>
        </w:rPr>
        <w:t xml:space="preserve">AUCs were </w:t>
      </w:r>
      <w:r>
        <w:rPr>
          <w:i w:val="0"/>
        </w:rPr>
        <w:t>0.7</w:t>
      </w:r>
      <w:r>
        <w:rPr>
          <w:i w:val="0"/>
          <w:highlight w:val="yellow"/>
        </w:rPr>
        <w:t>0</w:t>
      </w:r>
      <w:r>
        <w:rPr>
          <w:i w:val="0"/>
        </w:rPr>
        <w:t>1</w:t>
      </w:r>
      <w:r>
        <w:rPr>
          <w:i w:val="0"/>
          <w:highlight w:val="yellow"/>
        </w:rPr>
        <w:t>,</w:t>
      </w:r>
      <w:r>
        <w:rPr>
          <w:i w:val="0"/>
        </w:rPr>
        <w:t xml:space="preserve"> 0.6</w:t>
      </w:r>
      <w:r>
        <w:rPr>
          <w:i w:val="0"/>
          <w:highlight w:val="yellow"/>
        </w:rPr>
        <w:t>99</w:t>
      </w:r>
      <w:r>
        <w:rPr>
          <w:i w:val="0"/>
        </w:rPr>
        <w:t xml:space="preserve">, and </w:t>
      </w:r>
      <w:r>
        <w:rPr>
          <w:i w:val="0"/>
        </w:rPr>
        <w:t>0.7</w:t>
      </w:r>
      <w:r>
        <w:rPr>
          <w:i w:val="0"/>
          <w:highlight w:val="yellow"/>
        </w:rPr>
        <w:t>19,</w:t>
      </w:r>
      <w:r>
        <w:rPr>
          <w:i w:val="0"/>
        </w:rPr>
        <w:t xml:space="preserve"> </w:t>
      </w:r>
      <w:r>
        <w:rPr>
          <w:i w:val="0"/>
        </w:rPr>
        <w:t>re</w:t>
      </w:r>
      <w:r>
        <w:rPr>
          <w:i w:val="0"/>
          <w:highlight w:val="yellow"/>
        </w:rPr>
        <w:t>spe</w:t>
      </w:r>
      <w:r>
        <w:rPr>
          <w:i w:val="0"/>
        </w:rPr>
        <w:t>c</w:t>
      </w:r>
      <w:r>
        <w:rPr>
          <w:i w:val="0"/>
          <w:highlight w:val="yellow"/>
        </w:rPr>
        <w:t>tiv</w:t>
      </w:r>
      <w:r>
        <w:rPr>
          <w:i w:val="0"/>
        </w:rPr>
        <w:t>e</w:t>
      </w:r>
      <w:r>
        <w:rPr>
          <w:i w:val="0"/>
          <w:highlight w:val="yellow"/>
        </w:rPr>
        <w:t>ly.</w:t>
      </w:r>
      <w:r>
        <w:rPr>
          <w:i w:val="0"/>
        </w:rPr>
        <w:t xml:space="preserve"> Core-7 </w:t>
      </w:r>
      <w:r>
        <w:rPr>
          <w:i w:val="0"/>
          <w:highlight w:val="yellow"/>
        </w:rPr>
        <w:t>mi</w:t>
      </w:r>
      <w:r>
        <w:rPr>
          <w:i w:val="0"/>
        </w:rPr>
        <w:t>n</w:t>
      </w:r>
      <w:r>
        <w:rPr>
          <w:i w:val="0"/>
          <w:highlight w:val="yellow"/>
        </w:rPr>
        <w:t>us</w:t>
      </w:r>
      <w:r>
        <w:rPr>
          <w:i w:val="0"/>
        </w:rPr>
        <w:t xml:space="preserve"> PIV </w:t>
      </w:r>
      <w:r>
        <w:rPr>
          <w:i w:val="0"/>
        </w:rPr>
        <w:t>ΔAUC</w:t>
      </w:r>
      <w:r>
        <w:rPr>
          <w:i w:val="0"/>
          <w:highlight w:val="yellow"/>
        </w:rPr>
        <w:t xml:space="preserve"> was</w:t>
      </w:r>
      <w:r>
        <w:rPr>
          <w:i w:val="0"/>
        </w:rPr>
        <w:t xml:space="preserve"> 0.002</w:t>
      </w:r>
      <w:r>
        <w:rPr>
          <w:i w:val="0"/>
        </w:rPr>
        <w:t xml:space="preserve"> </w:t>
      </w:r>
      <w:r>
        <w:rPr>
          <w:i w:val="0"/>
          <w:highlight w:val="yellow"/>
        </w:rPr>
        <w:t>(</w:t>
      </w:r>
      <w:r>
        <w:rPr>
          <w:i w:val="0"/>
        </w:rPr>
        <w:t>95% CI -0.021 to 0.025), w</w:t>
      </w:r>
      <w:r>
        <w:rPr>
          <w:i w:val="0"/>
          <w:highlight w:val="yellow"/>
        </w:rPr>
        <w:t>it</w:t>
      </w:r>
      <w:r>
        <w:rPr>
          <w:i w:val="0"/>
        </w:rPr>
        <w:t>h</w:t>
      </w:r>
      <w:r>
        <w:rPr>
          <w:i w:val="0"/>
        </w:rPr>
        <w:t xml:space="preserve"> </w:t>
      </w:r>
      <w:r>
        <w:rPr>
          <w:i w:val="0"/>
        </w:rPr>
        <w:t>an</w:t>
      </w:r>
      <w:r>
        <w:rPr>
          <w:i w:val="0"/>
        </w:rPr>
        <w:t xml:space="preserve"> interval </w:t>
      </w:r>
      <w:r>
        <w:rPr>
          <w:i w:val="0"/>
          <w:highlight w:val="yellow"/>
        </w:rPr>
        <w:t>in</w:t>
      </w:r>
      <w:r>
        <w:rPr>
          <w:i w:val="0"/>
        </w:rPr>
        <w:t>c</w:t>
      </w:r>
      <w:r>
        <w:rPr>
          <w:i w:val="0"/>
          <w:highlight w:val="yellow"/>
        </w:rPr>
        <w:t>lu</w:t>
      </w:r>
      <w:r>
        <w:rPr>
          <w:i w:val="0"/>
        </w:rPr>
        <w:t>d</w:t>
      </w:r>
      <w:r>
        <w:rPr>
          <w:i w:val="0"/>
          <w:highlight w:val="yellow"/>
        </w:rPr>
        <w:t>ing</w:t>
      </w:r>
      <w:r>
        <w:rPr>
          <w:i w:val="0"/>
        </w:rPr>
        <w:t xml:space="preserve"> zero</w:t>
      </w:r>
      <w:r>
        <w:rPr>
          <w:i w:val="0"/>
        </w:rPr>
        <w:t>. Th</w:t>
      </w:r>
      <w:r>
        <w:rPr>
          <w:i w:val="0"/>
        </w:rPr>
        <w:t>e</w:t>
      </w:r>
      <w:r>
        <w:rPr>
          <w:i w:val="0"/>
        </w:rPr>
        <w:t xml:space="preserve"> incremental advantage </w:t>
      </w:r>
      <w:r>
        <w:rPr>
          <w:i w:val="0"/>
        </w:rPr>
        <w:t>was attenuated</w:t>
      </w:r>
      <w:r>
        <w:rPr>
          <w:i w:val="0"/>
        </w:rPr>
        <w:t xml:space="preserve"> </w:t>
      </w:r>
      <w:r>
        <w:rPr>
          <w:i w:val="0"/>
        </w:rPr>
        <w:t>in</w:t>
      </w:r>
      <w:r>
        <w:rPr>
          <w:i w:val="0"/>
          <w:highlight w:val="yellow"/>
        </w:rPr>
        <w:t xml:space="preserve"> th</w:t>
      </w:r>
      <w:r>
        <w:rPr>
          <w:i w:val="0"/>
        </w:rPr>
        <w:t>i</w:t>
      </w:r>
      <w:r>
        <w:rPr>
          <w:i w:val="0"/>
          <w:highlight w:val="yellow"/>
        </w:rPr>
        <w:t>s tem</w:t>
      </w:r>
      <w:r>
        <w:rPr>
          <w:i w:val="0"/>
        </w:rPr>
        <w:t>p</w:t>
      </w:r>
      <w:r>
        <w:rPr>
          <w:i w:val="0"/>
          <w:highlight w:val="yellow"/>
        </w:rPr>
        <w:t>or</w:t>
      </w:r>
      <w:r>
        <w:rPr>
          <w:i w:val="0"/>
        </w:rPr>
        <w:t xml:space="preserve">al sensitivity </w:t>
      </w:r>
      <w:r>
        <w:rPr>
          <w:i w:val="0"/>
          <w:highlight w:val="yellow"/>
        </w:rPr>
        <w:t xml:space="preserve">analysis, which is not formal temporal validation. The high-specificity comparison contained 138 strict-text AMI cases and 288 strict CAD/angina controls (N=426); this discharge-text rule was not independent clinical adjudication. Exploratory decision-curve </w:t>
      </w:r>
      <w:r>
        <w:rPr>
          <w:i w:val="0"/>
        </w:rPr>
        <w:t xml:space="preserve">results </w:t>
      </w:r>
      <w:r>
        <w:rPr>
          <w:i w:val="0"/>
          <w:highlight w:val="yellow"/>
        </w:rPr>
        <w:t xml:space="preserve">for the four clinical models </w:t>
      </w:r>
      <w:r>
        <w:rPr>
          <w:i w:val="0"/>
        </w:rPr>
        <w:t>are s</w:t>
      </w:r>
      <w:r>
        <w:rPr>
          <w:i w:val="0"/>
          <w:highlight w:val="yellow"/>
        </w:rPr>
        <w:t>hown</w:t>
      </w:r>
      <w:r>
        <w:rPr>
          <w:i w:val="0"/>
        </w:rPr>
        <w:t xml:space="preserve"> in </w:t>
      </w:r>
      <w:r>
        <w:rPr>
          <w:i w:val="0"/>
          <w:highlight w:val="yellow"/>
        </w:rPr>
        <w:t>Supp</w:t>
      </w:r>
      <w:r>
        <w:rPr>
          <w:i w:val="0"/>
        </w:rPr>
        <w:t>le</w:t>
      </w:r>
      <w:r>
        <w:rPr>
          <w:i w:val="0"/>
          <w:highlight w:val="yellow"/>
        </w:rPr>
        <w:t>ment</w:t>
      </w:r>
      <w:r>
        <w:rPr>
          <w:i w:val="0"/>
        </w:rPr>
        <w:t>a</w:t>
      </w:r>
      <w:r>
        <w:rPr>
          <w:i w:val="0"/>
          <w:highlight w:val="yellow"/>
        </w:rPr>
        <w:t>ry</w:t>
      </w:r>
      <w:r>
        <w:rPr>
          <w:i w:val="0"/>
        </w:rPr>
        <w:t xml:space="preserve"> Figure</w:t>
      </w:r>
      <w:r>
        <w:rPr>
          <w:i w:val="0"/>
        </w:rPr>
        <w:t xml:space="preserve"> </w:t>
      </w:r>
      <w:r>
        <w:rPr>
          <w:i w:val="0"/>
          <w:highlight w:val="yellow"/>
        </w:rPr>
        <w:t>S1</w:t>
      </w:r>
      <w:r>
        <w:rPr>
          <w:i w:val="0"/>
        </w:rPr>
        <w:t xml:space="preserve"> and </w:t>
      </w:r>
      <w:r>
        <w:rPr>
          <w:i w:val="0"/>
          <w:highlight w:val="yellow"/>
        </w:rPr>
        <w:t>do not establish clinical utility</w:t>
      </w:r>
      <w:r>
        <w:rPr>
          <w:i w:val="0"/>
        </w:rPr>
        <w:t>.</w:t>
      </w:r>
    </w:p>
    <w:p>
      <w:pPr>
        <w:jc w:val="center"/>
      </w:pPr>
      <w:r>
        <w:drawing>
          <wp:inline xmlns:a="http://schemas.openxmlformats.org/drawingml/2006/main" xmlns:pic="http://schemas.openxmlformats.org/drawingml/2006/picture">
            <wp:extent cx="5623560" cy="3754316"/>
            <wp:docPr id="4" name="Picture 4"/>
            <wp:cNvGraphicFramePr>
              <a:graphicFrameLocks noChangeAspect="1"/>
            </wp:cNvGraphicFramePr>
            <a:graphic>
              <a:graphicData uri="http://schemas.openxmlformats.org/drawingml/2006/picture">
                <pic:pic>
                  <pic:nvPicPr>
                    <pic:cNvPr id="0" name="Figure4_Temporal_Sensitivity.tiff"/>
                    <pic:cNvPicPr/>
                  </pic:nvPicPr>
                  <pic:blipFill>
                    <a:blip r:embed="rId13"/>
                    <a:stretch>
                      <a:fillRect/>
                    </a:stretch>
                  </pic:blipFill>
                  <pic:spPr>
                    <a:xfrm>
                      <a:off x="0" y="0"/>
                      <a:ext cx="5623560" cy="3754316"/>
                    </a:xfrm>
                    <a:prstGeom prst="rect"/>
                  </pic:spPr>
                </pic:pic>
              </a:graphicData>
            </a:graphic>
          </wp:inline>
        </w:drawing>
      </w:r>
    </w:p>
    <w:p>
      <w:pPr>
        <w:spacing w:after="160"/>
        <w:jc w:val="left"/>
      </w:pPr>
      <w:r>
        <w:rPr>
          <w:i w:val="0"/>
          <w:sz w:val="18"/>
        </w:rPr>
        <w:t xml:space="preserve">Figure 4. Temporal sensitivity analysis. (A) </w:t>
      </w:r>
      <w:r>
        <w:rPr>
          <w:i w:val="0"/>
          <w:sz w:val="18"/>
          <w:highlight w:val="yellow"/>
        </w:rPr>
        <w:t>D</w:t>
      </w:r>
      <w:r>
        <w:rPr>
          <w:i w:val="0"/>
          <w:sz w:val="18"/>
        </w:rPr>
        <w:t>e</w:t>
      </w:r>
      <w:r>
        <w:rPr>
          <w:i w:val="0"/>
          <w:sz w:val="18"/>
          <w:highlight w:val="yellow"/>
        </w:rPr>
        <w:t>velop</w:t>
      </w:r>
      <w:r>
        <w:rPr>
          <w:i w:val="0"/>
          <w:sz w:val="18"/>
        </w:rPr>
        <w:t>m</w:t>
      </w:r>
      <w:r>
        <w:rPr>
          <w:i w:val="0"/>
          <w:sz w:val="18"/>
        </w:rPr>
        <w:t>ent</w:t>
      </w:r>
      <w:r>
        <w:rPr>
          <w:i w:val="0"/>
          <w:sz w:val="18"/>
          <w:highlight w:val="yellow"/>
        </w:rPr>
        <w:t xml:space="preserve"> group, excluded buffer, and l</w:t>
      </w:r>
      <w:r>
        <w:rPr>
          <w:i w:val="0"/>
          <w:sz w:val="18"/>
        </w:rPr>
        <w:t>at</w:t>
      </w:r>
      <w:r>
        <w:rPr>
          <w:i w:val="0"/>
          <w:sz w:val="18"/>
          <w:highlight w:val="yellow"/>
        </w:rPr>
        <w:t>er group. (B) AUCs w</w:t>
      </w:r>
      <w:r>
        <w:rPr>
          <w:i w:val="0"/>
          <w:sz w:val="18"/>
        </w:rPr>
        <w:t>i</w:t>
      </w:r>
      <w:r>
        <w:rPr>
          <w:i w:val="0"/>
          <w:sz w:val="18"/>
          <w:highlight w:val="yellow"/>
        </w:rPr>
        <w:t>th 95% c</w:t>
      </w:r>
      <w:r>
        <w:rPr>
          <w:i w:val="0"/>
          <w:sz w:val="18"/>
        </w:rPr>
        <w:t>on</w:t>
      </w:r>
      <w:r>
        <w:rPr>
          <w:i w:val="0"/>
          <w:sz w:val="18"/>
          <w:highlight w:val="yellow"/>
        </w:rPr>
        <w:t>fidence</w:t>
      </w:r>
      <w:r>
        <w:rPr>
          <w:i w:val="0"/>
          <w:sz w:val="18"/>
        </w:rPr>
        <w:t xml:space="preserve"> </w:t>
      </w:r>
      <w:r>
        <w:rPr>
          <w:i w:val="0"/>
          <w:sz w:val="18"/>
          <w:highlight w:val="yellow"/>
        </w:rPr>
        <w:t>intervals acr</w:t>
      </w:r>
      <w:r>
        <w:rPr>
          <w:i w:val="0"/>
          <w:sz w:val="18"/>
        </w:rPr>
        <w:t>o</w:t>
      </w:r>
      <w:r>
        <w:rPr>
          <w:i w:val="0"/>
          <w:sz w:val="18"/>
          <w:highlight w:val="yellow"/>
        </w:rPr>
        <w:t>ss</w:t>
      </w:r>
      <w:r>
        <w:rPr>
          <w:i w:val="0"/>
          <w:sz w:val="18"/>
        </w:rPr>
        <w:t xml:space="preserve"> the </w:t>
      </w:r>
      <w:r>
        <w:rPr>
          <w:i w:val="0"/>
          <w:sz w:val="18"/>
          <w:highlight w:val="yellow"/>
        </w:rPr>
        <w:t>l</w:t>
      </w:r>
      <w:r>
        <w:rPr>
          <w:i w:val="0"/>
          <w:sz w:val="18"/>
        </w:rPr>
        <w:t>at</w:t>
      </w:r>
      <w:r>
        <w:rPr>
          <w:i w:val="0"/>
          <w:sz w:val="18"/>
          <w:highlight w:val="yellow"/>
        </w:rPr>
        <w:t>er-group, h</w:t>
      </w:r>
      <w:r>
        <w:rPr>
          <w:i w:val="0"/>
          <w:sz w:val="18"/>
        </w:rPr>
        <w:t>i</w:t>
      </w:r>
      <w:r>
        <w:rPr>
          <w:i w:val="0"/>
          <w:sz w:val="18"/>
          <w:highlight w:val="yellow"/>
        </w:rPr>
        <w:t>gh</w:t>
      </w:r>
      <w:r>
        <w:rPr>
          <w:i w:val="0"/>
          <w:sz w:val="18"/>
        </w:rPr>
        <w:t>-specific</w:t>
      </w:r>
      <w:r>
        <w:rPr>
          <w:i w:val="0"/>
          <w:sz w:val="18"/>
        </w:rPr>
        <w:t>i</w:t>
      </w:r>
      <w:r>
        <w:rPr>
          <w:i w:val="0"/>
          <w:sz w:val="18"/>
          <w:highlight w:val="yellow"/>
        </w:rPr>
        <w:t>ty</w:t>
      </w:r>
      <w:r>
        <w:rPr>
          <w:i w:val="0"/>
          <w:sz w:val="18"/>
        </w:rPr>
        <w:t xml:space="preserve"> d</w:t>
      </w:r>
      <w:r>
        <w:rPr>
          <w:i w:val="0"/>
          <w:sz w:val="18"/>
          <w:highlight w:val="yellow"/>
        </w:rPr>
        <w:t>isch</w:t>
      </w:r>
      <w:r>
        <w:rPr>
          <w:i w:val="0"/>
          <w:sz w:val="18"/>
        </w:rPr>
        <w:t>a</w:t>
      </w:r>
      <w:r>
        <w:rPr>
          <w:i w:val="0"/>
          <w:sz w:val="18"/>
          <w:highlight w:val="yellow"/>
        </w:rPr>
        <w:t>rge-</w:t>
      </w:r>
      <w:r>
        <w:rPr>
          <w:i w:val="0"/>
          <w:sz w:val="18"/>
        </w:rPr>
        <w:t>te</w:t>
      </w:r>
      <w:r>
        <w:rPr>
          <w:i w:val="0"/>
          <w:sz w:val="18"/>
          <w:highlight w:val="yellow"/>
        </w:rPr>
        <w:t>x</w:t>
      </w:r>
      <w:r>
        <w:rPr>
          <w:i w:val="0"/>
          <w:sz w:val="18"/>
        </w:rPr>
        <w:t>t</w:t>
      </w:r>
      <w:r>
        <w:rPr>
          <w:i w:val="0"/>
          <w:sz w:val="18"/>
          <w:highlight w:val="yellow"/>
        </w:rPr>
        <w:t>,</w:t>
      </w:r>
      <w:r>
        <w:rPr>
          <w:i w:val="0"/>
          <w:sz w:val="18"/>
        </w:rPr>
        <w:t xml:space="preserve"> and </w:t>
      </w:r>
      <w:r>
        <w:rPr>
          <w:i w:val="0"/>
          <w:sz w:val="18"/>
          <w:highlight w:val="yellow"/>
        </w:rPr>
        <w:t>c</w:t>
      </w:r>
      <w:r>
        <w:rPr>
          <w:i w:val="0"/>
          <w:sz w:val="18"/>
        </w:rPr>
        <w:t>on</w:t>
      </w:r>
      <w:r>
        <w:rPr>
          <w:i w:val="0"/>
          <w:sz w:val="18"/>
          <w:highlight w:val="yellow"/>
        </w:rPr>
        <w:t>s</w:t>
      </w:r>
      <w:r>
        <w:rPr>
          <w:i w:val="0"/>
          <w:sz w:val="18"/>
        </w:rPr>
        <w:t>er</w:t>
      </w:r>
      <w:r>
        <w:rPr>
          <w:i w:val="0"/>
          <w:sz w:val="18"/>
          <w:highlight w:val="yellow"/>
        </w:rPr>
        <w:t>v</w:t>
      </w:r>
      <w:r>
        <w:rPr>
          <w:i w:val="0"/>
          <w:sz w:val="18"/>
        </w:rPr>
        <w:t>a</w:t>
      </w:r>
      <w:r>
        <w:rPr>
          <w:i w:val="0"/>
          <w:sz w:val="18"/>
          <w:highlight w:val="yellow"/>
        </w:rPr>
        <w:t>t</w:t>
      </w:r>
      <w:r>
        <w:rPr>
          <w:i w:val="0"/>
          <w:sz w:val="18"/>
        </w:rPr>
        <w:t>i</w:t>
      </w:r>
      <w:r>
        <w:rPr>
          <w:i w:val="0"/>
          <w:sz w:val="18"/>
          <w:highlight w:val="yellow"/>
        </w:rPr>
        <w:t>v</w:t>
      </w:r>
      <w:r>
        <w:rPr>
          <w:i w:val="0"/>
          <w:sz w:val="18"/>
        </w:rPr>
        <w:t>e temporal s</w:t>
      </w:r>
      <w:r>
        <w:rPr>
          <w:i w:val="0"/>
          <w:sz w:val="18"/>
          <w:highlight w:val="yellow"/>
        </w:rPr>
        <w:t>ens</w:t>
      </w:r>
      <w:r>
        <w:rPr>
          <w:i w:val="0"/>
          <w:sz w:val="18"/>
        </w:rPr>
        <w:t>it</w:t>
      </w:r>
      <w:r>
        <w:rPr>
          <w:i w:val="0"/>
          <w:sz w:val="18"/>
        </w:rPr>
        <w:t>i</w:t>
      </w:r>
      <w:r>
        <w:rPr>
          <w:i w:val="0"/>
          <w:sz w:val="18"/>
          <w:highlight w:val="yellow"/>
        </w:rPr>
        <w:t>v</w:t>
      </w:r>
      <w:r>
        <w:rPr>
          <w:i w:val="0"/>
          <w:sz w:val="18"/>
        </w:rPr>
        <w:t>i</w:t>
      </w:r>
      <w:r>
        <w:rPr>
          <w:i w:val="0"/>
          <w:sz w:val="18"/>
        </w:rPr>
        <w:t>t</w:t>
      </w:r>
      <w:r>
        <w:rPr>
          <w:i w:val="0"/>
          <w:sz w:val="18"/>
          <w:highlight w:val="yellow"/>
        </w:rPr>
        <w:t>y</w:t>
      </w:r>
      <w:r>
        <w:rPr>
          <w:i w:val="0"/>
          <w:sz w:val="18"/>
        </w:rPr>
        <w:t xml:space="preserve"> co</w:t>
      </w:r>
      <w:r>
        <w:rPr>
          <w:i w:val="0"/>
          <w:sz w:val="18"/>
          <w:highlight w:val="yellow"/>
        </w:rPr>
        <w:t>mparis</w:t>
      </w:r>
      <w:r>
        <w:rPr>
          <w:i w:val="0"/>
          <w:sz w:val="18"/>
        </w:rPr>
        <w:t>o</w:t>
      </w:r>
      <w:r>
        <w:rPr>
          <w:i w:val="0"/>
          <w:sz w:val="18"/>
          <w:highlight w:val="yellow"/>
        </w:rPr>
        <w:t>n</w:t>
      </w:r>
      <w:r>
        <w:rPr>
          <w:i w:val="0"/>
          <w:sz w:val="18"/>
        </w:rPr>
        <w:t>s.</w:t>
      </w:r>
    </w:p>
    <w:p>
      <w:pPr>
        <w:pStyle w:val="Figurelegend"/>
      </w:pPr>
      <w:r>
        <w:rPr>
          <w:i w:val="0"/>
        </w:rPr>
        <w:t>Table 3. Robustness analyses across diagnostic and temporal sensitivity cohorts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19"/>
        <w:gridCol w:w="1319"/>
        <w:gridCol w:w="1319"/>
        <w:gridCol w:w="1319"/>
        <w:gridCol w:w="1319"/>
        <w:gridCol w:w="1319"/>
        <w:gridCol w:w="1319"/>
      </w:tblGrid>
      <w:tr>
        <w:trPr>
          <w:tblHeader w:val="true"/>
        </w:trPr>
        <w:tc>
          <w:tcPr>
            <w:tcW w:type="dxa" w:w="2721"/>
            <w:vAlign w:val="center"/>
            <w:tcMar>
              <w:top w:w="70" w:type="dxa"/>
              <w:start w:w="70" w:type="dxa"/>
              <w:bottom w:w="70" w:type="dxa"/>
              <w:end w:w="70" w:type="dxa"/>
            </w:tcMar>
          </w:tcPr>
          <w:p>
            <w:pPr>
              <w:spacing w:line="240" w:lineRule="auto" w:before="0" w:after="0"/>
            </w:pPr>
            <w:r>
              <w:rPr>
                <w:rFonts w:ascii="Arial" w:hAnsi="Arial"/>
                <w:b/>
                <w:sz w:val="17"/>
              </w:rPr>
              <w:t>Analysis</w:t>
            </w:r>
          </w:p>
        </w:tc>
        <w:tc>
          <w:tcPr>
            <w:tcW w:type="dxa" w:w="680"/>
            <w:vAlign w:val="center"/>
            <w:tcMar>
              <w:top w:w="70" w:type="dxa"/>
              <w:start w:w="70" w:type="dxa"/>
              <w:bottom w:w="70" w:type="dxa"/>
              <w:end w:w="70" w:type="dxa"/>
            </w:tcMar>
          </w:tcPr>
          <w:p>
            <w:pPr>
              <w:spacing w:line="240" w:lineRule="auto" w:before="0" w:after="0"/>
            </w:pPr>
            <w:r>
              <w:rPr>
                <w:rFonts w:ascii="Arial" w:hAnsi="Arial"/>
                <w:b/>
                <w:sz w:val="17"/>
              </w:rPr>
              <w:t>N</w:t>
            </w:r>
          </w:p>
        </w:tc>
        <w:tc>
          <w:tcPr>
            <w:tcW w:type="dxa" w:w="680"/>
            <w:vAlign w:val="center"/>
            <w:tcMar>
              <w:top w:w="70" w:type="dxa"/>
              <w:start w:w="70" w:type="dxa"/>
              <w:bottom w:w="70" w:type="dxa"/>
              <w:end w:w="70" w:type="dxa"/>
            </w:tcMar>
          </w:tcPr>
          <w:p>
            <w:pPr>
              <w:spacing w:line="240" w:lineRule="auto" w:before="0" w:after="0"/>
            </w:pPr>
            <w:r>
              <w:rPr>
                <w:rFonts w:ascii="Arial" w:hAnsi="Arial"/>
                <w:b/>
                <w:sz w:val="17"/>
              </w:rPr>
              <w:t>AMI</w:t>
            </w:r>
          </w:p>
        </w:tc>
        <w:tc>
          <w:tcPr>
            <w:tcW w:type="dxa" w:w="850"/>
            <w:vAlign w:val="center"/>
            <w:tcMar>
              <w:top w:w="70" w:type="dxa"/>
              <w:start w:w="70" w:type="dxa"/>
              <w:bottom w:w="70" w:type="dxa"/>
              <w:end w:w="70" w:type="dxa"/>
            </w:tcMar>
          </w:tcPr>
          <w:p>
            <w:pPr>
              <w:spacing w:line="240" w:lineRule="auto" w:before="0" w:after="0"/>
            </w:pPr>
            <w:r>
              <w:rPr>
                <w:rFonts w:ascii="Arial" w:hAnsi="Arial"/>
                <w:b/>
                <w:sz w:val="17"/>
              </w:rPr>
              <w:t>Controls</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PIV AUC</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Core-7 AUC</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Enhanced AUC</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Temporal sensitivity</w:t>
            </w:r>
            <w:r>
              <w:rPr>
                <w:rFonts w:ascii="Arial" w:hAnsi="Arial"/>
                <w:sz w:val="17"/>
                <w:highlight w:val="yellow"/>
              </w:rPr>
              <w:t>,</w:t>
            </w:r>
            <w:r>
              <w:rPr>
                <w:rFonts w:ascii="Arial" w:hAnsi="Arial"/>
                <w:sz w:val="17"/>
              </w:rPr>
              <w:t xml:space="preserve"> </w:t>
            </w:r>
            <w:r>
              <w:rPr>
                <w:rFonts w:ascii="Arial" w:hAnsi="Arial"/>
                <w:sz w:val="17"/>
                <w:highlight w:val="yellow"/>
              </w:rPr>
              <w:t>la</w:t>
            </w:r>
            <w:r>
              <w:rPr>
                <w:rFonts w:ascii="Arial" w:hAnsi="Arial"/>
                <w:sz w:val="17"/>
              </w:rPr>
              <w:t>t</w:t>
            </w:r>
            <w:r>
              <w:rPr>
                <w:rFonts w:ascii="Arial" w:hAnsi="Arial"/>
                <w:sz w:val="17"/>
              </w:rPr>
              <w:t>er</w:t>
            </w:r>
            <w:r>
              <w:rPr>
                <w:rFonts w:ascii="Arial" w:hAnsi="Arial"/>
                <w:sz w:val="17"/>
                <w:highlight w:val="yellow"/>
              </w:rPr>
              <w:t xml:space="preserve"> group</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548</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178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370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0.699 (0.651–0.745)</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0.701 (0.650–0.748)</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0.719 (0.673–0.764)</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 xml:space="preserve">High-specificity </w:t>
            </w:r>
            <w:r>
              <w:rPr>
                <w:rFonts w:ascii="Arial" w:hAnsi="Arial"/>
                <w:sz w:val="17"/>
                <w:highlight w:val="yellow"/>
              </w:rPr>
              <w:t>discharge-text phenotype</w:t>
            </w:r>
            <w:r>
              <w:rPr>
                <w:rFonts w:ascii="Arial" w:hAnsi="Arial"/>
                <w:sz w:val="17"/>
              </w:rPr>
              <w:t xml:space="preserve"> co</w:t>
            </w:r>
            <w:r>
              <w:rPr>
                <w:rFonts w:ascii="Arial" w:hAnsi="Arial"/>
                <w:sz w:val="17"/>
                <w:highlight w:val="yellow"/>
              </w:rPr>
              <w:t>mparis</w:t>
            </w:r>
            <w:r>
              <w:rPr>
                <w:rFonts w:ascii="Arial" w:hAnsi="Arial"/>
                <w:sz w:val="17"/>
              </w:rPr>
              <w:t>o</w:t>
            </w:r>
            <w:r>
              <w:rPr>
                <w:rFonts w:ascii="Arial" w:hAnsi="Arial"/>
                <w:sz w:val="17"/>
                <w:highlight w:val="yellow"/>
              </w:rPr>
              <w:t>n</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426</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138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288</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0.749 (0.696–0.800)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0.770 (0.718–0.820)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0.787 (0.736–0.831)</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Conservative temporal sensitivity (±12-month buffer)</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361</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110</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251</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0.698 (0.638–0.754)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0.684 (0.622–0.744)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0.699 (0.639–0.756)</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Alternative date-shift sensitivity cohort</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602</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198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404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0.707</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0.725</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Strict-control diagnostic cohort</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1517</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1064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0.730 (0.701–0.757)</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0.747 (0.718–0.775)</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0.759 (0.733–0.785)</w:t>
            </w:r>
          </w:p>
        </w:tc>
      </w:tr>
    </w:tbl>
    <w:p>
      <w:pPr>
        <w:pStyle w:val="Figurelegend"/>
      </w:pPr>
      <w:r>
        <w:rPr>
          <w:i w:val="0"/>
        </w:rPr>
        <w:t>For</w:t>
      </w:r>
      <w:r>
        <w:rPr>
          <w:i w:val="0"/>
          <w:highlight w:val="yellow"/>
        </w:rPr>
        <w:t xml:space="preserve"> the later group in</w:t>
      </w:r>
      <w:r>
        <w:rPr>
          <w:i w:val="0"/>
        </w:rPr>
        <w:t xml:space="preserve"> the temporal sensitivity </w:t>
      </w:r>
      <w:r>
        <w:rPr>
          <w:i w:val="0"/>
          <w:highlight w:val="yellow"/>
        </w:rPr>
        <w:t>analy</w:t>
      </w:r>
      <w:r>
        <w:rPr>
          <w:i w:val="0"/>
        </w:rPr>
        <w:t>si</w:t>
      </w:r>
      <w:r>
        <w:rPr>
          <w:i w:val="0"/>
          <w:highlight w:val="yellow"/>
        </w:rPr>
        <w:t>s</w:t>
      </w:r>
      <w:r>
        <w:rPr>
          <w:i w:val="0"/>
        </w:rPr>
        <w:t xml:space="preserve">, Core-7 minus PIV ΔAUC was 0.002 (95% CI -0.021 to 0.025), </w:t>
      </w:r>
      <w:r>
        <w:rPr>
          <w:i w:val="0"/>
        </w:rPr>
        <w:t xml:space="preserve">and </w:t>
      </w:r>
      <w:r>
        <w:rPr>
          <w:i w:val="0"/>
          <w:highlight w:val="yellow"/>
        </w:rPr>
        <w:t>the i</w:t>
      </w:r>
      <w:r>
        <w:rPr>
          <w:i w:val="0"/>
        </w:rPr>
        <w:t>n</w:t>
      </w:r>
      <w:r>
        <w:rPr>
          <w:i w:val="0"/>
          <w:highlight w:val="yellow"/>
        </w:rPr>
        <w:t>terval included zero. T</w:t>
      </w:r>
      <w:r>
        <w:rPr>
          <w:i w:val="0"/>
        </w:rPr>
        <w:t>h</w:t>
      </w:r>
      <w:r>
        <w:rPr>
          <w:i w:val="0"/>
          <w:highlight w:val="yellow"/>
        </w:rPr>
        <w:t xml:space="preserve">is </w:t>
      </w:r>
      <w:r>
        <w:rPr>
          <w:i w:val="0"/>
        </w:rPr>
        <w:t>a</w:t>
      </w:r>
      <w:r>
        <w:rPr>
          <w:i w:val="0"/>
          <w:highlight w:val="yellow"/>
        </w:rPr>
        <w:t>nalysis is not formal temporal validation. Alternative date-shift estimates are presented as point estimates because confide</w:t>
      </w:r>
      <w:r>
        <w:rPr>
          <w:i w:val="0"/>
        </w:rPr>
        <w:t>nce</w:t>
      </w:r>
      <w:r>
        <w:rPr>
          <w:i w:val="0"/>
        </w:rPr>
        <w:t xml:space="preserve"> </w:t>
      </w:r>
      <w:r>
        <w:rPr>
          <w:i w:val="0"/>
        </w:rPr>
        <w:t>in</w:t>
      </w:r>
      <w:r>
        <w:rPr>
          <w:i w:val="0"/>
          <w:highlight w:val="yellow"/>
        </w:rPr>
        <w:t>terval</w:t>
      </w:r>
      <w:r>
        <w:rPr>
          <w:i w:val="0"/>
        </w:rPr>
        <w:t xml:space="preserve">s </w:t>
      </w:r>
      <w:r>
        <w:rPr>
          <w:i w:val="0"/>
          <w:highlight w:val="yellow"/>
        </w:rPr>
        <w:t>were</w:t>
      </w:r>
      <w:r>
        <w:rPr>
          <w:i w:val="0"/>
        </w:rPr>
        <w:t xml:space="preserve"> </w:t>
      </w:r>
      <w:r>
        <w:rPr>
          <w:i w:val="0"/>
          <w:highlight w:val="yellow"/>
        </w:rPr>
        <w:t xml:space="preserve">not </w:t>
      </w:r>
      <w:r>
        <w:rPr>
          <w:i w:val="0"/>
        </w:rPr>
        <w:t>a</w:t>
      </w:r>
      <w:r>
        <w:rPr>
          <w:i w:val="0"/>
          <w:highlight w:val="yellow"/>
        </w:rPr>
        <w:t>vailable</w:t>
      </w:r>
      <w:r>
        <w:rPr>
          <w:i w:val="0"/>
        </w:rPr>
        <w:t xml:space="preserve"> </w:t>
      </w:r>
      <w:r>
        <w:rPr>
          <w:i w:val="0"/>
          <w:highlight w:val="yellow"/>
        </w:rPr>
        <w:t>from</w:t>
      </w:r>
      <w:r>
        <w:rPr>
          <w:i w:val="0"/>
        </w:rPr>
        <w:t xml:space="preserve"> t</w:t>
      </w:r>
      <w:r>
        <w:rPr>
          <w:i w:val="0"/>
          <w:highlight w:val="yellow"/>
        </w:rPr>
        <w:t>h</w:t>
      </w:r>
      <w:r>
        <w:rPr>
          <w:i w:val="0"/>
        </w:rPr>
        <w:t>o</w:t>
      </w:r>
      <w:r>
        <w:rPr>
          <w:i w:val="0"/>
          <w:highlight w:val="yellow"/>
        </w:rPr>
        <w:t>se</w:t>
      </w:r>
      <w:r>
        <w:rPr>
          <w:i w:val="0"/>
        </w:rPr>
        <w:t xml:space="preserve"> </w:t>
      </w:r>
      <w:r>
        <w:rPr>
          <w:i w:val="0"/>
          <w:highlight w:val="yellow"/>
        </w:rPr>
        <w:t>analyses</w:t>
      </w:r>
      <w:r>
        <w:rPr>
          <w:i w:val="0"/>
        </w:rPr>
        <w:t>.</w:t>
      </w:r>
    </w:p>
    <w:p>
      <w:pPr>
        <w:pStyle w:val="Heading2"/>
      </w:pPr>
      <w:r>
        <w:t>Predictor stability</w:t>
      </w:r>
    </w:p>
    <w:p>
      <w:r>
        <w:rPr>
          <w:i w:val="0"/>
        </w:rPr>
        <w:t>In the primary stability analysis, neutrophils, lymphocytes, monocytes, platelets, and RDW were selected in all resampling iterations, MPV in 99%, and hemoglobin in 95%. These results indicate that information from leukocyte, platelet, and erythrocyte measurements contributed reproducibly to the multivariable model. Fibrinogen was retained only in the Enhanced model. PDW was evaluated during model development but excluded because of temporal and measurement instability. Additional stability and domain-level results are provided in Additional file 1 and Additional file 2.</w:t>
      </w:r>
    </w:p>
    <w:p>
      <w:pPr>
        <w:jc w:val="center"/>
      </w:pPr>
      <w:r>
        <w:drawing>
          <wp:inline xmlns:a="http://schemas.openxmlformats.org/drawingml/2006/main" xmlns:pic="http://schemas.openxmlformats.org/drawingml/2006/picture">
            <wp:extent cx="5623560" cy="4205275"/>
            <wp:docPr id="5" name="Picture 5"/>
            <wp:cNvGraphicFramePr>
              <a:graphicFrameLocks noChangeAspect="1"/>
            </wp:cNvGraphicFramePr>
            <a:graphic>
              <a:graphicData uri="http://schemas.openxmlformats.org/drawingml/2006/picture">
                <pic:pic>
                  <pic:nvPicPr>
                    <pic:cNvPr id="0" name="Figure5_Robustness.tiff"/>
                    <pic:cNvPicPr/>
                  </pic:nvPicPr>
                  <pic:blipFill>
                    <a:blip r:embed="rId14"/>
                    <a:stretch>
                      <a:fillRect/>
                    </a:stretch>
                  </pic:blipFill>
                  <pic:spPr>
                    <a:xfrm>
                      <a:off x="0" y="0"/>
                      <a:ext cx="5623560" cy="4205275"/>
                    </a:xfrm>
                    <a:prstGeom prst="rect"/>
                  </pic:spPr>
                </pic:pic>
              </a:graphicData>
            </a:graphic>
          </wp:inline>
        </w:drawing>
      </w:r>
    </w:p>
    <w:p>
      <w:pPr>
        <w:spacing w:after="160"/>
        <w:jc w:val="left"/>
      </w:pPr>
      <w:r>
        <w:rPr>
          <w:i w:val="0"/>
          <w:sz w:val="18"/>
        </w:rPr>
        <w:t xml:space="preserve">Figure 5. Robustness across sensitivity analyses. AUC estimates </w:t>
      </w:r>
      <w:r>
        <w:rPr>
          <w:i w:val="0"/>
          <w:sz w:val="18"/>
        </w:rPr>
        <w:t xml:space="preserve">and </w:t>
      </w:r>
      <w:r>
        <w:rPr>
          <w:i w:val="0"/>
          <w:sz w:val="18"/>
          <w:highlight w:val="yellow"/>
        </w:rPr>
        <w:t>availabl</w:t>
      </w:r>
      <w:r>
        <w:rPr>
          <w:i w:val="0"/>
          <w:sz w:val="18"/>
        </w:rPr>
        <w:t>e</w:t>
      </w:r>
      <w:r>
        <w:rPr>
          <w:i w:val="0"/>
          <w:sz w:val="18"/>
        </w:rPr>
        <w:t xml:space="preserve"> 95% confidence intervals </w:t>
      </w:r>
      <w:r>
        <w:rPr>
          <w:i w:val="0"/>
          <w:sz w:val="18"/>
          <w:highlight w:val="yellow"/>
        </w:rPr>
        <w:t>for PIV, Core-7, and Enhanced across t</w:t>
      </w:r>
      <w:r>
        <w:rPr>
          <w:i w:val="0"/>
          <w:sz w:val="18"/>
        </w:rPr>
        <w:t>he</w:t>
      </w:r>
      <w:r>
        <w:rPr>
          <w:i w:val="0"/>
          <w:sz w:val="18"/>
          <w:highlight w:val="yellow"/>
        </w:rPr>
        <w:t xml:space="preserve"> sensitivity comparisons. The alternative date-shift point estimates without confidence intervals a</w:t>
      </w:r>
      <w:r>
        <w:rPr>
          <w:i w:val="0"/>
          <w:sz w:val="18"/>
        </w:rPr>
        <w:t xml:space="preserve">re </w:t>
      </w:r>
      <w:r>
        <w:rPr>
          <w:i w:val="0"/>
          <w:sz w:val="18"/>
          <w:highlight w:val="yellow"/>
        </w:rPr>
        <w:t>not p</w:t>
      </w:r>
      <w:r>
        <w:rPr>
          <w:i w:val="0"/>
          <w:sz w:val="18"/>
        </w:rPr>
        <w:t>l</w:t>
      </w:r>
      <w:r>
        <w:rPr>
          <w:i w:val="0"/>
          <w:sz w:val="18"/>
          <w:highlight w:val="yellow"/>
        </w:rPr>
        <w:t>ott</w:t>
      </w:r>
      <w:r>
        <w:rPr>
          <w:i w:val="0"/>
          <w:sz w:val="18"/>
        </w:rPr>
        <w:t>e</w:t>
      </w:r>
      <w:r>
        <w:rPr>
          <w:i w:val="0"/>
          <w:sz w:val="18"/>
          <w:highlight w:val="yellow"/>
        </w:rPr>
        <w:t>d</w:t>
      </w:r>
      <w:r>
        <w:rPr>
          <w:i w:val="0"/>
          <w:sz w:val="18"/>
        </w:rPr>
        <w:t>.</w:t>
      </w:r>
    </w:p>
    <w:p>
      <w:pPr>
        <w:pStyle w:val="Heading1"/>
      </w:pPr>
      <w:r>
        <w:t>Discussion</w:t>
      </w:r>
    </w:p>
    <w:p>
      <w:r>
        <w:rPr>
          <w:i w:val="0"/>
        </w:rPr>
        <w:t>In this CAD-restricted cohort, combining routinely measured hematologic variables provided moderate discrimination of the AMI phenotype. Core-7 achieved an AUC of 0.725 (95% CI 0.697-0.753), with a statistically significant but modest improvement over PIV (ΔAUC 0.017, 95% CI 0.003-0.031). The clinical relevance of this finding lies less in the absolute size of the AUC increase than in what it suggests about routine laboratory information: cell counts, platelet size, and erythrocyte indices retain complementary information when evaluated together rather than being reduced to a single predefined ratio [3-17].</w:t>
      </w:r>
    </w:p>
    <w:p>
      <w:r>
        <w:rPr>
          <w:i w:val="0"/>
        </w:rPr>
        <w:t>The biological rationale for this multidimensional approach is consistent with the pathophysiology of acute coronary events. Neutrophilia and lymphocyte depletion accompany inflammatory and stress responses, while circulating monocytes participate in plaque inflammation and the immune response after myocardial injury [1,3-12]. Platelet count and MPV may reflect complementary aspects of platelet activation, consumption, and renewed platelet production during acute coronary thrombosis [13,14]. RDW and hemoglobin can be influenced by inflammation, erythropoietic stress, comorbidity, and oxygen-carrying reserve [15,16]. Fibrinogen, as both an acute-phase protein and a coagulation substrate, adds information from the thrombo-inflammatory axis that is not directly captured by the CBC [17]. These mechanisms provide a clinical rationale for considering the variables jointly, while the individual regression coefficients should not be interpreted as causal effects or as evidence that any single marker is protective or harmful.</w:t>
      </w:r>
    </w:p>
    <w:p>
      <w:r>
        <w:rPr>
          <w:i w:val="0"/>
        </w:rPr>
        <w:t>The incremental advantage of Core-7 over PIV was attenu</w:t>
      </w:r>
      <w:r>
        <w:rPr>
          <w:i w:val="0"/>
        </w:rPr>
        <w:t>ated in the temporal sensitivity analysis. Core-7 and PIV had AUCs of approximately 0.701 and 0.699, respectively, and the paired confidence interval included zero. Th</w:t>
      </w:r>
      <w:r>
        <w:rPr>
          <w:i w:val="0"/>
          <w:highlight w:val="yellow"/>
        </w:rPr>
        <w:t>e temporal sensitivity analys</w:t>
      </w:r>
      <w:r>
        <w:rPr>
          <w:i w:val="0"/>
        </w:rPr>
        <w:t xml:space="preserve">is </w:t>
      </w:r>
      <w:r>
        <w:rPr>
          <w:i w:val="0"/>
          <w:highlight w:val="yellow"/>
        </w:rPr>
        <w:t>used deid</w:t>
      </w:r>
      <w:r>
        <w:rPr>
          <w:i w:val="0"/>
        </w:rPr>
        <w:t>en</w:t>
      </w:r>
      <w:r>
        <w:rPr>
          <w:i w:val="0"/>
          <w:highlight w:val="yellow"/>
        </w:rPr>
        <w:t>tified hospitaliz</w:t>
      </w:r>
      <w:r>
        <w:rPr>
          <w:i w:val="0"/>
        </w:rPr>
        <w:t>ation</w:t>
      </w:r>
      <w:r>
        <w:rPr>
          <w:i w:val="0"/>
          <w:highlight w:val="yellow"/>
        </w:rPr>
        <w:t>/coronary-angiography</w:t>
      </w:r>
      <w:r>
        <w:rPr>
          <w:i w:val="0"/>
        </w:rPr>
        <w:t xml:space="preserve"> </w:t>
      </w:r>
      <w:r>
        <w:rPr>
          <w:i w:val="0"/>
          <w:highlight w:val="yellow"/>
        </w:rPr>
        <w:t>date</w:t>
      </w:r>
      <w:r>
        <w:rPr>
          <w:i w:val="0"/>
        </w:rPr>
        <w:t xml:space="preserve">s </w:t>
      </w:r>
      <w:r>
        <w:rPr>
          <w:i w:val="0"/>
          <w:highlight w:val="yellow"/>
        </w:rPr>
        <w:t>f</w:t>
      </w:r>
      <w:r>
        <w:rPr>
          <w:i w:val="0"/>
        </w:rPr>
        <w:t>r</w:t>
      </w:r>
      <w:r>
        <w:rPr>
          <w:i w:val="0"/>
        </w:rPr>
        <w:t>om</w:t>
      </w:r>
      <w:r>
        <w:rPr>
          <w:i w:val="0"/>
        </w:rPr>
        <w:t xml:space="preserve"> the </w:t>
      </w:r>
      <w:r>
        <w:rPr>
          <w:i w:val="0"/>
          <w:highlight w:val="yellow"/>
        </w:rPr>
        <w:t>s</w:t>
      </w:r>
      <w:r>
        <w:rPr>
          <w:i w:val="0"/>
        </w:rPr>
        <w:t>t</w:t>
      </w:r>
      <w:r>
        <w:rPr>
          <w:i w:val="0"/>
          <w:highlight w:val="yellow"/>
        </w:rPr>
        <w:t>udy p</w:t>
      </w:r>
      <w:r>
        <w:rPr>
          <w:i w:val="0"/>
        </w:rPr>
        <w:t>er</w:t>
      </w:r>
      <w:r>
        <w:rPr>
          <w:i w:val="0"/>
          <w:highlight w:val="yellow"/>
        </w:rPr>
        <w:t xml:space="preserve">iod but is </w:t>
      </w:r>
      <w:r>
        <w:rPr>
          <w:i w:val="0"/>
        </w:rPr>
        <w:t>n</w:t>
      </w:r>
      <w:r>
        <w:rPr>
          <w:i w:val="0"/>
          <w:highlight w:val="yellow"/>
        </w:rPr>
        <w:t>ot form</w:t>
      </w:r>
      <w:r>
        <w:rPr>
          <w:i w:val="0"/>
        </w:rPr>
        <w:t>al</w:t>
      </w:r>
      <w:r>
        <w:rPr>
          <w:i w:val="0"/>
        </w:rPr>
        <w:t xml:space="preserve"> temporal va</w:t>
      </w:r>
      <w:r>
        <w:rPr>
          <w:i w:val="0"/>
          <w:highlight w:val="yellow"/>
        </w:rPr>
        <w:t>l</w:t>
      </w:r>
      <w:r>
        <w:rPr>
          <w:i w:val="0"/>
        </w:rPr>
        <w:t>i</w:t>
      </w:r>
      <w:r>
        <w:rPr>
          <w:i w:val="0"/>
          <w:highlight w:val="yellow"/>
        </w:rPr>
        <w:t>d</w:t>
      </w:r>
      <w:r>
        <w:rPr>
          <w:i w:val="0"/>
        </w:rPr>
        <w:t>ation</w:t>
      </w:r>
      <w:r>
        <w:rPr>
          <w:i w:val="0"/>
        </w:rPr>
        <w:t>. Independent cohorts with standardized clinical time points will be needed to determine how well this performance generalizes.</w:t>
      </w:r>
    </w:p>
    <w:p>
      <w:r>
        <w:rPr>
          <w:i w:val="0"/>
        </w:rPr>
        <w:t xml:space="preserve">Fibrinogen provided a </w:t>
      </w:r>
      <w:r>
        <w:rPr>
          <w:i w:val="0"/>
          <w:highlight w:val="yellow"/>
        </w:rPr>
        <w:t>m</w:t>
      </w:r>
      <w:r>
        <w:rPr>
          <w:i w:val="0"/>
        </w:rPr>
        <w:t>od</w:t>
      </w:r>
      <w:r>
        <w:rPr>
          <w:i w:val="0"/>
          <w:highlight w:val="yellow"/>
        </w:rPr>
        <w:t>est add</w:t>
      </w:r>
      <w:r>
        <w:rPr>
          <w:i w:val="0"/>
        </w:rPr>
        <w:t>i</w:t>
      </w:r>
      <w:r>
        <w:rPr>
          <w:i w:val="0"/>
          <w:highlight w:val="yellow"/>
        </w:rPr>
        <w:t>tiona</w:t>
      </w:r>
      <w:r>
        <w:rPr>
          <w:i w:val="0"/>
        </w:rPr>
        <w:t>l</w:t>
      </w:r>
      <w:r>
        <w:rPr>
          <w:i w:val="0"/>
        </w:rPr>
        <w:t xml:space="preserve"> increment over Core-7 in</w:t>
      </w:r>
      <w:r>
        <w:rPr>
          <w:i w:val="0"/>
        </w:rPr>
        <w:t xml:space="preserve"> the primary internal analysis</w:t>
      </w:r>
      <w:r>
        <w:rPr>
          <w:i w:val="0"/>
          <w:highlight w:val="yellow"/>
        </w:rPr>
        <w:t>;</w:t>
      </w:r>
      <w:r>
        <w:rPr>
          <w:i w:val="0"/>
        </w:rPr>
        <w:t xml:space="preserve"> an</w:t>
      </w:r>
      <w:r>
        <w:rPr>
          <w:i w:val="0"/>
          <w:highlight w:val="yellow"/>
        </w:rPr>
        <w:t xml:space="preserve"> increment was also observe</w:t>
      </w:r>
      <w:r>
        <w:rPr>
          <w:i w:val="0"/>
        </w:rPr>
        <w:t>d</w:t>
      </w:r>
      <w:r>
        <w:rPr>
          <w:i w:val="0"/>
          <w:highlight w:val="yellow"/>
        </w:rPr>
        <w:t xml:space="preserve"> in</w:t>
      </w:r>
      <w:r>
        <w:rPr>
          <w:i w:val="0"/>
        </w:rPr>
        <w:t xml:space="preserve"> the temporal sensitivity analysis</w:t>
      </w:r>
      <w:r>
        <w:rPr>
          <w:i w:val="0"/>
          <w:highlight w:val="yellow"/>
        </w:rPr>
        <w:t>, which was not formal temporal validation</w:t>
      </w:r>
      <w:r>
        <w:rPr>
          <w:i w:val="0"/>
        </w:rPr>
        <w:t>. This finding is clinically plausible because fibrinogen reflects both acute-phase activation and the coagulation milieu [17]. However, fibrinogen was not available as uniformly as the CBC variables, and the Enhanced model was not consistently superior to PIV across all analyses. The inverse RDW coefficient and changes in the direction of MPV, hemoglobin, and platelet associations between crude and multivariable analyses also caution against assigning simple mechanistic interpretations to individual coefficients [13-16]. The value of the model lies in the combined hematologic pattern rather than in redefining these measurements as isolated AMI risk factors.</w:t>
      </w:r>
    </w:p>
    <w:p>
      <w:r>
        <w:rPr>
          <w:i w:val="0"/>
        </w:rPr>
        <w:t>Because all seven Core-7 variables are part of routine complete blood count testing, the model could in principle be calculated automatically within a laboratory information system or electronic health record without requiring an additional assay. Such integration may eventually provide background hematologic context during the early assessment of patients with suspected acute coronary disease. The present study did not test real-time triage, treatment decisions, or performance before cardiac biomarker results became available</w:t>
      </w:r>
      <w:r>
        <w:rPr>
          <w:i w:val="0"/>
          <w:highlight w:val="yellow"/>
        </w:rPr>
        <w:t>.</w:t>
      </w:r>
      <w:r>
        <w:rPr>
          <w:i w:val="0"/>
        </w:rPr>
        <w:t xml:space="preserve"> </w:t>
      </w:r>
      <w:r>
        <w:rPr>
          <w:i w:val="0"/>
          <w:highlight w:val="yellow"/>
        </w:rPr>
        <w:t>No s</w:t>
      </w:r>
      <w:r>
        <w:rPr>
          <w:i w:val="0"/>
        </w:rPr>
        <w:t>t</w:t>
      </w:r>
      <w:r>
        <w:rPr>
          <w:i w:val="0"/>
          <w:highlight w:val="yellow"/>
        </w:rPr>
        <w:t>a</w:t>
      </w:r>
      <w:r>
        <w:rPr>
          <w:i w:val="0"/>
        </w:rPr>
        <w:t>n</w:t>
      </w:r>
      <w:r>
        <w:rPr>
          <w:i w:val="0"/>
        </w:rPr>
        <w:t>d</w:t>
      </w:r>
      <w:r>
        <w:rPr>
          <w:i w:val="0"/>
        </w:rPr>
        <w:t>ardi</w:t>
      </w:r>
      <w:r>
        <w:rPr>
          <w:i w:val="0"/>
          <w:highlight w:val="yellow"/>
        </w:rPr>
        <w:t>zed</w:t>
      </w:r>
      <w:r>
        <w:rPr>
          <w:i w:val="0"/>
        </w:rPr>
        <w:t xml:space="preserve"> troponin</w:t>
      </w:r>
      <w:r>
        <w:rPr>
          <w:i w:val="0"/>
          <w:highlight w:val="yellow"/>
        </w:rPr>
        <w:t xml:space="preserve"> comparator was available because assay platform, reference limits</w:t>
      </w:r>
      <w:r>
        <w:rPr>
          <w:i w:val="0"/>
        </w:rPr>
        <w:t>, s</w:t>
      </w:r>
      <w:r>
        <w:rPr>
          <w:i w:val="0"/>
          <w:highlight w:val="yellow"/>
        </w:rPr>
        <w:t>erial change</w:t>
      </w:r>
      <w:r>
        <w:rPr>
          <w:i w:val="0"/>
        </w:rPr>
        <w:t xml:space="preserve">, and </w:t>
      </w:r>
      <w:r>
        <w:rPr>
          <w:i w:val="0"/>
          <w:highlight w:val="yellow"/>
        </w:rPr>
        <w:t>ind</w:t>
      </w:r>
      <w:r>
        <w:rPr>
          <w:i w:val="0"/>
        </w:rPr>
        <w:t>e</w:t>
      </w:r>
      <w:r>
        <w:rPr>
          <w:i w:val="0"/>
          <w:highlight w:val="yellow"/>
        </w:rPr>
        <w:t xml:space="preserve">x timing were not </w:t>
      </w:r>
      <w:r>
        <w:rPr>
          <w:i w:val="0"/>
        </w:rPr>
        <w:t>s</w:t>
      </w:r>
      <w:r>
        <w:rPr>
          <w:i w:val="0"/>
          <w:highlight w:val="yellow"/>
        </w:rPr>
        <w:t>ufficien</w:t>
      </w:r>
      <w:r>
        <w:rPr>
          <w:i w:val="0"/>
        </w:rPr>
        <w:t>t</w:t>
      </w:r>
      <w:r>
        <w:rPr>
          <w:i w:val="0"/>
          <w:highlight w:val="yellow"/>
        </w:rPr>
        <w:t>ly h</w:t>
      </w:r>
      <w:r>
        <w:rPr>
          <w:i w:val="0"/>
        </w:rPr>
        <w:t>a</w:t>
      </w:r>
      <w:r>
        <w:rPr>
          <w:i w:val="0"/>
          <w:highlight w:val="yellow"/>
        </w:rPr>
        <w:t>rmon</w:t>
      </w:r>
      <w:r>
        <w:rPr>
          <w:i w:val="0"/>
        </w:rPr>
        <w:t>i</w:t>
      </w:r>
      <w:r>
        <w:rPr>
          <w:i w:val="0"/>
          <w:highlight w:val="yellow"/>
        </w:rPr>
        <w:t>z</w:t>
      </w:r>
      <w:r>
        <w:rPr>
          <w:i w:val="0"/>
        </w:rPr>
        <w:t>ed</w:t>
      </w:r>
      <w:r>
        <w:rPr>
          <w:i w:val="0"/>
        </w:rPr>
        <w:t>. The</w:t>
      </w:r>
      <w:r>
        <w:rPr>
          <w:i w:val="0"/>
        </w:rPr>
        <w:t xml:space="preserve"> findings</w:t>
      </w:r>
      <w:r>
        <w:rPr>
          <w:i w:val="0"/>
          <w:highlight w:val="yellow"/>
        </w:rPr>
        <w:t xml:space="preserve"> should</w:t>
      </w:r>
      <w:r>
        <w:rPr>
          <w:i w:val="0"/>
        </w:rPr>
        <w:t xml:space="preserve"> therefore </w:t>
      </w:r>
      <w:r>
        <w:rPr>
          <w:i w:val="0"/>
          <w:highlight w:val="yellow"/>
        </w:rPr>
        <w:t>b</w:t>
      </w:r>
      <w:r>
        <w:rPr>
          <w:i w:val="0"/>
        </w:rPr>
        <w:t>e</w:t>
      </w:r>
      <w:r>
        <w:rPr>
          <w:i w:val="0"/>
        </w:rPr>
        <w:t xml:space="preserve"> inte</w:t>
      </w:r>
      <w:r>
        <w:rPr>
          <w:i w:val="0"/>
        </w:rPr>
        <w:t>r</w:t>
      </w:r>
      <w:r>
        <w:rPr>
          <w:i w:val="0"/>
          <w:highlight w:val="yellow"/>
        </w:rPr>
        <w:t>preted as internal phenotype-discrimin</w:t>
      </w:r>
      <w:r>
        <w:rPr>
          <w:i w:val="0"/>
        </w:rPr>
        <w:t>ation r</w:t>
      </w:r>
      <w:r>
        <w:rPr>
          <w:i w:val="0"/>
          <w:highlight w:val="yellow"/>
        </w:rPr>
        <w:t xml:space="preserve">esults, not </w:t>
      </w:r>
      <w:r>
        <w:rPr>
          <w:i w:val="0"/>
        </w:rPr>
        <w:t>a</w:t>
      </w:r>
      <w:r>
        <w:rPr>
          <w:i w:val="0"/>
          <w:highlight w:val="yellow"/>
        </w:rPr>
        <w:t>s evidence of diagnos</w:t>
      </w:r>
      <w:r>
        <w:rPr>
          <w:i w:val="0"/>
        </w:rPr>
        <w:t>t</w:t>
      </w:r>
      <w:r>
        <w:rPr>
          <w:i w:val="0"/>
          <w:highlight w:val="yellow"/>
        </w:rPr>
        <w:t>ic o</w:t>
      </w:r>
      <w:r>
        <w:rPr>
          <w:i w:val="0"/>
        </w:rPr>
        <w:t>r t</w:t>
      </w:r>
      <w:r>
        <w:rPr>
          <w:i w:val="0"/>
          <w:highlight w:val="yellow"/>
        </w:rPr>
        <w:t>ri</w:t>
      </w:r>
      <w:r>
        <w:rPr>
          <w:i w:val="0"/>
        </w:rPr>
        <w:t>a</w:t>
      </w:r>
      <w:r>
        <w:rPr>
          <w:i w:val="0"/>
          <w:highlight w:val="yellow"/>
        </w:rPr>
        <w:t>ge</w:t>
      </w:r>
      <w:r>
        <w:rPr>
          <w:i w:val="0"/>
        </w:rPr>
        <w:t xml:space="preserve"> </w:t>
      </w:r>
      <w:r>
        <w:rPr>
          <w:i w:val="0"/>
          <w:highlight w:val="yellow"/>
        </w:rPr>
        <w:t>r</w:t>
      </w:r>
      <w:r>
        <w:rPr>
          <w:i w:val="0"/>
        </w:rPr>
        <w:t>e</w:t>
      </w:r>
      <w:r>
        <w:rPr>
          <w:i w:val="0"/>
          <w:highlight w:val="yellow"/>
        </w:rPr>
        <w:t>a</w:t>
      </w:r>
      <w:r>
        <w:rPr>
          <w:i w:val="0"/>
        </w:rPr>
        <w:t>di</w:t>
      </w:r>
      <w:r>
        <w:rPr>
          <w:i w:val="0"/>
          <w:highlight w:val="yellow"/>
        </w:rPr>
        <w:t>n</w:t>
      </w:r>
      <w:r>
        <w:rPr>
          <w:i w:val="0"/>
        </w:rPr>
        <w:t>e</w:t>
      </w:r>
      <w:r>
        <w:rPr>
          <w:i w:val="0"/>
          <w:highlight w:val="yellow"/>
        </w:rPr>
        <w:t>ss</w:t>
      </w:r>
      <w:r>
        <w:rPr>
          <w:i w:val="0"/>
        </w:rPr>
        <w:t>.</w:t>
      </w:r>
    </w:p>
    <w:p>
      <w:r>
        <w:rPr>
          <w:i w:val="0"/>
        </w:rPr>
        <w:t xml:space="preserve">Several features strengthen the analysis, including predefined diagnostic mapping, preprocessing restricted to the training data during cross-validation, common cross-validated predictions for model comparisons, assessment of predictor stability, and a </w:t>
      </w:r>
      <w:r>
        <w:rPr>
          <w:i w:val="0"/>
        </w:rPr>
        <w:t>temporal sensitivity analysis. The study also has important limitations. It is retrospective and single-center; AMI status was based primarily on discharge</w:t>
      </w:r>
      <w:r>
        <w:rPr>
          <w:i w:val="0"/>
          <w:highlight w:val="yellow"/>
        </w:rPr>
        <w:t>-</w:t>
      </w:r>
      <w:r>
        <w:rPr>
          <w:i w:val="0"/>
        </w:rPr>
        <w:t>diagnos</w:t>
      </w:r>
      <w:r>
        <w:rPr>
          <w:i w:val="0"/>
          <w:highlight w:val="yellow"/>
        </w:rPr>
        <w:t>is t</w:t>
      </w:r>
      <w:r>
        <w:rPr>
          <w:i w:val="0"/>
        </w:rPr>
        <w:t>e</w:t>
      </w:r>
      <w:r>
        <w:rPr>
          <w:i w:val="0"/>
          <w:highlight w:val="yellow"/>
        </w:rPr>
        <w:t>xt</w:t>
      </w:r>
      <w:r>
        <w:rPr>
          <w:i w:val="0"/>
        </w:rPr>
        <w:t xml:space="preserve"> rather than independent adjudication with serial biomarkers, electrocardiography, imaging, and full clinical context; and no independent external cohort was available. </w:t>
      </w:r>
      <w:r>
        <w:rPr>
          <w:i w:val="0"/>
          <w:highlight w:val="yellow"/>
        </w:rPr>
        <w:t>The source e</w:t>
      </w:r>
      <w:r>
        <w:rPr>
          <w:i w:val="0"/>
        </w:rPr>
        <w:t>x</w:t>
      </w:r>
      <w:r>
        <w:rPr>
          <w:i w:val="0"/>
          <w:highlight w:val="yellow"/>
        </w:rPr>
        <w:t>port lacked a complete eligible-patient screening log, so consecutive enrollment could not be confirmed. The extr</w:t>
      </w:r>
      <w:r>
        <w:rPr>
          <w:i w:val="0"/>
        </w:rPr>
        <w:t xml:space="preserve">act </w:t>
      </w:r>
      <w:r>
        <w:rPr>
          <w:i w:val="0"/>
          <w:highlight w:val="yellow"/>
        </w:rPr>
        <w:t xml:space="preserve">did not </w:t>
      </w:r>
      <w:r>
        <w:rPr>
          <w:i w:val="0"/>
        </w:rPr>
        <w:t>c</w:t>
      </w:r>
      <w:r>
        <w:rPr>
          <w:i w:val="0"/>
          <w:highlight w:val="yellow"/>
        </w:rPr>
        <w:t>ontain va</w:t>
      </w:r>
      <w:r>
        <w:rPr>
          <w:i w:val="0"/>
        </w:rPr>
        <w:t>li</w:t>
      </w:r>
      <w:r>
        <w:rPr>
          <w:i w:val="0"/>
          <w:highlight w:val="yellow"/>
        </w:rPr>
        <w:t>d</w:t>
      </w:r>
      <w:r>
        <w:rPr>
          <w:i w:val="0"/>
        </w:rPr>
        <w:t>a</w:t>
      </w:r>
      <w:r>
        <w:rPr>
          <w:i w:val="0"/>
          <w:highlight w:val="yellow"/>
        </w:rPr>
        <w:t>ted</w:t>
      </w:r>
      <w:r>
        <w:rPr>
          <w:i w:val="0"/>
        </w:rPr>
        <w:t xml:space="preserve"> index</w:t>
      </w:r>
      <w:r>
        <w:rPr>
          <w:i w:val="0"/>
          <w:highlight w:val="yellow"/>
        </w:rPr>
        <w:t>-relative prior MI or prior revascularization fields, so</w:t>
      </w:r>
      <w:r>
        <w:rPr>
          <w:i w:val="0"/>
        </w:rPr>
        <w:t xml:space="preserve"> t</w:t>
      </w:r>
      <w:r>
        <w:rPr>
          <w:i w:val="0"/>
          <w:highlight w:val="yellow"/>
        </w:rPr>
        <w:t>he</w:t>
      </w:r>
      <w:r>
        <w:rPr>
          <w:i w:val="0"/>
        </w:rPr>
        <w:t>i</w:t>
      </w:r>
      <w:r>
        <w:rPr>
          <w:i w:val="0"/>
          <w:highlight w:val="yellow"/>
        </w:rPr>
        <w:t>r prevalence and predictor rol</w:t>
      </w:r>
      <w:r>
        <w:rPr>
          <w:i w:val="0"/>
        </w:rPr>
        <w:t xml:space="preserve">es could not be </w:t>
      </w:r>
      <w:r>
        <w:rPr>
          <w:i w:val="0"/>
          <w:highlight w:val="yellow"/>
        </w:rPr>
        <w:t>a</w:t>
      </w:r>
      <w:r>
        <w:rPr>
          <w:i w:val="0"/>
        </w:rPr>
        <w:t>s</w:t>
      </w:r>
      <w:r>
        <w:rPr>
          <w:i w:val="0"/>
          <w:highlight w:val="yellow"/>
        </w:rPr>
        <w:t>sessed. Discharge-diagnosis availabili</w:t>
      </w:r>
      <w:r>
        <w:rPr>
          <w:i w:val="0"/>
        </w:rPr>
        <w:t>t</w:t>
      </w:r>
      <w:r>
        <w:rPr>
          <w:i w:val="0"/>
          <w:highlight w:val="yellow"/>
        </w:rPr>
        <w:t xml:space="preserve">y contributed to source-row ranking, </w:t>
      </w:r>
      <w:r>
        <w:rPr>
          <w:i w:val="0"/>
        </w:rPr>
        <w:t>and</w:t>
      </w:r>
      <w:r>
        <w:rPr>
          <w:i w:val="0"/>
          <w:highlight w:val="yellow"/>
        </w:rPr>
        <w:t xml:space="preserve"> the effect of this </w:t>
      </w:r>
      <w:r>
        <w:rPr>
          <w:i w:val="0"/>
        </w:rPr>
        <w:t>a</w:t>
      </w:r>
      <w:r>
        <w:rPr>
          <w:i w:val="0"/>
          <w:highlight w:val="yellow"/>
        </w:rPr>
        <w:t>va</w:t>
      </w:r>
      <w:r>
        <w:rPr>
          <w:i w:val="0"/>
        </w:rPr>
        <w:t>i</w:t>
      </w:r>
      <w:r>
        <w:rPr>
          <w:i w:val="0"/>
          <w:highlight w:val="yellow"/>
        </w:rPr>
        <w:t>lability-bas</w:t>
      </w:r>
      <w:r>
        <w:rPr>
          <w:i w:val="0"/>
        </w:rPr>
        <w:t>ed</w:t>
      </w:r>
      <w:r>
        <w:rPr>
          <w:i w:val="0"/>
          <w:highlight w:val="yellow"/>
        </w:rPr>
        <w:t xml:space="preserve"> selection cannot be quantified without the upstream extraction logic. </w:t>
      </w:r>
      <w:r>
        <w:rPr>
          <w:i w:val="0"/>
          <w:highlight w:val="yellow"/>
        </w:rPr>
        <w:t>The retained deidentified dataset did not permit uniform reconstruction of a precise clinical index date for all demographic variables.</w:t>
      </w:r>
      <w:r>
        <w:rPr>
          <w:i w:val="0"/>
        </w:rPr>
      </w:r>
      <w:r>
        <w:rPr>
          <w:i w:val="0"/>
          <w:highlight w:val="yellow"/>
        </w:rPr>
      </w:r>
      <w:r>
        <w:rPr>
          <w:i w:val="0"/>
        </w:rPr>
      </w:r>
      <w:r>
        <w:rPr>
          <w:i w:val="0"/>
          <w:highlight w:val="yellow"/>
        </w:rPr>
      </w:r>
      <w:r>
        <w:rPr>
          <w:i w:val="0"/>
        </w:rPr>
      </w:r>
      <w:r>
        <w:rPr>
          <w:i w:val="0"/>
          <w:highlight w:val="yellow"/>
        </w:rPr>
        <w:t xml:space="preserve"> Although the analyzed hematologic measurements were associated with the target hospitalization, exact sampling times relative to admission, coronary angiography, and AMI diagnosis could not</w:t>
      </w:r>
      <w:r>
        <w:rPr>
          <w:i w:val="0"/>
        </w:rPr>
        <w:t xml:space="preserve"> be</w:t>
      </w:r>
      <w:r>
        <w:rPr>
          <w:i w:val="0"/>
          <w:highlight w:val="yellow"/>
        </w:rPr>
        <w:t xml:space="preserve"> re</w:t>
      </w:r>
      <w:r>
        <w:rPr>
          <w:i w:val="0"/>
        </w:rPr>
        <w:t>c</w:t>
      </w:r>
      <w:r>
        <w:rPr>
          <w:i w:val="0"/>
          <w:highlight w:val="yellow"/>
        </w:rPr>
        <w:t>onstr</w:t>
      </w:r>
      <w:r>
        <w:rPr>
          <w:i w:val="0"/>
        </w:rPr>
        <w:t>u</w:t>
      </w:r>
      <w:r>
        <w:rPr>
          <w:i w:val="0"/>
          <w:highlight w:val="yellow"/>
        </w:rPr>
        <w:t>ct</w:t>
      </w:r>
      <w:r>
        <w:rPr>
          <w:i w:val="0"/>
        </w:rPr>
        <w:t>e</w:t>
      </w:r>
      <w:r>
        <w:rPr>
          <w:i w:val="0"/>
          <w:highlight w:val="yellow"/>
        </w:rPr>
        <w:t>d uniformly from the exported</w:t>
      </w:r>
      <w:r>
        <w:rPr>
          <w:i w:val="0"/>
        </w:rPr>
        <w:t xml:space="preserve"> research dat</w:t>
      </w:r>
      <w:r>
        <w:rPr>
          <w:i w:val="0"/>
          <w:highlight w:val="yellow"/>
        </w:rPr>
        <w:t>as</w:t>
      </w:r>
      <w:r>
        <w:rPr>
          <w:i w:val="0"/>
        </w:rPr>
        <w:t>e</w:t>
      </w:r>
      <w:r>
        <w:rPr>
          <w:i w:val="0"/>
          <w:highlight w:val="yellow"/>
        </w:rPr>
        <w:t>t.</w:t>
      </w:r>
      <w:r>
        <w:rPr>
          <w:i w:val="0"/>
        </w:rPr>
        <w:t xml:space="preserve"> </w:t>
      </w:r>
      <w:r>
        <w:rPr>
          <w:i w:val="0"/>
          <w:highlight w:val="yellow"/>
        </w:rPr>
        <w:t>F</w:t>
      </w:r>
      <w:r>
        <w:rPr>
          <w:i w:val="0"/>
        </w:rPr>
        <w:t xml:space="preserve">ibrinogen measurements were less complete than CBC measurements. </w:t>
      </w:r>
      <w:r>
        <w:rPr>
          <w:i w:val="0"/>
          <w:highlight w:val="yellow"/>
        </w:rPr>
        <w:t>The temporal sensitivity a</w:t>
      </w:r>
      <w:r>
        <w:rPr>
          <w:i w:val="0"/>
        </w:rPr>
        <w:t>naly</w:t>
      </w:r>
      <w:r>
        <w:rPr>
          <w:i w:val="0"/>
          <w:highlight w:val="yellow"/>
        </w:rPr>
        <w:t>s</w:t>
      </w:r>
      <w:r>
        <w:rPr>
          <w:i w:val="0"/>
        </w:rPr>
        <w:t>i</w:t>
      </w:r>
      <w:r>
        <w:rPr>
          <w:i w:val="0"/>
        </w:rPr>
        <w:t xml:space="preserve">s </w:t>
      </w:r>
      <w:r>
        <w:rPr>
          <w:i w:val="0"/>
          <w:highlight w:val="yellow"/>
        </w:rPr>
        <w:t>is</w:t>
      </w:r>
      <w:r>
        <w:rPr>
          <w:i w:val="0"/>
        </w:rPr>
        <w:t xml:space="preserve"> not </w:t>
      </w:r>
      <w:r>
        <w:rPr>
          <w:i w:val="0"/>
          <w:highlight w:val="yellow"/>
        </w:rPr>
        <w:t>forma</w:t>
      </w:r>
      <w:r>
        <w:rPr>
          <w:i w:val="0"/>
        </w:rPr>
        <w:t>l</w:t>
      </w:r>
      <w:r>
        <w:rPr>
          <w:i w:val="0"/>
        </w:rPr>
        <w:t xml:space="preserve"> t</w:t>
      </w:r>
      <w:r>
        <w:rPr>
          <w:i w:val="0"/>
        </w:rPr>
        <w:t>e</w:t>
      </w:r>
      <w:r>
        <w:rPr>
          <w:i w:val="0"/>
          <w:highlight w:val="yellow"/>
        </w:rPr>
        <w:t>mporal</w:t>
      </w:r>
      <w:r>
        <w:rPr>
          <w:i w:val="0"/>
        </w:rPr>
        <w:t xml:space="preserve"> </w:t>
      </w:r>
      <w:r>
        <w:rPr>
          <w:i w:val="0"/>
          <w:highlight w:val="yellow"/>
        </w:rPr>
        <w:t>val</w:t>
      </w:r>
      <w:r>
        <w:rPr>
          <w:i w:val="0"/>
        </w:rPr>
        <w:t>id</w:t>
      </w:r>
      <w:r>
        <w:rPr>
          <w:i w:val="0"/>
        </w:rPr>
        <w:t>a</w:t>
      </w:r>
      <w:r>
        <w:rPr>
          <w:i w:val="0"/>
        </w:rPr>
        <w:t>tion</w:t>
      </w:r>
      <w:r>
        <w:rPr>
          <w:i w:val="0"/>
        </w:rPr>
        <w:t xml:space="preserve">. These limitations define the next step: independent evaluation with a </w:t>
      </w:r>
      <w:r>
        <w:rPr>
          <w:i w:val="0"/>
          <w:highlight w:val="yellow"/>
        </w:rPr>
        <w:t>ve</w:t>
      </w:r>
      <w:r>
        <w:rPr>
          <w:i w:val="0"/>
        </w:rPr>
        <w:t>r</w:t>
      </w:r>
      <w:r>
        <w:rPr>
          <w:i w:val="0"/>
          <w:highlight w:val="yellow"/>
        </w:rPr>
        <w:t>i</w:t>
      </w:r>
      <w:r>
        <w:rPr>
          <w:i w:val="0"/>
        </w:rPr>
        <w:t>fi</w:t>
      </w:r>
      <w:r>
        <w:rPr>
          <w:i w:val="0"/>
        </w:rPr>
        <w:t>ed clinical index time, harmonized laboratory measurements, adjudicated AMI status, and prospective assessment of calibration and clinical utility [20,21,26-30].</w:t>
      </w:r>
    </w:p>
    <w:p>
      <w:pPr>
        <w:pStyle w:val="Heading1"/>
      </w:pPr>
      <w:r>
        <w:t>Conclusions</w:t>
      </w:r>
    </w:p>
    <w:p>
      <w:r>
        <w:rPr>
          <w:i w:val="0"/>
        </w:rPr>
        <w:t xml:space="preserve">Multidimensional analysis of routine CBC variables </w:t>
      </w:r>
      <w:r>
        <w:rPr>
          <w:i w:val="0"/>
        </w:rPr>
        <w:t>p</w:t>
      </w:r>
      <w:r>
        <w:rPr>
          <w:i w:val="0"/>
        </w:rPr>
        <w:t>r</w:t>
      </w:r>
      <w:r>
        <w:rPr>
          <w:i w:val="0"/>
          <w:highlight w:val="yellow"/>
        </w:rPr>
        <w:t>ovid</w:t>
      </w:r>
      <w:r>
        <w:rPr>
          <w:i w:val="0"/>
        </w:rPr>
        <w:t xml:space="preserve">ed </w:t>
      </w:r>
      <w:r>
        <w:rPr>
          <w:i w:val="0"/>
          <w:highlight w:val="yellow"/>
        </w:rPr>
        <w:t>mod</w:t>
      </w:r>
      <w:r>
        <w:rPr>
          <w:i w:val="0"/>
        </w:rPr>
        <w:t>e</w:t>
      </w:r>
      <w:r>
        <w:rPr>
          <w:i w:val="0"/>
          <w:highlight w:val="yellow"/>
        </w:rPr>
        <w:t>st additiona</w:t>
      </w:r>
      <w:r>
        <w:rPr>
          <w:i w:val="0"/>
        </w:rPr>
        <w:t>l</w:t>
      </w:r>
      <w:r>
        <w:rPr>
          <w:i w:val="0"/>
        </w:rPr>
        <w:t xml:space="preserve"> information beyond a fixed PIV ratio in the internal evaluation. Core-7 retained moderate discrimination </w:t>
      </w:r>
      <w:r>
        <w:rPr>
          <w:i w:val="0"/>
          <w:highlight w:val="yellow"/>
        </w:rPr>
        <w:t>in t</w:t>
      </w:r>
      <w:r>
        <w:rPr>
          <w:i w:val="0"/>
        </w:rPr>
        <w:t>he</w:t>
      </w:r>
      <w:r>
        <w:rPr>
          <w:i w:val="0"/>
        </w:rPr>
        <w:t xml:space="preserve"> temporal</w:t>
      </w:r>
      <w:r>
        <w:rPr>
          <w:i w:val="0"/>
        </w:rPr>
        <w:t xml:space="preserve"> se</w:t>
      </w:r>
      <w:r>
        <w:rPr>
          <w:i w:val="0"/>
          <w:highlight w:val="yellow"/>
        </w:rPr>
        <w:t xml:space="preserve">nsitivity </w:t>
      </w:r>
      <w:r>
        <w:rPr>
          <w:i w:val="0"/>
        </w:rPr>
        <w:t>a</w:t>
      </w:r>
      <w:r>
        <w:rPr>
          <w:i w:val="0"/>
          <w:highlight w:val="yellow"/>
        </w:rPr>
        <w:t>n</w:t>
      </w:r>
      <w:r>
        <w:rPr>
          <w:i w:val="0"/>
        </w:rPr>
        <w:t>a</w:t>
      </w:r>
      <w:r>
        <w:rPr>
          <w:i w:val="0"/>
          <w:highlight w:val="yellow"/>
        </w:rPr>
        <w:t>lysi</w:t>
      </w:r>
      <w:r>
        <w:rPr>
          <w:i w:val="0"/>
        </w:rPr>
        <w:t>s, although</w:t>
      </w:r>
      <w:r>
        <w:rPr>
          <w:i w:val="0"/>
        </w:rPr>
        <w:t xml:space="preserve"> its incremental advantage over PIV was attenuated. Addition of fibrinogen </w:t>
      </w:r>
      <w:r>
        <w:rPr>
          <w:i w:val="0"/>
        </w:rPr>
        <w:t>prov</w:t>
      </w:r>
      <w:r>
        <w:rPr>
          <w:i w:val="0"/>
          <w:highlight w:val="yellow"/>
        </w:rPr>
        <w:t>id</w:t>
      </w:r>
      <w:r>
        <w:rPr>
          <w:i w:val="0"/>
        </w:rPr>
        <w:t xml:space="preserve">ed </w:t>
      </w:r>
      <w:r>
        <w:rPr>
          <w:i w:val="0"/>
          <w:highlight w:val="yellow"/>
        </w:rPr>
        <w:t>a</w:t>
      </w:r>
      <w:r>
        <w:rPr>
          <w:i w:val="0"/>
        </w:rPr>
        <w:t xml:space="preserve"> </w:t>
      </w:r>
      <w:r>
        <w:rPr>
          <w:i w:val="0"/>
          <w:highlight w:val="yellow"/>
        </w:rPr>
        <w:t>fur</w:t>
      </w:r>
      <w:r>
        <w:rPr>
          <w:i w:val="0"/>
        </w:rPr>
        <w:t>ther</w:t>
      </w:r>
      <w:r>
        <w:rPr>
          <w:i w:val="0"/>
        </w:rPr>
        <w:t xml:space="preserve"> </w:t>
      </w:r>
      <w:r>
        <w:rPr>
          <w:i w:val="0"/>
          <w:highlight w:val="yellow"/>
        </w:rPr>
        <w:t>small incremen</w:t>
      </w:r>
      <w:r>
        <w:rPr>
          <w:i w:val="0"/>
        </w:rPr>
        <w:t>t</w:t>
      </w:r>
      <w:r>
        <w:rPr>
          <w:i w:val="0"/>
          <w:highlight w:val="yellow"/>
        </w:rPr>
        <w:t>. T</w:t>
      </w:r>
      <w:r>
        <w:rPr>
          <w:i w:val="0"/>
        </w:rPr>
        <w:t xml:space="preserve">hese findings </w:t>
      </w:r>
      <w:r>
        <w:rPr>
          <w:i w:val="0"/>
          <w:highlight w:val="yellow"/>
        </w:rPr>
        <w:t>wa</w:t>
      </w:r>
      <w:r>
        <w:rPr>
          <w:i w:val="0"/>
        </w:rPr>
        <w:t>r</w:t>
      </w:r>
      <w:r>
        <w:rPr>
          <w:i w:val="0"/>
          <w:highlight w:val="yellow"/>
        </w:rPr>
        <w:t>ran</w:t>
      </w:r>
      <w:r>
        <w:rPr>
          <w:i w:val="0"/>
        </w:rPr>
        <w:t xml:space="preserve">t </w:t>
      </w:r>
      <w:r>
        <w:rPr>
          <w:i w:val="0"/>
          <w:highlight w:val="yellow"/>
        </w:rPr>
        <w:t>independen</w:t>
      </w:r>
      <w:r>
        <w:rPr>
          <w:i w:val="0"/>
        </w:rPr>
        <w:t>t</w:t>
      </w:r>
      <w:r>
        <w:rPr>
          <w:i w:val="0"/>
        </w:rPr>
        <w:t xml:space="preserve"> evaluation </w:t>
      </w:r>
      <w:r>
        <w:rPr>
          <w:i w:val="0"/>
        </w:rPr>
        <w:t xml:space="preserve">with </w:t>
      </w:r>
      <w:r>
        <w:rPr>
          <w:i w:val="0"/>
          <w:highlight w:val="yellow"/>
        </w:rPr>
        <w:t>pros</w:t>
      </w:r>
      <w:r>
        <w:rPr>
          <w:i w:val="0"/>
        </w:rPr>
        <w:t>pe</w:t>
      </w:r>
      <w:r>
        <w:rPr>
          <w:i w:val="0"/>
          <w:highlight w:val="yellow"/>
        </w:rPr>
        <w:t>ctiv</w:t>
      </w:r>
      <w:r>
        <w:rPr>
          <w:i w:val="0"/>
        </w:rPr>
        <w:t>e</w:t>
      </w:r>
      <w:r>
        <w:rPr>
          <w:i w:val="0"/>
          <w:highlight w:val="yellow"/>
        </w:rPr>
        <w:t>ly</w:t>
      </w:r>
      <w:r>
        <w:rPr>
          <w:i w:val="0"/>
        </w:rPr>
        <w:t xml:space="preserve"> time-anchored </w:t>
      </w:r>
      <w:r>
        <w:rPr>
          <w:i w:val="0"/>
          <w:highlight w:val="yellow"/>
        </w:rPr>
        <w:t>laboratory measurements and standardized clinic</w:t>
      </w:r>
      <w:r>
        <w:rPr>
          <w:i w:val="0"/>
        </w:rPr>
        <w:t>al</w:t>
      </w:r>
      <w:r>
        <w:rPr>
          <w:i w:val="0"/>
          <w:highlight w:val="yellow"/>
        </w:rPr>
        <w:t xml:space="preserve"> adjud</w:t>
      </w:r>
      <w:r>
        <w:rPr>
          <w:i w:val="0"/>
        </w:rPr>
        <w:t>i</w:t>
      </w:r>
      <w:r>
        <w:rPr>
          <w:i w:val="0"/>
          <w:highlight w:val="yellow"/>
        </w:rPr>
        <w:t>c</w:t>
      </w:r>
      <w:r>
        <w:rPr>
          <w:i w:val="0"/>
        </w:rPr>
        <w:t>ation</w:t>
      </w:r>
      <w:r>
        <w:rPr>
          <w:i w:val="0"/>
          <w:highlight w:val="yellow"/>
        </w:rPr>
        <w:t>; they do not establish diagnostic or triage</w:t>
      </w:r>
      <w:r>
        <w:rPr>
          <w:i w:val="0"/>
        </w:rPr>
        <w:t xml:space="preserve"> re</w:t>
      </w:r>
      <w:r>
        <w:rPr>
          <w:i w:val="0"/>
          <w:highlight w:val="yellow"/>
        </w:rPr>
        <w:t>a</w:t>
      </w:r>
      <w:r>
        <w:rPr>
          <w:i w:val="0"/>
        </w:rPr>
        <w:t>d</w:t>
      </w:r>
      <w:r>
        <w:rPr>
          <w:i w:val="0"/>
        </w:rPr>
        <w:t>ine</w:t>
      </w:r>
      <w:r>
        <w:rPr>
          <w:i w:val="0"/>
        </w:rPr>
        <w:t>s</w:t>
      </w:r>
      <w:r>
        <w:rPr>
          <w:i w:val="0"/>
          <w:highlight w:val="yellow"/>
        </w:rPr>
        <w:t>s</w:t>
      </w:r>
      <w:r>
        <w:rPr>
          <w:i w:val="0"/>
        </w:rPr>
        <w:t>.</w:t>
      </w:r>
    </w:p>
    <w:p>
      <w:pPr>
        <w:pStyle w:val="Heading1"/>
      </w:pPr>
      <w:r>
        <w:t>List of abbreviations</w:t>
      </w:r>
    </w:p>
    <w:p>
      <w:r>
        <w:rPr>
          <w:i w:val="0"/>
        </w:rPr>
        <w:t>AMI, acute myocardial infarction; AUC, area under the receiver operating characteristic curve; CAD, coronary artery disease; CBC, complete blood count; CI, confidence interval; CK-MB, creatine kinase-MB; HRR, hemoglobin-to-red cell distribution width ratio; MLR, monocyte-to-lymphocyte ratio; MPV, mean platelet volume; NLR, neutrophil-to-lymphocyte ratio; NSTEMI, non-ST-segment elevation myocardial infarction; PCI, percutaneous coronary intervention; PDW, platelet distribution width; PIV, pan-immune-inflammation value; PLR, platelet-to-lymphocyte ratio; RDW, red cell distribution width; ROC, receiver operating characteristic; SII, systemic immune-inflammation index; SIRI, systemic inflammation response index; STEMI, ST-segment elevation myocardial infarction.</w:t>
      </w:r>
    </w:p>
    <w:p>
      <w:pPr>
        <w:pStyle w:val="Heading1"/>
      </w:pPr>
      <w:r>
        <w:t>Declarations</w:t>
      </w:r>
    </w:p>
    <w:p>
      <w:pPr>
        <w:pStyle w:val="Heading2"/>
      </w:pPr>
      <w:r>
        <w:t>Clinical trial number</w:t>
      </w:r>
    </w:p>
    <w:p>
      <w:pPr/>
      <w:r>
        <w:t>Clinical trial number: not applicable.</w:t>
      </w:r>
    </w:p>
    <w:p>
      <w:pPr>
        <w:pStyle w:val="Heading2"/>
      </w:pPr>
      <w:r>
        <w:t>Ethics approval</w:t>
      </w:r>
    </w:p>
    <w:p>
      <w:r>
        <w:t>The study was approved by the Ethics Committee of Xinjiang Medical University (approval no. K202602-10).</w:t>
      </w:r>
      <w:r>
        <w:rPr>
          <w:highlight w:val="yellow"/>
        </w:rPr>
        <w:t xml:space="preserve"> All methods were performed in accordance with relevant guidelines and regulations.</w:t>
      </w:r>
    </w:p>
    <w:p>
      <w:pPr>
        <w:pStyle w:val="Heading2"/>
      </w:pPr>
      <w:r>
        <w:t>Consent to participate</w:t>
      </w:r>
    </w:p>
    <w:p>
      <w:pPr/>
      <w:r>
        <w:rPr>
          <w:highlight w:val="yellow"/>
        </w:rPr>
        <w:t>Given</w:t>
      </w:r>
      <w:r>
        <w:t xml:space="preserve"> </w:t>
      </w:r>
      <w:r>
        <w:rPr>
          <w:highlight w:val="yellow"/>
        </w:rPr>
        <w:t>the retros</w:t>
      </w:r>
      <w:r>
        <w:t>p</w:t>
      </w:r>
      <w:r>
        <w:rPr>
          <w:highlight w:val="yellow"/>
        </w:rPr>
        <w:t>ec</w:t>
      </w:r>
      <w:r>
        <w:t>ti</w:t>
      </w:r>
      <w:r>
        <w:rPr>
          <w:highlight w:val="yellow"/>
        </w:rPr>
        <w:t>ve nature of the study, the requ</w:t>
      </w:r>
      <w:r>
        <w:t>i</w:t>
      </w:r>
      <w:r>
        <w:rPr>
          <w:highlight w:val="yellow"/>
        </w:rPr>
        <w:t>reme</w:t>
      </w:r>
      <w:r>
        <w:t>nt</w:t>
      </w:r>
      <w:r>
        <w:t xml:space="preserve"> </w:t>
      </w:r>
      <w:r>
        <w:rPr>
          <w:highlight w:val="yellow"/>
        </w:rPr>
        <w:t>fo</w:t>
      </w:r>
      <w:r>
        <w:t>r</w:t>
      </w:r>
      <w:r>
        <w:t xml:space="preserve"> informed consent</w:t>
      </w:r>
      <w:r>
        <w:rPr>
          <w:highlight w:val="yellow"/>
        </w:rPr>
        <w:t xml:space="preserve"> was waived by the Ethics Committee</w:t>
      </w:r>
      <w:r>
        <w:t>.</w:t>
      </w:r>
    </w:p>
    <w:p>
      <w:pPr>
        <w:pStyle w:val="Heading2"/>
      </w:pPr>
      <w:r>
        <w:t>Consent for publication</w:t>
      </w:r>
    </w:p>
    <w:p>
      <w:r>
        <w:rPr>
          <w:highlight w:val="yellow"/>
        </w:rPr>
        <w:t>N</w:t>
      </w:r>
      <w:r>
        <w:t>ot applicable.</w:t>
      </w:r>
    </w:p>
    <w:p>
      <w:pPr>
        <w:pStyle w:val="Heading2"/>
      </w:pPr>
      <w:r>
        <w:t>Availability of data and materials</w:t>
      </w:r>
    </w:p>
    <w:p>
      <w:r>
        <w:rPr>
          <w:i w:val="0"/>
        </w:rPr>
        <w:t>The clinical dataset is not publicly available because of institutional, ethical, and participant-privacy restrictions. Deidentified data may be available from the corresponding authors on reasonable request and subject to applicable institutional and ethics approval. Non-identifying analysis and figure-generation code is available from the corresponding authors on reasonable request.</w:t>
      </w:r>
    </w:p>
    <w:p>
      <w:pPr>
        <w:pStyle w:val="Heading2"/>
      </w:pPr>
      <w:r>
        <w:t>Competing interests</w:t>
      </w:r>
    </w:p>
    <w:p>
      <w:r>
        <w:rPr>
          <w:i w:val="0"/>
        </w:rPr>
        <w:t>The authors declare that they have no competing interests.</w:t>
      </w:r>
    </w:p>
    <w:p>
      <w:pPr>
        <w:pStyle w:val="Heading2"/>
      </w:pPr>
      <w:r>
        <w:t>Funding</w:t>
      </w:r>
    </w:p>
    <w:p>
      <w:r>
        <w:rPr>
          <w:i w:val="0"/>
        </w:rPr>
        <w:t>This work was supported by the National Natural Science Foundation of China (No. 82560073), the Tianshan Talents Training Program of Xinjiang Uygur Autonomous Region (No. 2023TSYCLJ0035), and the Key Project of Xinjiang Uygur Autonomous Region (No. 2023D01D12); all three grants were awarded to Xiaomei Li. The funders had no role in study design, data analysis, interpretation of results, manuscript preparation, or the decision to submit the work for publication.</w:t>
      </w:r>
    </w:p>
    <w:p>
      <w:pPr>
        <w:pStyle w:val="Heading2"/>
      </w:pPr>
      <w:r>
        <w:t>Authors' contributions</w:t>
      </w:r>
    </w:p>
    <w:p>
      <w:r>
        <w:rPr>
          <w:i w:val="0"/>
        </w:rPr>
        <w:t>JA: Conceptualization, Methodology, Software, Validation, Formal analysis, Investigation, Data curation, Writing - original draft, Writing - review &amp; editing, Visualization, Project administration. MP: Methodology, Validation, Investigation, Data curation, Writing - original draft, Writing - review &amp; editing, Visualization. QX: Investigation, Resources, Data curation, Validation, Writing - review &amp; editing. QP: Investigation, Resources, Data curation, Validation, Writing - review &amp; editing. WJ: Investigation, Resources, Data curation, Validation, Writing - review &amp; editing. BF: Investigation, Resources, Data curation, Validation, Writing - review &amp; editing. FL: Methodology, Formal analysis, Validation, Writing - review &amp; editing. LZ: Resources, Validation, Writing - review &amp; editing, Supervision. XL: Conceptualization, Resources, Writing - review &amp; editing, Supervision, Project administration, Funding acquisition. YY: Conceptualization, Resources, Validation, Writing - review &amp; editing, Supervision. All authors read and approved the final manuscript.</w:t>
      </w:r>
    </w:p>
    <w:p>
      <w:pPr>
        <w:pStyle w:val="Heading2"/>
      </w:pPr>
      <w:r>
        <w:t>Acknowledgements</w:t>
      </w:r>
    </w:p>
    <w:p>
      <w:r>
        <w:t>Not applicable.</w:t>
      </w:r>
    </w:p>
    <w:p>
      <w:pPr>
        <w:pStyle w:val="Heading1"/>
      </w:pPr>
      <w:r>
        <w:t>Additional files</w:t>
      </w:r>
    </w:p>
    <w:p>
      <w:r>
        <w:rPr>
          <w:i w:val="0"/>
        </w:rPr>
        <w:t>Additional file 1. DOCX. Supplementary methods and figures. Contains supplementary methodological details and Figures S1-S4.</w:t>
      </w:r>
    </w:p>
    <w:p>
      <w:r>
        <w:rPr>
          <w:i w:val="0"/>
        </w:rPr>
        <w:t>Additional file 2. XLSX. Supplementary tables. Contains Supplementary Tables S1-S13 covering variable definitions, phenotype mapping, missingness, conventional index formulas, preprocessing, resampling, predictor stability, clinical incremental models, fibrinogen complete-case analysis, high-specificity AMI analysis, temporal sensitivity analyses, the exploratory simplified score, and the reference model specification.</w:t>
      </w:r>
    </w:p>
    <w:p>
      <w:pPr>
        <w:pStyle w:val="Heading1"/>
      </w:pPr>
      <w:r>
        <w:t>References</w:t>
      </w:r>
    </w:p>
    <w:p>
      <w:pPr>
        <w:ind w:hanging="283" w:left="283"/>
      </w:pPr>
      <w:r>
        <w:t>1. Hansson GK. Inflammation, atherosclerosis, and coronary artery disease. N Engl J Med. 2005;352:1685-1695. doi:10.1056/NEJMra043430.</w:t>
      </w:r>
    </w:p>
    <w:p>
      <w:pPr>
        <w:ind w:hanging="283" w:left="283"/>
      </w:pPr>
      <w:r>
        <w:t>2. Thygesen K, Alpert JS, Jaffe AS, et al. Fourth universal definition of myocardial infarction (2018). Eur Heart J. 2019;40:237-269. doi:10.1093/eurheartj/ehy462.</w:t>
      </w:r>
    </w:p>
    <w:p>
      <w:pPr>
        <w:ind w:hanging="283" w:left="283"/>
      </w:pPr>
      <w:r>
        <w:t>3. Dziedzic EA, Gasior JS, Tuzimek L, et al. Investigation of the Associations of Novel Inflammatory Biomarkers--Systemic Inflammatory Index and Systemic Inflammatory Response Index--With the Severity of Coronary Artery Disease and Acute Coronary Syndrome Occurrence. Int J Mol Sci. 2022;23:9553. doi:10.3390/ijms23179553.</w:t>
      </w:r>
    </w:p>
    <w:p>
      <w:pPr>
        <w:ind w:hanging="283" w:left="283"/>
      </w:pPr>
      <w:r>
        <w:t>4. Wei X, et al. Association of systemic immune inflammation index and system inflammation response index with clinical risk of acute myocardial infarction. Front Cardiovasc Med. 2023;10:1248655. doi:10.3389/fcvm.2023.1248655.</w:t>
      </w:r>
    </w:p>
    <w:p>
      <w:pPr>
        <w:ind w:hanging="283" w:left="283"/>
      </w:pPr>
      <w:r>
        <w:t>5. Zhang C, et al. Systemic immune-inflammation index as a novel predictor of major adverse cardiovascular events in patients undergoing percutaneous coronary intervention: a meta-analysis of cohort studies. BMC Cardiovasc Disord. 2024;24:189. doi:10.1186/s12872-024-03849-4.</w:t>
      </w:r>
    </w:p>
    <w:p>
      <w:pPr>
        <w:ind w:hanging="283" w:left="283"/>
      </w:pPr>
      <w:r>
        <w:t>6. Yang L, Guo J, Chen M, Wang Y, Li J, Zhang J. Pan-Immune-Inflammatory Value is Superior to Other Inflammatory Indicators in Predicting Inpatient Major Adverse Cardiovascular Events and Severe Coronary Artery Stenosis after Percutaneous Coronary Intervention in STEMI Patients. Rev Cardiovasc Med. 2024;25(8):294. doi:10.31083/j.rcm2508294. PMID:39228482.</w:t>
      </w:r>
    </w:p>
    <w:p>
      <w:pPr>
        <w:ind w:hanging="283" w:left="283"/>
      </w:pPr>
      <w:r>
        <w:t>7. Mangalesh S, et al. Development of a Novel Inflammatory Index to Predict Coronary Artery Disease Severity in Patients With Acute Coronary Syndrome. Angiology. 2024;75:231-239. doi:10.1177/00033197231151564.</w:t>
      </w:r>
    </w:p>
    <w:p>
      <w:pPr>
        <w:ind w:hanging="283" w:left="283"/>
      </w:pPr>
      <w:r>
        <w:t>8. Gao Y, et al. Prognosis impact of multiple novel lymphocyte-based inflammatory indices in patients with initially diagnosed coronary artery disease. Immun Inflamm Dis. 2024;12:e1340. doi:10.1002/iid3.1340.</w:t>
      </w:r>
    </w:p>
    <w:p>
      <w:pPr>
        <w:ind w:hanging="283" w:left="283"/>
      </w:pPr>
      <w:r>
        <w:t>9. Zahorec R. Ratio of neutrophil to lymphocyte counts--rapid and simple parameter of systemic inflammation and stress in critically ill. Bratisl Lek Listy. 2001;102:5-14. PMID:11723675.</w:t>
      </w:r>
    </w:p>
    <w:p>
      <w:pPr>
        <w:ind w:hanging="283" w:left="283"/>
      </w:pPr>
      <w:r>
        <w:t>10. Li H, Zhou Y, Ma Y, Han S, Zhou L. The prognostic value of the platelet-to-lymphocyte ratio in acute coronary syndrome: a systematic review and meta-analysis. Kardiol Pol. 2017;75(7):666-673. doi:10.5603/KP.a2017.0068. PMID:28394006.</w:t>
      </w:r>
    </w:p>
    <w:p>
      <w:pPr>
        <w:ind w:hanging="283" w:left="283"/>
      </w:pPr>
      <w:r>
        <w:t>11. Willim HA, Harianto JC, Cipta H. Platelet-to-Lymphocyte Ratio at Admission as a Predictor of In-Hospital and Long-Term Outcomes in Patients With ST-Segment Elevation Myocardial Infarction Undergoing Primary Percutaneous Coronary Intervention: A Systematic Review and Meta-Analysis. Cardiol Res. 2021;12(2):109-116. doi:10.14740/cr1219. PMID:33738014.</w:t>
      </w:r>
    </w:p>
    <w:p>
      <w:pPr>
        <w:ind w:hanging="283" w:left="283"/>
      </w:pPr>
      <w:r>
        <w:t>12. Ul Hussain H, Kumar KA, Zahid M, et al. Neutrophil to lymphocyte ratio as a prognostic marker for cardiovascular outcomes in patients with ST-segment elevation myocardial infarction after percutaneous coronary intervention: A systematic review and meta-analysis. Medicine (Baltimore). 2024;103(26):e38692. doi:10.1097/MD.0000000000038692. PMID:38941418.</w:t>
      </w:r>
    </w:p>
    <w:p>
      <w:pPr>
        <w:ind w:hanging="283" w:left="283"/>
      </w:pPr>
      <w:r>
        <w:t>13. Galimzhanov A, Tenekecioglu E, Rustamova F, Tun HN, Mamas MA. The Prognostic Utility of Mean Platelet Volume in Patients With Acute Coronary Syndrome: A Systematic Review With Meta-Analyses. Angiology. 2022;73(8):734-743. doi:10.1177/00033197211070908. PMID:35062842.</w:t>
      </w:r>
    </w:p>
    <w:p>
      <w:pPr>
        <w:ind w:hanging="283" w:left="283"/>
      </w:pPr>
      <w:r>
        <w:t>14. Wang QC, Chen Y, Guan CL, Lu WK. Mean platelet volume and cardiovascular outcomes in patients with coronary heart disease: A meta-analysis of prospective studies. Medicine (Baltimore). 2026;105(4):e41818. doi:10.1097/MD.0000000000041818. PMID:41578535. PMCID:PMC12851692.</w:t>
      </w:r>
    </w:p>
    <w:p>
      <w:pPr>
        <w:ind w:hanging="283" w:left="283"/>
      </w:pPr>
      <w:r>
        <w:t>15. Li H, Xu Y. Association between red blood cell distribution width-to-albumin ratio and prognosis of patients with acute myocardial infarction. BMC Cardiovasc Disord. 2023;23:66. doi:10.1186/s12872-023-03094-1.</w:t>
      </w:r>
    </w:p>
    <w:p>
      <w:pPr>
        <w:ind w:hanging="283" w:left="283"/>
      </w:pPr>
      <w:r>
        <w:t>16. Abrahan LL 4th, Ramos JDA, Cunanan EL, Tiongson MDA, Punzalan FER. Red Cell Distribution Width and Mortality in Patients With Acute Coronary Syndrome: A Meta-Analysis on Prognosis. Cardiol Res. 2018;9(3):144-152. doi:10.14740/cr732w. PMID:29904449.</w:t>
      </w:r>
    </w:p>
    <w:p>
      <w:pPr>
        <w:ind w:hanging="283" w:left="283"/>
      </w:pPr>
      <w:r>
        <w:t>17. Cui Z, Zhao G, Liu X. Blood fibrinogen level as a biomarker of adverse outcomes in patients with coronary artery disease: A systematic review and meta-analysis. Medicine (Baltimore). 2022;101(33):e30117. doi:10.1097/MD.0000000000030117. PMID:35984145. PMCID:PMC9387956.</w:t>
      </w:r>
    </w:p>
    <w:p>
      <w:pPr>
        <w:ind w:hanging="283" w:left="283"/>
      </w:pPr>
      <w:r>
        <w:t>18. Zou H, Hastie T. Regularization and variable selection via the elastic net. J R Stat Soc Series B. 2005;67:301-320. doi:10.1111/j.1467-9868.2005.00503.x.</w:t>
      </w:r>
    </w:p>
    <w:p>
      <w:pPr>
        <w:ind w:hanging="283" w:left="283"/>
      </w:pPr>
      <w:r>
        <w:t>19. Friedman J, Hastie T, Tibshirani R. Regularization Paths for Generalized Linear Models via Coordinate Descent. J Stat Softw. 2010;33:1-22. doi:10.18637/jss.v033.i01.</w:t>
      </w:r>
    </w:p>
    <w:p>
      <w:pPr>
        <w:ind w:hanging="283" w:left="283"/>
      </w:pPr>
      <w:r>
        <w:t>20. Steyerberg EW, Vickers AJ, Cook NR, et al. Assessing the performance of prediction models: a framework for traditional and novel measures. Epidemiology. 2010;21:128-138. doi:10.1097/EDE.0b013e3181c30fb2.</w:t>
      </w:r>
    </w:p>
    <w:p>
      <w:pPr>
        <w:ind w:hanging="283" w:left="283"/>
      </w:pPr>
      <w:r>
        <w:t>21. van Calster B, McLernon DJ, van Smeden M, Wynants L, Steyerberg EW. Calibration: the Achilles heel of predictive analytics. BMC Med. 2019;17:230. doi:10.1186/s12916-019-1466-7.</w:t>
      </w:r>
    </w:p>
    <w:p>
      <w:pPr>
        <w:ind w:hanging="283" w:left="283"/>
      </w:pPr>
      <w:r>
        <w:t>22. Brier GW. Verification of forecasts expressed in terms of probability. Mon Weather Rev. 1950;78:1-3. doi:10.1175/1520-0493(1950)078&lt;0001:VOFEIT&gt;2.0.CO;2.</w:t>
      </w:r>
    </w:p>
    <w:p>
      <w:pPr>
        <w:ind w:hanging="283" w:left="283"/>
      </w:pPr>
      <w:r>
        <w:t>23. Efron B, Tibshirani RJ. An Introduction to the Bootstrap. New York: Chapman &amp; Hall; 1993. doi:10.1007/978-1-4899-4541-9.</w:t>
      </w:r>
    </w:p>
    <w:p>
      <w:pPr>
        <w:ind w:hanging="283" w:left="283"/>
      </w:pPr>
      <w:r>
        <w:t>24. DeLong ER, DeLong DM, Clarke-Pearson DL. Comparing the areas under two or more correlated receiver operating characteristic curves. Biometrics. 1988;44:837-845. PMID:3203132.</w:t>
      </w:r>
    </w:p>
    <w:p>
      <w:pPr>
        <w:ind w:hanging="283" w:left="283"/>
      </w:pPr>
      <w:r>
        <w:t>25. Harrell FE Jr. Regression Modeling Strategies: With Applications to Linear Models, Logistic and Ordinal Regression, and Survival Analysis. 2nd ed. Cham: Springer; 2015. doi:10.1007/978-3-319-19425-7.</w:t>
      </w:r>
    </w:p>
    <w:p>
      <w:pPr>
        <w:ind w:hanging="283" w:left="283"/>
      </w:pPr>
      <w:r>
        <w:t>26. Riley RD, Snell KI, Ensor J, et al. Minimum sample size for developing a multivariable prediction model: Part II--binary and time-to-event outcomes. Stat Med. 2019;38:1276-1296. doi:10.1002/sim.7992.</w:t>
      </w:r>
    </w:p>
    <w:p>
      <w:pPr>
        <w:ind w:hanging="283" w:left="283"/>
      </w:pPr>
      <w:r>
        <w:t>27. Vickers AJ, Elkin EB. Decision curve analysis: a novel method for evaluating prediction models. Med Decis Making. 2006;26:565-574. doi:10.1177/0272989X06295361.</w:t>
      </w:r>
    </w:p>
    <w:p>
      <w:pPr>
        <w:ind w:hanging="283" w:left="283"/>
      </w:pPr>
      <w:r>
        <w:t>28. von Elm E, Altman DG, Egger M, et al. The Strengthening the Reporting of Observational Studies in Epidemiology (STROBE) statement. PLoS Med. 2007;4:e296. doi:10.1371/journal.pmed.0040296.</w:t>
      </w:r>
    </w:p>
    <w:p>
      <w:pPr>
        <w:ind w:hanging="283" w:left="283"/>
      </w:pPr>
      <w:r>
        <w:t>29. Collins GS, et al. TRIPOD+AI statement: updated guidance for reporting clinical prediction models that use regression or machine learning methods. BMJ. 2024;385:e078378. doi:10.1136/bmj-2023-078378.</w:t>
      </w:r>
    </w:p>
    <w:p>
      <w:pPr>
        <w:ind w:hanging="283" w:left="283"/>
      </w:pPr>
      <w:r>
        <w:t>30. Moons KGM, et al. PROBAST+AI: an updated quality, risk of bias, and applicability assessment tool for prediction models using regression or artificial intelligence methods. BMJ. 2025;388:e082505. doi:10.1136/bmj-2024-082505.</w:t>
      </w:r>
    </w:p>
    <w:p>
      <w:pPr>
        <w:ind w:hanging="283" w:left="283"/>
      </w:pPr>
      <w:r>
        <w:t>31. R Core Team. R: A Language and Environment for Statistical Computing. Vienna, Austria: R Foundation for Statistical Computing; 2026. doi:10.32614/R.manuals. https://www.R-project.org/.</w:t>
      </w:r>
    </w:p>
    <w:p>
      <w:pPr>
        <w:ind w:hanging="283" w:left="283"/>
      </w:pPr>
      <w:r>
        <w:t>32. Wickham H, Averick M, Bryan J, et al. Welcome to the tidyverse. J Open Source Softw. 2019;4:1686. doi:10.21105/joss.01686.</w:t>
      </w:r>
    </w:p>
    <w:sectPr w:rsidR="00FC693F" w:rsidRPr="0006063C" w:rsidSect="00034616">
      <w:footerReference w:type="default" r:id="rId9"/>
      <w:pgSz w:w="12240" w:h="15840"/>
      <w:pgMar w:top="1417" w:right="1417" w:bottom="1417" w:left="1587"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legend">
    <w:name w:val="Figure legend"/>
    <w:pPr>
      <w:spacing w:line="276" w:lineRule="auto" w:after="10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1.tiff"/><Relationship Id="rId11" Type="http://schemas.openxmlformats.org/officeDocument/2006/relationships/image" Target="media/image2.tiff"/><Relationship Id="rId12" Type="http://schemas.openxmlformats.org/officeDocument/2006/relationships/image" Target="media/image3.tiff"/><Relationship Id="rId13" Type="http://schemas.openxmlformats.org/officeDocument/2006/relationships/image" Target="media/image4.tiff"/><Relationship Id="rId14" Type="http://schemas.openxmlformats.org/officeDocument/2006/relationships/image" Target="media/image5.tiff"/><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Technical-check revision: added clinical trial number statement and explicit ethics/consent declarations only.</dc:description>
  <dcterms:modified xsi:type="dcterms:W3CDTF">2013-12-23T23:15:00Z</dcterms:modified>
  <cp:revision>1</cp:revision>
</cp:coreProperties>
</file>