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DB" w:rsidRPr="00D803DB" w:rsidRDefault="00D803D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Calendario Sprint 10</w:t>
      </w:r>
    </w:p>
    <w:p w:rsidR="00D803DB" w:rsidRDefault="00D803D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1584"/>
        <w:gridCol w:w="967"/>
        <w:gridCol w:w="957"/>
        <w:gridCol w:w="1353"/>
        <w:gridCol w:w="1317"/>
      </w:tblGrid>
      <w:tr w:rsidR="000D78E9" w:rsidRPr="007A7AAB" w:rsidTr="00561678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Descargar QR leídos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 xml:space="preserve">Funcionalidades para descargar los códigos QR </w:t>
            </w:r>
            <w:r w:rsidR="00561678" w:rsidRPr="007A7AAB">
              <w:rPr>
                <w:rFonts w:eastAsia="Times New Roman"/>
                <w:sz w:val="20"/>
                <w:szCs w:val="20"/>
              </w:rPr>
              <w:t>leídos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22/03/2016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D78E9" w:rsidRPr="007A7AAB" w:rsidTr="00561678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Filtros administrador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Filtros para búsqueda de información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26/03/2016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Sprint10</w:t>
            </w:r>
          </w:p>
        </w:tc>
      </w:tr>
      <w:tr w:rsidR="000D78E9" w:rsidRPr="007A7AAB" w:rsidTr="00561678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Instalación del producto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0D78E9" w:rsidRPr="007A7AAB" w:rsidRDefault="0056167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Instalación</w:t>
            </w:r>
            <w:r w:rsidR="000D78E9" w:rsidRPr="007A7AAB">
              <w:rPr>
                <w:rFonts w:eastAsia="Times New Roman"/>
                <w:sz w:val="20"/>
                <w:szCs w:val="20"/>
              </w:rPr>
              <w:t xml:space="preserve"> de las tres partes fundamentales de la </w:t>
            </w:r>
            <w:r w:rsidRPr="007A7AAB">
              <w:rPr>
                <w:rFonts w:eastAsia="Times New Roman"/>
                <w:sz w:val="20"/>
                <w:szCs w:val="20"/>
              </w:rPr>
              <w:t>aplicación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31/03/2016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06724" w:rsidRDefault="00F06724"/>
    <w:p w:rsidR="00D803DB" w:rsidRDefault="00D803DB">
      <w:bookmarkStart w:id="0" w:name="_GoBack"/>
      <w:bookmarkEnd w:id="0"/>
    </w:p>
    <w:p w:rsidR="00D803DB" w:rsidRDefault="00D803DB" w:rsidP="00D803DB">
      <w:proofErr w:type="spellStart"/>
      <w:r>
        <w:t>Issues</w:t>
      </w:r>
      <w:proofErr w:type="spellEnd"/>
      <w:r>
        <w:t>:</w:t>
      </w:r>
    </w:p>
    <w:p w:rsidR="00D803DB" w:rsidRDefault="001E2C4D" w:rsidP="00D803DB">
      <w:r>
        <w:rPr>
          <w:noProof/>
          <w:lang w:val="es-ES" w:eastAsia="es-ES"/>
        </w:rPr>
        <w:drawing>
          <wp:inline distT="0" distB="0" distL="0" distR="0">
            <wp:extent cx="5400040" cy="1591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9A" w:rsidRDefault="00D803DB" w:rsidP="00D803DB">
      <w:r>
        <w:t>Hitos:</w:t>
      </w:r>
      <w:r w:rsidR="001E2C4D" w:rsidRPr="001E2C4D">
        <w:rPr>
          <w:noProof/>
          <w:lang w:val="es-ES" w:eastAsia="es-ES"/>
        </w:rPr>
        <w:t xml:space="preserve"> </w:t>
      </w:r>
      <w:r w:rsidR="001E2C4D">
        <w:rPr>
          <w:noProof/>
          <w:lang w:val="es-ES" w:eastAsia="es-ES"/>
        </w:rPr>
        <w:drawing>
          <wp:inline distT="0" distB="0" distL="0" distR="0" wp14:anchorId="5D81C6E4" wp14:editId="56B7F9DC">
            <wp:extent cx="5400040" cy="120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esto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9A" w:rsidRDefault="0083219A">
      <w:r>
        <w:br w:type="page"/>
      </w:r>
    </w:p>
    <w:p w:rsidR="0083219A" w:rsidRDefault="0083219A" w:rsidP="00D803DB">
      <w:pPr>
        <w:rPr>
          <w:b/>
          <w:u w:val="single"/>
        </w:rPr>
      </w:pPr>
      <w:r w:rsidRPr="0083219A">
        <w:rPr>
          <w:b/>
          <w:u w:val="single"/>
        </w:rPr>
        <w:lastRenderedPageBreak/>
        <w:t>Descarga de QR leídos</w:t>
      </w:r>
    </w:p>
    <w:p w:rsidR="003D3099" w:rsidRDefault="003D3099">
      <w:r>
        <w:t>Como requisito primero, es necesario estar conectado a la red donde se tiene el servidor, ya que este proceso es vía red local.</w:t>
      </w:r>
    </w:p>
    <w:p w:rsidR="003D3099" w:rsidRDefault="003D3099">
      <w:r>
        <w:t xml:space="preserve">Para lo de la descarga de QR lo que se hizo fue tomar el archivo del historial programado anteriormente y enviarlo desde la aplicación de </w:t>
      </w:r>
      <w:proofErr w:type="spellStart"/>
      <w:r>
        <w:t>android</w:t>
      </w:r>
      <w:proofErr w:type="spellEnd"/>
      <w:r>
        <w:t>, de forma tal que si en el proceso de envió al servidor se llegara a cortar en medio de la operación la transacción será cortada y deberá reiniciarse el proceso en su totalidad, de esta forma no se estaría perdiendo información ante posibles fallas.</w:t>
      </w:r>
    </w:p>
    <w:p w:rsidR="003D3099" w:rsidRDefault="003D3099">
      <w:r>
        <w:t>Además del lado del servidor se tuvo que armar un script en PHP que reciba tal información por parte del historial y pueda operar como mediador en la base de datos.</w:t>
      </w:r>
    </w:p>
    <w:p w:rsidR="003D3099" w:rsidRDefault="003D3099">
      <w:r>
        <w:t xml:space="preserve">En caso de que la bobina existiera simplemente lo que se hace es cambiar de estado, es decir la bobina pasa estar de su estado original </w:t>
      </w:r>
      <w:proofErr w:type="spellStart"/>
      <w:r>
        <w:t>Baradero</w:t>
      </w:r>
      <w:proofErr w:type="spellEnd"/>
      <w:r>
        <w:t xml:space="preserve"> al estado del cliente destino dispuesto.</w:t>
      </w:r>
    </w:p>
    <w:p w:rsidR="003D3099" w:rsidRDefault="003D3099">
      <w:r>
        <w:t>En el caso de que la bobina no exista en la base de datos, la bobina se da de alta como si lo hiciera un operador.</w:t>
      </w:r>
    </w:p>
    <w:p w:rsidR="0083219A" w:rsidRDefault="008321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3219A" w:rsidRDefault="0083219A" w:rsidP="00D803DB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Filtros administrador</w:t>
      </w:r>
      <w:proofErr w:type="gramEnd"/>
    </w:p>
    <w:p w:rsidR="00013D78" w:rsidRPr="00013D78" w:rsidRDefault="00013D78" w:rsidP="00D803DB">
      <w:r>
        <w:t>En la siguiente imagen podremos observar cuales son las posibles combinaciones de filtros que pueden aplicarse:</w:t>
      </w:r>
    </w:p>
    <w:p w:rsidR="00D933A9" w:rsidRDefault="00791394">
      <w:pPr>
        <w:rPr>
          <w:b/>
          <w:u w:val="single"/>
        </w:rPr>
      </w:pPr>
      <w:r w:rsidRPr="001A6823">
        <w:rPr>
          <w:noProof/>
          <w:lang w:val="es-ES" w:eastAsia="es-ES"/>
        </w:rPr>
        <w:drawing>
          <wp:inline distT="0" distB="0" distL="0" distR="0">
            <wp:extent cx="5400040" cy="3458210"/>
            <wp:effectExtent l="19050" t="0" r="0" b="0"/>
            <wp:docPr id="2" name="1 Imagen" descr="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o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C4" w:rsidRDefault="004768C4">
      <w:r>
        <w:t>Principalmente uno debe elegir si filtrar por “Fecha de Escaneo” o por “Fecha de Fabricación”.</w:t>
      </w:r>
    </w:p>
    <w:p w:rsidR="004768C4" w:rsidRDefault="004768C4">
      <w:r>
        <w:t>Después se puede elegir fecha de un día en específico, un rango de fechas o por número de bobina.</w:t>
      </w:r>
    </w:p>
    <w:p w:rsidR="004768C4" w:rsidRDefault="004768C4">
      <w:r>
        <w:t>Una vez elegido esto, se pueden hacer múltiples combinaciones con los filtros que aparecen más abajo por “Estado”, “Maquinista”, “Tipo de papel” y “Cliente”.</w:t>
      </w:r>
    </w:p>
    <w:p w:rsidR="004768C4" w:rsidRDefault="004768C4">
      <w:pPr>
        <w:rPr>
          <w:b/>
          <w:u w:val="single"/>
        </w:rPr>
      </w:pPr>
      <w:r>
        <w:t>La última opción que puede aplicarse es modificar el porcentaje del remito, es decir</w:t>
      </w:r>
      <w:r w:rsidR="0083219A">
        <w:rPr>
          <w:b/>
          <w:u w:val="single"/>
        </w:rPr>
        <w:br w:type="page"/>
      </w:r>
    </w:p>
    <w:p w:rsidR="00D803DB" w:rsidRPr="0083219A" w:rsidRDefault="006561CF" w:rsidP="00D803DB">
      <w:pPr>
        <w:rPr>
          <w:b/>
          <w:u w:val="single"/>
        </w:rPr>
      </w:pPr>
      <w:r>
        <w:rPr>
          <w:b/>
          <w:u w:val="single"/>
        </w:rPr>
        <w:lastRenderedPageBreak/>
        <w:t>Instalación</w:t>
      </w:r>
      <w:r w:rsidR="0083219A">
        <w:rPr>
          <w:b/>
          <w:u w:val="single"/>
        </w:rPr>
        <w:t xml:space="preserve"> del producto</w:t>
      </w:r>
    </w:p>
    <w:p w:rsidR="00D803DB" w:rsidRDefault="00791394">
      <w:r>
        <w:t xml:space="preserve">El instalador del producto se realizo con una herramienta que nos provee </w:t>
      </w:r>
      <w:r w:rsidR="00D933A9">
        <w:t>V</w:t>
      </w:r>
      <w:r>
        <w:t xml:space="preserve">isual </w:t>
      </w:r>
      <w:r w:rsidR="00D933A9">
        <w:t>S</w:t>
      </w:r>
      <w:r>
        <w:t xml:space="preserve">tudio llamada </w:t>
      </w:r>
      <w:proofErr w:type="spellStart"/>
      <w:r>
        <w:t>ClickOnce</w:t>
      </w:r>
      <w:proofErr w:type="spellEnd"/>
      <w:r>
        <w:t>.</w:t>
      </w:r>
    </w:p>
    <w:p w:rsidR="00791394" w:rsidRDefault="00A455B1">
      <w:r>
        <w:t>Para comenzar la instalación del programa, simplemente deberemos ejecutar el archivo ‘setup.exe’ que se encuentra en la carpeta de los archivos de instalación.</w:t>
      </w:r>
    </w:p>
    <w:p w:rsidR="00A455B1" w:rsidRDefault="00A455B1">
      <w:r>
        <w:t>Una vez ejecutado el archivo nos aparecerá la siguiente imagen:</w:t>
      </w:r>
    </w:p>
    <w:p w:rsidR="00791394" w:rsidRDefault="00791394">
      <w:r>
        <w:rPr>
          <w:noProof/>
          <w:lang w:val="es-ES" w:eastAsia="es-ES"/>
        </w:rPr>
        <w:drawing>
          <wp:inline distT="0" distB="0" distL="0" distR="0">
            <wp:extent cx="4915586" cy="3077005"/>
            <wp:effectExtent l="19050" t="0" r="0" b="0"/>
            <wp:docPr id="1" name="0 Imagen" descr="Instal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d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B1" w:rsidRDefault="00A455B1">
      <w:r>
        <w:t xml:space="preserve">Con solo darle </w:t>
      </w:r>
      <w:proofErr w:type="spellStart"/>
      <w:r>
        <w:t>click</w:t>
      </w:r>
      <w:proofErr w:type="spellEnd"/>
      <w:r>
        <w:t xml:space="preserve"> a instalar, rápidamente ya tendremos el sistema en nuestra computadora.</w:t>
      </w:r>
    </w:p>
    <w:p w:rsidR="00A455B1" w:rsidRDefault="00A455B1">
      <w:proofErr w:type="spellStart"/>
      <w:r>
        <w:t>Ademas</w:t>
      </w:r>
      <w:proofErr w:type="spellEnd"/>
      <w:r>
        <w:t xml:space="preserve"> corremos con una ventaja ya que posee actualizador automático, es decir esta enlazado a una dirección en donde cuando inicia la aplicación revisa si hay actualizaciones nuevas, esto es bastante útil a la hora de ampliar el sistema para futuros cambios.</w:t>
      </w:r>
    </w:p>
    <w:sectPr w:rsidR="00A455B1" w:rsidSect="00D1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3793"/>
    <w:rsid w:val="00013D78"/>
    <w:rsid w:val="000D78E9"/>
    <w:rsid w:val="001A6823"/>
    <w:rsid w:val="001E2C4D"/>
    <w:rsid w:val="003D3099"/>
    <w:rsid w:val="004768C4"/>
    <w:rsid w:val="00561678"/>
    <w:rsid w:val="005E3793"/>
    <w:rsid w:val="006561CF"/>
    <w:rsid w:val="00791394"/>
    <w:rsid w:val="0083219A"/>
    <w:rsid w:val="008523E7"/>
    <w:rsid w:val="00892EBE"/>
    <w:rsid w:val="00A455B1"/>
    <w:rsid w:val="00D15A45"/>
    <w:rsid w:val="00D803DB"/>
    <w:rsid w:val="00D933A9"/>
    <w:rsid w:val="00DD7065"/>
    <w:rsid w:val="00F0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E9"/>
    <w:rPr>
      <w:rFonts w:ascii="Calibri" w:eastAsia="Calibri" w:hAnsi="Calibri" w:cs="Times New Roman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394"/>
    <w:rPr>
      <w:rFonts w:ascii="Tahoma" w:eastAsia="Calibri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95FFFA-BB2B-4D36-8D4E-21EDF54F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408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2015-12-29T15:38:00Z</dcterms:created>
  <dcterms:modified xsi:type="dcterms:W3CDTF">2016-03-26T22:34:00Z</dcterms:modified>
</cp:coreProperties>
</file>