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7365D"/>
          <w:sz w:val="52"/>
        </w:rPr>
        <w:t>JIT Cylinder Quote System</w:t>
      </w:r>
    </w:p>
    <w:p>
      <w:pPr>
        <w:jc w:val="center"/>
      </w:pPr>
      <w:r>
        <w:rPr>
          <w:b/>
          <w:color w:val="2F5597"/>
          <w:sz w:val="32"/>
        </w:rPr>
        <w:t>HTML / Multi-User Replacement Build Specification</w:t>
      </w:r>
    </w:p>
    <w:p>
      <w:pPr>
        <w:spacing w:before="240"/>
        <w:jc w:val="center"/>
      </w:pPr>
      <w:r>
        <w:rPr>
          <w:i/>
          <w:sz w:val="24"/>
        </w:rPr>
        <w:t>Phase 2 - Architecture and Implementation Plan</w:t>
      </w:r>
    </w:p>
    <w:p>
      <w:pPr>
        <w:spacing w:before="560"/>
        <w:jc w:val="center"/>
      </w:pPr>
      <w:r>
        <w:rPr>
          <w:sz w:val="21"/>
        </w:rPr>
        <w:t>Basis: completed 10-section reverse engineering of the Quote Cylinder Excel workbook and OrderEntry/Quote Form VBA workflow.</w:t>
      </w:r>
    </w:p>
    <w:p>
      <w:pPr>
        <w:jc w:val="center"/>
      </w:pPr>
      <w:r>
        <w:rPr>
          <w:sz w:val="21"/>
        </w:rPr>
        <w:t>Goal: reproduce the proven pricing behavior while replacing shared-workbook mechanics with a reliable concurrent web application.</w:t>
      </w:r>
    </w:p>
    <w:p>
      <w:r>
        <w:br w:type="page"/>
      </w:r>
    </w:p>
    <w:p>
      <w:pPr>
        <w:pStyle w:val="Heading1"/>
      </w:pPr>
      <w:r>
        <w:t>1. Executive Design Decision</w:t>
      </w:r>
    </w:p>
    <w:p>
      <w:r>
        <w:t>The Excel workbook should be treated as the reference implementation, not as the architecture to copy. The web system should preserve its verified business rules and price tables, while replacing spreadsheet routing, scratch ranges, workbook locking, and VBA orchestration with explicit application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1656"/>
            <w:tcMar>
              <w:top w:w="80" w:type="dxa"/>
              <w:start w:w="100" w:type="dxa"/>
              <w:bottom w:w="80" w:type="dxa"/>
              <w:end w:w="100" w:type="dxa"/>
            </w:tcMar>
            <w:vAlign w:val="center"/>
            <w:shd w:fill="1F4E78"/>
          </w:tcPr>
          <w:p>
            <w:pPr>
              <w:spacing w:after="0" w:before="0"/>
            </w:pPr>
            <w:r>
              <w:rPr>
                <w:rFonts w:ascii="Aptos" w:hAnsi="Aptos"/>
                <w:b/>
                <w:color w:val="FFFFFF"/>
                <w:sz w:val="19"/>
              </w:rPr>
              <w:t>Layer</w:t>
            </w:r>
          </w:p>
        </w:tc>
        <w:tc>
          <w:tcPr>
            <w:tcW w:type="dxa" w:w="3888"/>
            <w:tcMar>
              <w:top w:w="80" w:type="dxa"/>
              <w:start w:w="100" w:type="dxa"/>
              <w:bottom w:w="80" w:type="dxa"/>
              <w:end w:w="100" w:type="dxa"/>
            </w:tcMar>
            <w:vAlign w:val="center"/>
            <w:shd w:fill="1F4E78"/>
          </w:tcPr>
          <w:p>
            <w:pPr>
              <w:spacing w:after="0" w:before="0"/>
            </w:pPr>
            <w:r>
              <w:rPr>
                <w:rFonts w:ascii="Aptos" w:hAnsi="Aptos"/>
                <w:b/>
                <w:color w:val="FFFFFF"/>
                <w:sz w:val="19"/>
              </w:rPr>
              <w:t>Recommended responsibility</w:t>
            </w:r>
          </w:p>
        </w:tc>
        <w:tc>
          <w:tcPr>
            <w:tcW w:type="dxa" w:w="4320"/>
            <w:tcMar>
              <w:top w:w="80" w:type="dxa"/>
              <w:start w:w="100" w:type="dxa"/>
              <w:bottom w:w="80" w:type="dxa"/>
              <w:end w:w="100" w:type="dxa"/>
            </w:tcMar>
            <w:vAlign w:val="center"/>
            <w:shd w:fill="1F4E78"/>
          </w:tcPr>
          <w:p>
            <w:pPr>
              <w:spacing w:after="0" w:before="0"/>
            </w:pPr>
            <w:r>
              <w:rPr>
                <w:rFonts w:ascii="Aptos" w:hAnsi="Aptos"/>
                <w:b/>
                <w:color w:val="FFFFFF"/>
                <w:sz w:val="19"/>
              </w:rPr>
              <w:t>Excel behavior replaced</w:t>
            </w:r>
          </w:p>
        </w:tc>
      </w:tr>
      <w:tr>
        <w:tc>
          <w:tcPr>
            <w:tcW w:type="dxa" w:w="1656"/>
            <w:tcMar>
              <w:top w:w="80" w:type="dxa"/>
              <w:start w:w="100" w:type="dxa"/>
              <w:bottom w:w="80" w:type="dxa"/>
              <w:end w:w="100" w:type="dxa"/>
            </w:tcMar>
            <w:vAlign w:val="center"/>
          </w:tcPr>
          <w:p>
            <w:pPr>
              <w:spacing w:after="0" w:before="0"/>
            </w:pPr>
            <w:r>
              <w:rPr>
                <w:rFonts w:ascii="Aptos" w:hAnsi="Aptos"/>
                <w:sz w:val="19"/>
              </w:rPr>
              <w:t>Browser UI</w:t>
            </w:r>
          </w:p>
        </w:tc>
        <w:tc>
          <w:tcPr>
            <w:tcW w:type="dxa" w:w="3888"/>
            <w:tcMar>
              <w:top w:w="80" w:type="dxa"/>
              <w:start w:w="100" w:type="dxa"/>
              <w:bottom w:w="80" w:type="dxa"/>
              <w:end w:w="100" w:type="dxa"/>
            </w:tcMar>
            <w:vAlign w:val="center"/>
          </w:tcPr>
          <w:p>
            <w:pPr>
              <w:spacing w:after="0" w:before="0"/>
            </w:pPr>
            <w:r>
              <w:rPr>
                <w:rFonts w:ascii="Aptos" w:hAnsi="Aptos"/>
                <w:sz w:val="19"/>
              </w:rPr>
              <w:t>Collect quote/customer selections, show live results, allow save/print actions.</w:t>
            </w:r>
          </w:p>
        </w:tc>
        <w:tc>
          <w:tcPr>
            <w:tcW w:type="dxa" w:w="4320"/>
            <w:tcMar>
              <w:top w:w="80" w:type="dxa"/>
              <w:start w:w="100" w:type="dxa"/>
              <w:bottom w:w="80" w:type="dxa"/>
              <w:end w:w="100" w:type="dxa"/>
            </w:tcMar>
            <w:vAlign w:val="center"/>
          </w:tcPr>
          <w:p>
            <w:pPr>
              <w:spacing w:after="0" w:before="0"/>
            </w:pPr>
            <w:r>
              <w:rPr>
                <w:rFonts w:ascii="Aptos" w:hAnsi="Aptos"/>
                <w:sz w:val="19"/>
              </w:rPr>
              <w:t>OrderEntry UserForm and customer-facing portion of Quote Form</w:t>
            </w:r>
          </w:p>
        </w:tc>
      </w:tr>
      <w:tr>
        <w:tc>
          <w:tcPr>
            <w:tcW w:type="dxa" w:w="1656"/>
            <w:tcMar>
              <w:top w:w="80" w:type="dxa"/>
              <w:start w:w="100" w:type="dxa"/>
              <w:bottom w:w="80" w:type="dxa"/>
              <w:end w:w="100" w:type="dxa"/>
            </w:tcMar>
            <w:vAlign w:val="center"/>
          </w:tcPr>
          <w:p>
            <w:pPr>
              <w:spacing w:after="0" w:before="0"/>
            </w:pPr>
            <w:r>
              <w:rPr>
                <w:rFonts w:ascii="Aptos" w:hAnsi="Aptos"/>
                <w:sz w:val="19"/>
              </w:rPr>
              <w:t>Server-side calculation engine</w:t>
            </w:r>
          </w:p>
        </w:tc>
        <w:tc>
          <w:tcPr>
            <w:tcW w:type="dxa" w:w="3888"/>
            <w:tcMar>
              <w:top w:w="80" w:type="dxa"/>
              <w:start w:w="100" w:type="dxa"/>
              <w:bottom w:w="80" w:type="dxa"/>
              <w:end w:w="100" w:type="dxa"/>
            </w:tcMar>
            <w:vAlign w:val="center"/>
          </w:tcPr>
          <w:p>
            <w:pPr>
              <w:spacing w:after="0" w:before="0"/>
            </w:pPr>
            <w:r>
              <w:rPr>
                <w:rFonts w:ascii="Aptos" w:hAnsi="Aptos"/>
                <w:sz w:val="19"/>
              </w:rPr>
              <w:t>Normalize inputs, route series, calculate model, base price, stroke/cushion, options, DRE, discounts, list/net/expedited/emergency, engineering outputs.</w:t>
            </w:r>
          </w:p>
        </w:tc>
        <w:tc>
          <w:tcPr>
            <w:tcW w:type="dxa" w:w="4320"/>
            <w:tcMar>
              <w:top w:w="80" w:type="dxa"/>
              <w:start w:w="100" w:type="dxa"/>
              <w:bottom w:w="80" w:type="dxa"/>
              <w:end w:w="100" w:type="dxa"/>
            </w:tcMar>
            <w:vAlign w:val="center"/>
          </w:tcPr>
          <w:p>
            <w:pPr>
              <w:spacing w:after="0" w:before="0"/>
            </w:pPr>
            <w:r>
              <w:rPr>
                <w:rFonts w:ascii="Aptos" w:hAnsi="Aptos"/>
                <w:sz w:val="19"/>
              </w:rPr>
              <w:t>Data + H/A/MH/IH/IMH/VA/PH/H2... formulas</w:t>
            </w:r>
          </w:p>
        </w:tc>
      </w:tr>
      <w:tr>
        <w:tc>
          <w:tcPr>
            <w:tcW w:type="dxa" w:w="1656"/>
            <w:tcMar>
              <w:top w:w="80" w:type="dxa"/>
              <w:start w:w="100" w:type="dxa"/>
              <w:bottom w:w="80" w:type="dxa"/>
              <w:end w:w="100" w:type="dxa"/>
            </w:tcMar>
            <w:vAlign w:val="center"/>
          </w:tcPr>
          <w:p>
            <w:pPr>
              <w:spacing w:after="0" w:before="0"/>
            </w:pPr>
            <w:r>
              <w:rPr>
                <w:rFonts w:ascii="Aptos" w:hAnsi="Aptos"/>
                <w:sz w:val="19"/>
              </w:rPr>
              <w:t>Database</w:t>
            </w:r>
          </w:p>
        </w:tc>
        <w:tc>
          <w:tcPr>
            <w:tcW w:type="dxa" w:w="3888"/>
            <w:tcMar>
              <w:top w:w="80" w:type="dxa"/>
              <w:start w:w="100" w:type="dxa"/>
              <w:bottom w:w="80" w:type="dxa"/>
              <w:end w:w="100" w:type="dxa"/>
            </w:tcMar>
            <w:vAlign w:val="center"/>
          </w:tcPr>
          <w:p>
            <w:pPr>
              <w:spacing w:after="0" w:before="0"/>
            </w:pPr>
            <w:r>
              <w:rPr>
                <w:rFonts w:ascii="Aptos" w:hAnsi="Aptos"/>
                <w:sz w:val="19"/>
              </w:rPr>
              <w:t>Store customers, price tables, option tables, quote headers/lines, quote snapshots, users, and pricing versions.</w:t>
            </w:r>
          </w:p>
        </w:tc>
        <w:tc>
          <w:tcPr>
            <w:tcW w:type="dxa" w:w="4320"/>
            <w:tcMar>
              <w:top w:w="80" w:type="dxa"/>
              <w:start w:w="100" w:type="dxa"/>
              <w:bottom w:w="80" w:type="dxa"/>
              <w:end w:w="100" w:type="dxa"/>
            </w:tcMar>
            <w:vAlign w:val="center"/>
          </w:tcPr>
          <w:p>
            <w:pPr>
              <w:spacing w:after="0" w:before="0"/>
            </w:pPr>
            <w:r>
              <w:rPr>
                <w:rFonts w:ascii="Aptos" w:hAnsi="Aptos"/>
                <w:sz w:val="19"/>
              </w:rPr>
              <w:t>Customer sheet, ShipVia lookup grids, Quote History.xlsx, scattered hardcoded tables</w:t>
            </w:r>
          </w:p>
        </w:tc>
      </w:tr>
      <w:tr>
        <w:tc>
          <w:tcPr>
            <w:tcW w:type="dxa" w:w="1656"/>
            <w:tcMar>
              <w:top w:w="80" w:type="dxa"/>
              <w:start w:w="100" w:type="dxa"/>
              <w:bottom w:w="80" w:type="dxa"/>
              <w:end w:w="100" w:type="dxa"/>
            </w:tcMar>
            <w:vAlign w:val="center"/>
          </w:tcPr>
          <w:p>
            <w:pPr>
              <w:spacing w:after="0" w:before="0"/>
            </w:pPr>
            <w:r>
              <w:rPr>
                <w:rFonts w:ascii="Aptos" w:hAnsi="Aptos"/>
                <w:sz w:val="19"/>
              </w:rPr>
              <w:t>Quote renderer</w:t>
            </w:r>
          </w:p>
        </w:tc>
        <w:tc>
          <w:tcPr>
            <w:tcW w:type="dxa" w:w="3888"/>
            <w:tcMar>
              <w:top w:w="80" w:type="dxa"/>
              <w:start w:w="100" w:type="dxa"/>
              <w:bottom w:w="80" w:type="dxa"/>
              <w:end w:w="100" w:type="dxa"/>
            </w:tcMar>
            <w:vAlign w:val="center"/>
          </w:tcPr>
          <w:p>
            <w:pPr>
              <w:spacing w:after="0" w:before="0"/>
            </w:pPr>
            <w:r>
              <w:rPr>
                <w:rFonts w:ascii="Aptos" w:hAnsi="Aptos"/>
                <w:sz w:val="19"/>
              </w:rPr>
              <w:t>Generate customer-view HTML and PDF from a saved quote snapshot.</w:t>
            </w:r>
          </w:p>
        </w:tc>
        <w:tc>
          <w:tcPr>
            <w:tcW w:type="dxa" w:w="4320"/>
            <w:tcMar>
              <w:top w:w="80" w:type="dxa"/>
              <w:start w:w="100" w:type="dxa"/>
              <w:bottom w:w="80" w:type="dxa"/>
              <w:end w:w="100" w:type="dxa"/>
            </w:tcMar>
            <w:vAlign w:val="center"/>
          </w:tcPr>
          <w:p>
            <w:pPr>
              <w:spacing w:after="0" w:before="0"/>
            </w:pPr>
            <w:r>
              <w:rPr>
                <w:rFonts w:ascii="Aptos" w:hAnsi="Aptos"/>
                <w:sz w:val="19"/>
              </w:rPr>
              <w:t>Quote Form A1:G43 + PDF export VBA</w:t>
            </w:r>
          </w:p>
        </w:tc>
      </w:tr>
      <w:tr>
        <w:tc>
          <w:tcPr>
            <w:tcW w:type="dxa" w:w="1656"/>
            <w:tcMar>
              <w:top w:w="80" w:type="dxa"/>
              <w:start w:w="100" w:type="dxa"/>
              <w:bottom w:w="80" w:type="dxa"/>
              <w:end w:w="100" w:type="dxa"/>
            </w:tcMar>
            <w:vAlign w:val="center"/>
          </w:tcPr>
          <w:p>
            <w:pPr>
              <w:spacing w:after="0" w:before="0"/>
            </w:pPr>
            <w:r>
              <w:rPr>
                <w:rFonts w:ascii="Aptos" w:hAnsi="Aptos"/>
                <w:sz w:val="19"/>
              </w:rPr>
              <w:t>Admin/pricing tools</w:t>
            </w:r>
          </w:p>
        </w:tc>
        <w:tc>
          <w:tcPr>
            <w:tcW w:type="dxa" w:w="3888"/>
            <w:tcMar>
              <w:top w:w="80" w:type="dxa"/>
              <w:start w:w="100" w:type="dxa"/>
              <w:bottom w:w="80" w:type="dxa"/>
              <w:end w:w="100" w:type="dxa"/>
            </w:tcMar>
            <w:vAlign w:val="center"/>
          </w:tcPr>
          <w:p>
            <w:pPr>
              <w:spacing w:after="0" w:before="0"/>
            </w:pPr>
            <w:r>
              <w:rPr>
                <w:rFonts w:ascii="Aptos" w:hAnsi="Aptos"/>
                <w:sz w:val="19"/>
              </w:rPr>
              <w:t>Controlled price-table updates and versioning.</w:t>
            </w:r>
          </w:p>
        </w:tc>
        <w:tc>
          <w:tcPr>
            <w:tcW w:type="dxa" w:w="4320"/>
            <w:tcMar>
              <w:top w:w="80" w:type="dxa"/>
              <w:start w:w="100" w:type="dxa"/>
              <w:bottom w:w="80" w:type="dxa"/>
              <w:end w:w="100" w:type="dxa"/>
            </w:tcMar>
            <w:vAlign w:val="center"/>
          </w:tcPr>
          <w:p>
            <w:pPr>
              <w:spacing w:after="0" w:before="0"/>
            </w:pPr>
            <w:r>
              <w:rPr>
                <w:rFonts w:ascii="Aptos" w:hAnsi="Aptos"/>
                <w:sz w:val="19"/>
              </w:rPr>
              <w:t>Manual workbook table edits</w:t>
            </w:r>
          </w:p>
        </w:tc>
      </w:tr>
    </w:tbl>
    <w:p>
      <w:pPr>
        <w:spacing w:after="40"/>
      </w:pPr>
    </w:p>
    <w:p>
      <w:pPr>
        <w:pStyle w:val="Heading1"/>
      </w:pPr>
      <w:r>
        <w:t>2. Recommended Technology Stack</w:t>
      </w:r>
    </w:p>
    <w:p>
      <w:r>
        <w:t>Recommended first production architecture for JIT: a single internal web application hosted on one server/PC, accessed by users through a browser. This gives simultaneous quoting without requiring every user to open a shared file.</w:t>
      </w:r>
    </w:p>
    <w:tbl>
      <w:tblPr>
        <w:tblStyle w:val="TableGrid"/>
        <w:tblW w:type="auto" w:w="0"/>
        <w:jc w:val="center"/>
        <w:tblLook w:firstColumn="1" w:firstRow="1" w:lastColumn="0" w:lastRow="0" w:noHBand="0" w:noVBand="1" w:val="04A0"/>
      </w:tblPr>
      <w:tblGrid>
        <w:gridCol w:w="3389"/>
        <w:gridCol w:w="3389"/>
        <w:gridCol w:w="3389"/>
      </w:tblGrid>
      <w:tr>
        <w:tc>
          <w:tcPr>
            <w:tcW w:type="dxa" w:w="1800"/>
            <w:tcMar>
              <w:top w:w="80" w:type="dxa"/>
              <w:start w:w="100" w:type="dxa"/>
              <w:bottom w:w="80" w:type="dxa"/>
              <w:end w:w="100" w:type="dxa"/>
            </w:tcMar>
            <w:vAlign w:val="center"/>
            <w:shd w:fill="1F4E78"/>
          </w:tcPr>
          <w:p>
            <w:pPr>
              <w:spacing w:after="0" w:before="0"/>
            </w:pPr>
            <w:r>
              <w:rPr>
                <w:rFonts w:ascii="Aptos" w:hAnsi="Aptos"/>
                <w:b/>
                <w:color w:val="FFFFFF"/>
                <w:sz w:val="19"/>
              </w:rPr>
              <w:t>Component</w:t>
            </w:r>
          </w:p>
        </w:tc>
        <w:tc>
          <w:tcPr>
            <w:tcW w:type="dxa" w:w="3312"/>
            <w:tcMar>
              <w:top w:w="80" w:type="dxa"/>
              <w:start w:w="100" w:type="dxa"/>
              <w:bottom w:w="80" w:type="dxa"/>
              <w:end w:w="100" w:type="dxa"/>
            </w:tcMar>
            <w:vAlign w:val="center"/>
            <w:shd w:fill="1F4E78"/>
          </w:tcPr>
          <w:p>
            <w:pPr>
              <w:spacing w:after="0" w:before="0"/>
            </w:pPr>
            <w:r>
              <w:rPr>
                <w:rFonts w:ascii="Aptos" w:hAnsi="Aptos"/>
                <w:b/>
                <w:color w:val="FFFFFF"/>
                <w:sz w:val="19"/>
              </w:rPr>
              <w:t>Recommendation</w:t>
            </w:r>
          </w:p>
        </w:tc>
        <w:tc>
          <w:tcPr>
            <w:tcW w:type="dxa" w:w="4752"/>
            <w:tcMar>
              <w:top w:w="80" w:type="dxa"/>
              <w:start w:w="100" w:type="dxa"/>
              <w:bottom w:w="80" w:type="dxa"/>
              <w:end w:w="100" w:type="dxa"/>
            </w:tcMar>
            <w:vAlign w:val="center"/>
            <w:shd w:fill="1F4E78"/>
          </w:tcPr>
          <w:p>
            <w:pPr>
              <w:spacing w:after="0" w:before="0"/>
            </w:pPr>
            <w:r>
              <w:rPr>
                <w:rFonts w:ascii="Aptos" w:hAnsi="Aptos"/>
                <w:b/>
                <w:color w:val="FFFFFF"/>
                <w:sz w:val="19"/>
              </w:rPr>
              <w:t>Reason</w:t>
            </w:r>
          </w:p>
        </w:tc>
      </w:tr>
      <w:tr>
        <w:tc>
          <w:tcPr>
            <w:tcW w:type="dxa" w:w="1800"/>
            <w:tcMar>
              <w:top w:w="80" w:type="dxa"/>
              <w:start w:w="100" w:type="dxa"/>
              <w:bottom w:w="80" w:type="dxa"/>
              <w:end w:w="100" w:type="dxa"/>
            </w:tcMar>
            <w:vAlign w:val="center"/>
          </w:tcPr>
          <w:p>
            <w:pPr>
              <w:spacing w:after="0" w:before="0"/>
            </w:pPr>
            <w:r>
              <w:rPr>
                <w:rFonts w:ascii="Aptos" w:hAnsi="Aptos"/>
                <w:sz w:val="19"/>
              </w:rPr>
              <w:t>Backend</w:t>
            </w:r>
          </w:p>
        </w:tc>
        <w:tc>
          <w:tcPr>
            <w:tcW w:type="dxa" w:w="3312"/>
            <w:tcMar>
              <w:top w:w="80" w:type="dxa"/>
              <w:start w:w="100" w:type="dxa"/>
              <w:bottom w:w="80" w:type="dxa"/>
              <w:end w:w="100" w:type="dxa"/>
            </w:tcMar>
            <w:vAlign w:val="center"/>
          </w:tcPr>
          <w:p>
            <w:pPr>
              <w:spacing w:after="0" w:before="0"/>
            </w:pPr>
            <w:r>
              <w:rPr>
                <w:rFonts w:ascii="Aptos" w:hAnsi="Aptos"/>
                <w:sz w:val="19"/>
              </w:rPr>
              <w:t>Python + Flask</w:t>
            </w:r>
          </w:p>
        </w:tc>
        <w:tc>
          <w:tcPr>
            <w:tcW w:type="dxa" w:w="4752"/>
            <w:tcMar>
              <w:top w:w="80" w:type="dxa"/>
              <w:start w:w="100" w:type="dxa"/>
              <w:bottom w:w="80" w:type="dxa"/>
              <w:end w:w="100" w:type="dxa"/>
            </w:tcMar>
            <w:vAlign w:val="center"/>
          </w:tcPr>
          <w:p>
            <w:pPr>
              <w:spacing w:after="0" w:before="0"/>
            </w:pPr>
            <w:r>
              <w:rPr>
                <w:rFonts w:ascii="Aptos" w:hAnsi="Aptos"/>
                <w:sz w:val="19"/>
              </w:rPr>
              <w:t>Fits the existing Python skill set and is well suited to a rule-driven internal business application.</w:t>
            </w:r>
          </w:p>
        </w:tc>
      </w:tr>
      <w:tr>
        <w:tc>
          <w:tcPr>
            <w:tcW w:type="dxa" w:w="1800"/>
            <w:tcMar>
              <w:top w:w="80" w:type="dxa"/>
              <w:start w:w="100" w:type="dxa"/>
              <w:bottom w:w="80" w:type="dxa"/>
              <w:end w:w="100" w:type="dxa"/>
            </w:tcMar>
            <w:vAlign w:val="center"/>
          </w:tcPr>
          <w:p>
            <w:pPr>
              <w:spacing w:after="0" w:before="0"/>
            </w:pPr>
            <w:r>
              <w:rPr>
                <w:rFonts w:ascii="Aptos" w:hAnsi="Aptos"/>
                <w:sz w:val="19"/>
              </w:rPr>
              <w:t>Frontend</w:t>
            </w:r>
          </w:p>
        </w:tc>
        <w:tc>
          <w:tcPr>
            <w:tcW w:type="dxa" w:w="3312"/>
            <w:tcMar>
              <w:top w:w="80" w:type="dxa"/>
              <w:start w:w="100" w:type="dxa"/>
              <w:bottom w:w="80" w:type="dxa"/>
              <w:end w:w="100" w:type="dxa"/>
            </w:tcMar>
            <w:vAlign w:val="center"/>
          </w:tcPr>
          <w:p>
            <w:pPr>
              <w:spacing w:after="0" w:before="0"/>
            </w:pPr>
            <w:r>
              <w:rPr>
                <w:rFonts w:ascii="Aptos" w:hAnsi="Aptos"/>
                <w:sz w:val="19"/>
              </w:rPr>
              <w:t>Server-rendered HTML + CSS + small JavaScript modules</w:t>
            </w:r>
          </w:p>
        </w:tc>
        <w:tc>
          <w:tcPr>
            <w:tcW w:type="dxa" w:w="4752"/>
            <w:tcMar>
              <w:top w:w="80" w:type="dxa"/>
              <w:start w:w="100" w:type="dxa"/>
              <w:bottom w:w="80" w:type="dxa"/>
              <w:end w:w="100" w:type="dxa"/>
            </w:tcMar>
            <w:vAlign w:val="center"/>
          </w:tcPr>
          <w:p>
            <w:pPr>
              <w:spacing w:after="0" w:before="0"/>
            </w:pPr>
            <w:r>
              <w:rPr>
                <w:rFonts w:ascii="Aptos" w:hAnsi="Aptos"/>
                <w:sz w:val="19"/>
              </w:rPr>
              <w:t>Keeps the first build straightforward while still supporting responsive forms and live recalculation.</w:t>
            </w:r>
          </w:p>
        </w:tc>
      </w:tr>
      <w:tr>
        <w:tc>
          <w:tcPr>
            <w:tcW w:type="dxa" w:w="1800"/>
            <w:tcMar>
              <w:top w:w="80" w:type="dxa"/>
              <w:start w:w="100" w:type="dxa"/>
              <w:bottom w:w="80" w:type="dxa"/>
              <w:end w:w="100" w:type="dxa"/>
            </w:tcMar>
            <w:vAlign w:val="center"/>
          </w:tcPr>
          <w:p>
            <w:pPr>
              <w:spacing w:after="0" w:before="0"/>
            </w:pPr>
            <w:r>
              <w:rPr>
                <w:rFonts w:ascii="Aptos" w:hAnsi="Aptos"/>
                <w:sz w:val="19"/>
              </w:rPr>
              <w:t>Database</w:t>
            </w:r>
          </w:p>
        </w:tc>
        <w:tc>
          <w:tcPr>
            <w:tcW w:type="dxa" w:w="3312"/>
            <w:tcMar>
              <w:top w:w="80" w:type="dxa"/>
              <w:start w:w="100" w:type="dxa"/>
              <w:bottom w:w="80" w:type="dxa"/>
              <w:end w:w="100" w:type="dxa"/>
            </w:tcMar>
            <w:vAlign w:val="center"/>
          </w:tcPr>
          <w:p>
            <w:pPr>
              <w:spacing w:after="0" w:before="0"/>
            </w:pPr>
            <w:r>
              <w:rPr>
                <w:rFonts w:ascii="Aptos" w:hAnsi="Aptos"/>
                <w:sz w:val="19"/>
              </w:rPr>
              <w:t>SQLite in WAL mode for the first controlled deployment; PostgreSQL-ready schema</w:t>
            </w:r>
          </w:p>
        </w:tc>
        <w:tc>
          <w:tcPr>
            <w:tcW w:type="dxa" w:w="4752"/>
            <w:tcMar>
              <w:top w:w="80" w:type="dxa"/>
              <w:start w:w="100" w:type="dxa"/>
              <w:bottom w:w="80" w:type="dxa"/>
              <w:end w:w="100" w:type="dxa"/>
            </w:tcMar>
            <w:vAlign w:val="center"/>
          </w:tcPr>
          <w:p>
            <w:pPr>
              <w:spacing w:after="0" w:before="0"/>
            </w:pPr>
            <w:r>
              <w:rPr>
                <w:rFonts w:ascii="Aptos" w:hAnsi="Aptos"/>
                <w:sz w:val="19"/>
              </w:rPr>
              <w:t>A small quoting team can run safely from one application server. If usage or write concurrency grows, PostgreSQL can replace SQLite without redesigning the calculator.</w:t>
            </w:r>
          </w:p>
        </w:tc>
      </w:tr>
      <w:tr>
        <w:tc>
          <w:tcPr>
            <w:tcW w:type="dxa" w:w="1800"/>
            <w:tcMar>
              <w:top w:w="80" w:type="dxa"/>
              <w:start w:w="100" w:type="dxa"/>
              <w:bottom w:w="80" w:type="dxa"/>
              <w:end w:w="100" w:type="dxa"/>
            </w:tcMar>
            <w:vAlign w:val="center"/>
          </w:tcPr>
          <w:p>
            <w:pPr>
              <w:spacing w:after="0" w:before="0"/>
            </w:pPr>
            <w:r>
              <w:rPr>
                <w:rFonts w:ascii="Aptos" w:hAnsi="Aptos"/>
                <w:sz w:val="19"/>
              </w:rPr>
              <w:t>PDF</w:t>
            </w:r>
          </w:p>
        </w:tc>
        <w:tc>
          <w:tcPr>
            <w:tcW w:type="dxa" w:w="3312"/>
            <w:tcMar>
              <w:top w:w="80" w:type="dxa"/>
              <w:start w:w="100" w:type="dxa"/>
              <w:bottom w:w="80" w:type="dxa"/>
              <w:end w:w="100" w:type="dxa"/>
            </w:tcMar>
            <w:vAlign w:val="center"/>
          </w:tcPr>
          <w:p>
            <w:pPr>
              <w:spacing w:after="0" w:before="0"/>
            </w:pPr>
            <w:r>
              <w:rPr>
                <w:rFonts w:ascii="Aptos" w:hAnsi="Aptos"/>
                <w:sz w:val="19"/>
              </w:rPr>
              <w:t>HTML-to-PDF renderer from the saved quote snapshot</w:t>
            </w:r>
          </w:p>
        </w:tc>
        <w:tc>
          <w:tcPr>
            <w:tcW w:type="dxa" w:w="4752"/>
            <w:tcMar>
              <w:top w:w="80" w:type="dxa"/>
              <w:start w:w="100" w:type="dxa"/>
              <w:bottom w:w="80" w:type="dxa"/>
              <w:end w:w="100" w:type="dxa"/>
            </w:tcMar>
            <w:vAlign w:val="center"/>
          </w:tcPr>
          <w:p>
            <w:pPr>
              <w:spacing w:after="0" w:before="0"/>
            </w:pPr>
            <w:r>
              <w:rPr>
                <w:rFonts w:ascii="Aptos" w:hAnsi="Aptos"/>
                <w:sz w:val="19"/>
              </w:rPr>
              <w:t>Keeps screen and PDF presentation aligned and removes dependence on Excel print areas.</w:t>
            </w:r>
          </w:p>
        </w:tc>
      </w:tr>
      <w:tr>
        <w:tc>
          <w:tcPr>
            <w:tcW w:type="dxa" w:w="1800"/>
            <w:tcMar>
              <w:top w:w="80" w:type="dxa"/>
              <w:start w:w="100" w:type="dxa"/>
              <w:bottom w:w="80" w:type="dxa"/>
              <w:end w:w="100" w:type="dxa"/>
            </w:tcMar>
            <w:vAlign w:val="center"/>
          </w:tcPr>
          <w:p>
            <w:pPr>
              <w:spacing w:after="0" w:before="0"/>
            </w:pPr>
            <w:r>
              <w:rPr>
                <w:rFonts w:ascii="Aptos" w:hAnsi="Aptos"/>
                <w:sz w:val="19"/>
              </w:rPr>
              <w:t>Hosting</w:t>
            </w:r>
          </w:p>
        </w:tc>
        <w:tc>
          <w:tcPr>
            <w:tcW w:type="dxa" w:w="3312"/>
            <w:tcMar>
              <w:top w:w="80" w:type="dxa"/>
              <w:start w:w="100" w:type="dxa"/>
              <w:bottom w:w="80" w:type="dxa"/>
              <w:end w:w="100" w:type="dxa"/>
            </w:tcMar>
            <w:vAlign w:val="center"/>
          </w:tcPr>
          <w:p>
            <w:pPr>
              <w:spacing w:after="0" w:before="0"/>
            </w:pPr>
            <w:r>
              <w:rPr>
                <w:rFonts w:ascii="Aptos" w:hAnsi="Aptos"/>
                <w:sz w:val="19"/>
              </w:rPr>
              <w:t>Single always-on Windows machine or approved internal server</w:t>
            </w:r>
          </w:p>
        </w:tc>
        <w:tc>
          <w:tcPr>
            <w:tcW w:type="dxa" w:w="4752"/>
            <w:tcMar>
              <w:top w:w="80" w:type="dxa"/>
              <w:start w:w="100" w:type="dxa"/>
              <w:bottom w:w="80" w:type="dxa"/>
              <w:end w:w="100" w:type="dxa"/>
            </w:tcMar>
            <w:vAlign w:val="center"/>
          </w:tcPr>
          <w:p>
            <w:pPr>
              <w:spacing w:after="0" w:before="0"/>
            </w:pPr>
            <w:r>
              <w:rPr>
                <w:rFonts w:ascii="Aptos" w:hAnsi="Aptos"/>
                <w:sz w:val="19"/>
              </w:rPr>
              <w:t>Centralizes data and avoids workbook copies. The browser clients require no Excel/VBA installation.</w:t>
            </w:r>
          </w:p>
        </w:tc>
      </w:tr>
      <w:tr>
        <w:tc>
          <w:tcPr>
            <w:tcW w:type="dxa" w:w="1800"/>
            <w:tcMar>
              <w:top w:w="80" w:type="dxa"/>
              <w:start w:w="100" w:type="dxa"/>
              <w:bottom w:w="80" w:type="dxa"/>
              <w:end w:w="100" w:type="dxa"/>
            </w:tcMar>
            <w:vAlign w:val="center"/>
          </w:tcPr>
          <w:p>
            <w:pPr>
              <w:spacing w:after="0" w:before="0"/>
            </w:pPr>
            <w:r>
              <w:rPr>
                <w:rFonts w:ascii="Aptos" w:hAnsi="Aptos"/>
                <w:sz w:val="19"/>
              </w:rPr>
              <w:t>Authentication</w:t>
            </w:r>
          </w:p>
        </w:tc>
        <w:tc>
          <w:tcPr>
            <w:tcW w:type="dxa" w:w="3312"/>
            <w:tcMar>
              <w:top w:w="80" w:type="dxa"/>
              <w:start w:w="100" w:type="dxa"/>
              <w:bottom w:w="80" w:type="dxa"/>
              <w:end w:w="100" w:type="dxa"/>
            </w:tcMar>
            <w:vAlign w:val="center"/>
          </w:tcPr>
          <w:p>
            <w:pPr>
              <w:spacing w:after="0" w:before="0"/>
            </w:pPr>
            <w:r>
              <w:rPr>
                <w:rFonts w:ascii="Aptos" w:hAnsi="Aptos"/>
                <w:sz w:val="19"/>
              </w:rPr>
              <w:t>Named users with role flags</w:t>
            </w:r>
          </w:p>
        </w:tc>
        <w:tc>
          <w:tcPr>
            <w:tcW w:type="dxa" w:w="4752"/>
            <w:tcMar>
              <w:top w:w="80" w:type="dxa"/>
              <w:start w:w="100" w:type="dxa"/>
              <w:bottom w:w="80" w:type="dxa"/>
              <w:end w:w="100" w:type="dxa"/>
            </w:tcMar>
            <w:vAlign w:val="center"/>
          </w:tcPr>
          <w:p>
            <w:pPr>
              <w:spacing w:after="0" w:before="0"/>
            </w:pPr>
            <w:r>
              <w:rPr>
                <w:rFonts w:ascii="Aptos" w:hAnsi="Aptos"/>
                <w:sz w:val="19"/>
              </w:rPr>
              <w:t>Required for quote ownership, audit history, admin price changes, and concurrent use.</w:t>
            </w:r>
          </w:p>
        </w:tc>
      </w:tr>
    </w:tbl>
    <w:p>
      <w:pPr>
        <w:spacing w:after="40"/>
      </w:pPr>
    </w:p>
    <w:p>
      <w:pPr>
        <w:pStyle w:val="Heading1"/>
      </w:pPr>
      <w:r>
        <w:t>3. End-to-End System Flow</w:t>
      </w:r>
    </w:p>
    <w:p>
      <w:r>
        <w:t>The intended runtime path is:</w:t>
      </w:r>
    </w:p>
    <w:p>
      <w:pPr>
        <w:jc w:val="center"/>
      </w:pPr>
      <w:r>
        <w:rPr>
          <w:b/>
          <w:color w:val="17365D"/>
          <w:sz w:val="21"/>
        </w:rPr>
        <w:t>User login  -&gt;  New Quote  -&gt;  Customer  -&gt;  Cylinder selections  -&gt;  Server calculation  -&gt;  Review results  -&gt;  Save quote transaction  -&gt;  Quote number  -&gt;  PDF/customer view  -&gt;  Quote history</w:t>
      </w:r>
    </w:p>
    <w:p>
      <w:r>
        <w:t>Every open browser quote must have its own server-side quote/draft identity. No user should write into global scratch cells or shared temporary ranges. This is the central concurrency change from the workbook.</w:t>
      </w:r>
    </w:p>
    <w:p>
      <w:pPr>
        <w:pStyle w:val="Heading1"/>
      </w:pPr>
      <w:r>
        <w:t>4. Calculation Engine Modules</w:t>
      </w:r>
    </w:p>
    <w:p>
      <w:r>
        <w:t>The engine should follow the same ten-part logic recovered from Excel, but each rule should become a named, testable function rather than a chain of cell formulas.</w:t>
      </w:r>
    </w:p>
    <w:tbl>
      <w:tblPr>
        <w:tblStyle w:val="TableGrid"/>
        <w:tblW w:type="auto" w:w="0"/>
        <w:jc w:val="center"/>
        <w:tblLook w:firstColumn="1" w:firstRow="1" w:lastColumn="0" w:lastRow="0" w:noHBand="0" w:noVBand="1" w:val="04A0"/>
      </w:tblPr>
      <w:tblGrid>
        <w:gridCol w:w="3389"/>
        <w:gridCol w:w="3389"/>
        <w:gridCol w:w="3389"/>
      </w:tblGrid>
      <w:tr>
        <w:tc>
          <w:tcPr>
            <w:tcW w:type="dxa" w:w="1944"/>
            <w:tcMar>
              <w:top w:w="80" w:type="dxa"/>
              <w:start w:w="100" w:type="dxa"/>
              <w:bottom w:w="80" w:type="dxa"/>
              <w:end w:w="100" w:type="dxa"/>
            </w:tcMar>
            <w:vAlign w:val="center"/>
            <w:shd w:fill="1F4E78"/>
          </w:tcPr>
          <w:p>
            <w:pPr>
              <w:spacing w:after="0" w:before="0"/>
            </w:pPr>
            <w:r>
              <w:rPr>
                <w:rFonts w:ascii="Aptos" w:hAnsi="Aptos"/>
                <w:b/>
                <w:color w:val="FFFFFF"/>
                <w:sz w:val="19"/>
              </w:rPr>
              <w:t>Module</w:t>
            </w:r>
          </w:p>
        </w:tc>
        <w:tc>
          <w:tcPr>
            <w:tcW w:type="dxa" w:w="3384"/>
            <w:tcMar>
              <w:top w:w="80" w:type="dxa"/>
              <w:start w:w="100" w:type="dxa"/>
              <w:bottom w:w="80" w:type="dxa"/>
              <w:end w:w="100" w:type="dxa"/>
            </w:tcMar>
            <w:vAlign w:val="center"/>
            <w:shd w:fill="1F4E78"/>
          </w:tcPr>
          <w:p>
            <w:pPr>
              <w:spacing w:after="0" w:before="0"/>
            </w:pPr>
            <w:r>
              <w:rPr>
                <w:rFonts w:ascii="Aptos" w:hAnsi="Aptos"/>
                <w:b/>
                <w:color w:val="FFFFFF"/>
                <w:sz w:val="19"/>
              </w:rPr>
              <w:t>Inputs</w:t>
            </w:r>
          </w:p>
        </w:tc>
        <w:tc>
          <w:tcPr>
            <w:tcW w:type="dxa" w:w="4536"/>
            <w:tcMar>
              <w:top w:w="80" w:type="dxa"/>
              <w:start w:w="100" w:type="dxa"/>
              <w:bottom w:w="80" w:type="dxa"/>
              <w:end w:w="100" w:type="dxa"/>
            </w:tcMar>
            <w:vAlign w:val="center"/>
            <w:shd w:fill="1F4E78"/>
          </w:tcPr>
          <w:p>
            <w:pPr>
              <w:spacing w:after="0" w:before="0"/>
            </w:pPr>
            <w:r>
              <w:rPr>
                <w:rFonts w:ascii="Aptos" w:hAnsi="Aptos"/>
                <w:b/>
                <w:color w:val="FFFFFF"/>
                <w:sz w:val="19"/>
              </w:rPr>
              <w:t>Primary output / rule</w:t>
            </w:r>
          </w:p>
        </w:tc>
      </w:tr>
      <w:tr>
        <w:tc>
          <w:tcPr>
            <w:tcW w:type="dxa" w:w="1944"/>
            <w:tcMar>
              <w:top w:w="80" w:type="dxa"/>
              <w:start w:w="100" w:type="dxa"/>
              <w:bottom w:w="80" w:type="dxa"/>
              <w:end w:w="100" w:type="dxa"/>
            </w:tcMar>
            <w:vAlign w:val="center"/>
          </w:tcPr>
          <w:p>
            <w:pPr>
              <w:spacing w:after="0" w:before="0"/>
            </w:pPr>
            <w:r>
              <w:rPr>
                <w:rFonts w:ascii="Aptos" w:hAnsi="Aptos"/>
                <w:sz w:val="19"/>
              </w:rPr>
              <w:t>Input normalization</w:t>
            </w:r>
          </w:p>
        </w:tc>
        <w:tc>
          <w:tcPr>
            <w:tcW w:type="dxa" w:w="3384"/>
            <w:tcMar>
              <w:top w:w="80" w:type="dxa"/>
              <w:start w:w="100" w:type="dxa"/>
              <w:bottom w:w="80" w:type="dxa"/>
              <w:end w:w="100" w:type="dxa"/>
            </w:tcMar>
            <w:vAlign w:val="center"/>
          </w:tcPr>
          <w:p>
            <w:pPr>
              <w:spacing w:after="0" w:before="0"/>
            </w:pPr>
            <w:r>
              <w:rPr>
                <w:rFonts w:ascii="Aptos" w:hAnsi="Aptos"/>
                <w:sz w:val="19"/>
              </w:rPr>
              <w:t>Series, mount, bore, stroke, rod, style, cushion, ports, seals, DRE, discount, pressure, accessories/options</w:t>
            </w:r>
          </w:p>
        </w:tc>
        <w:tc>
          <w:tcPr>
            <w:tcW w:type="dxa" w:w="4536"/>
            <w:tcMar>
              <w:top w:w="80" w:type="dxa"/>
              <w:start w:w="100" w:type="dxa"/>
              <w:bottom w:w="80" w:type="dxa"/>
              <w:end w:w="100" w:type="dxa"/>
            </w:tcMar>
            <w:vAlign w:val="center"/>
          </w:tcPr>
          <w:p>
            <w:pPr>
              <w:spacing w:after="0" w:before="0"/>
            </w:pPr>
            <w:r>
              <w:rPr>
                <w:rFonts w:ascii="Aptos" w:hAnsi="Aptos"/>
                <w:sz w:val="19"/>
              </w:rPr>
              <w:t>Validated canonical quote input object.</w:t>
            </w:r>
          </w:p>
        </w:tc>
      </w:tr>
      <w:tr>
        <w:tc>
          <w:tcPr>
            <w:tcW w:type="dxa" w:w="1944"/>
            <w:tcMar>
              <w:top w:w="80" w:type="dxa"/>
              <w:start w:w="100" w:type="dxa"/>
              <w:bottom w:w="80" w:type="dxa"/>
              <w:end w:w="100" w:type="dxa"/>
            </w:tcMar>
            <w:vAlign w:val="center"/>
          </w:tcPr>
          <w:p>
            <w:pPr>
              <w:spacing w:after="0" w:before="0"/>
            </w:pPr>
            <w:r>
              <w:rPr>
                <w:rFonts w:ascii="Aptos" w:hAnsi="Aptos"/>
                <w:sz w:val="19"/>
              </w:rPr>
              <w:t>Model builder</w:t>
            </w:r>
          </w:p>
        </w:tc>
        <w:tc>
          <w:tcPr>
            <w:tcW w:type="dxa" w:w="3384"/>
            <w:tcMar>
              <w:top w:w="80" w:type="dxa"/>
              <w:start w:w="100" w:type="dxa"/>
              <w:bottom w:w="80" w:type="dxa"/>
              <w:end w:w="100" w:type="dxa"/>
            </w:tcMar>
            <w:vAlign w:val="center"/>
          </w:tcPr>
          <w:p>
            <w:pPr>
              <w:spacing w:after="0" w:before="0"/>
            </w:pPr>
            <w:r>
              <w:rPr>
                <w:rFonts w:ascii="Aptos" w:hAnsi="Aptos"/>
                <w:sz w:val="19"/>
              </w:rPr>
              <w:t>Normalized selections</w:t>
            </w:r>
          </w:p>
        </w:tc>
        <w:tc>
          <w:tcPr>
            <w:tcW w:type="dxa" w:w="4536"/>
            <w:tcMar>
              <w:top w:w="80" w:type="dxa"/>
              <w:start w:w="100" w:type="dxa"/>
              <w:bottom w:w="80" w:type="dxa"/>
              <w:end w:w="100" w:type="dxa"/>
            </w:tcMar>
            <w:vAlign w:val="center"/>
          </w:tcPr>
          <w:p>
            <w:pPr>
              <w:spacing w:after="0" w:before="0"/>
            </w:pPr>
            <w:r>
              <w:rPr>
                <w:rFonts w:ascii="Aptos" w:hAnsi="Aptos"/>
                <w:sz w:val="19"/>
              </w:rPr>
              <w:t>Series-Mount-Bore x Stroke x Rod-Style-Cushion-Ports-Seal-S; DRE changes mount to DRE/&lt;Mount&gt;.</w:t>
            </w:r>
          </w:p>
        </w:tc>
      </w:tr>
      <w:tr>
        <w:tc>
          <w:tcPr>
            <w:tcW w:type="dxa" w:w="1944"/>
            <w:tcMar>
              <w:top w:w="80" w:type="dxa"/>
              <w:start w:w="100" w:type="dxa"/>
              <w:bottom w:w="80" w:type="dxa"/>
              <w:end w:w="100" w:type="dxa"/>
            </w:tcMar>
            <w:vAlign w:val="center"/>
          </w:tcPr>
          <w:p>
            <w:pPr>
              <w:spacing w:after="0" w:before="0"/>
            </w:pPr>
            <w:r>
              <w:rPr>
                <w:rFonts w:ascii="Aptos" w:hAnsi="Aptos"/>
                <w:sz w:val="19"/>
              </w:rPr>
              <w:t>Series router</w:t>
            </w:r>
          </w:p>
        </w:tc>
        <w:tc>
          <w:tcPr>
            <w:tcW w:type="dxa" w:w="3384"/>
            <w:tcMar>
              <w:top w:w="80" w:type="dxa"/>
              <w:start w:w="100" w:type="dxa"/>
              <w:bottom w:w="80" w:type="dxa"/>
              <w:end w:w="100" w:type="dxa"/>
            </w:tcMar>
            <w:vAlign w:val="center"/>
          </w:tcPr>
          <w:p>
            <w:pPr>
              <w:spacing w:after="0" w:before="0"/>
            </w:pPr>
            <w:r>
              <w:rPr>
                <w:rFonts w:ascii="Aptos" w:hAnsi="Aptos"/>
                <w:sz w:val="19"/>
              </w:rPr>
              <w:t>Series</w:t>
            </w:r>
          </w:p>
        </w:tc>
        <w:tc>
          <w:tcPr>
            <w:tcW w:type="dxa" w:w="4536"/>
            <w:tcMar>
              <w:top w:w="80" w:type="dxa"/>
              <w:start w:w="100" w:type="dxa"/>
              <w:bottom w:w="80" w:type="dxa"/>
              <w:end w:w="100" w:type="dxa"/>
            </w:tcMar>
            <w:vAlign w:val="center"/>
          </w:tcPr>
          <w:p>
            <w:pPr>
              <w:spacing w:after="0" w:before="0"/>
            </w:pPr>
            <w:r>
              <w:rPr>
                <w:rFonts w:ascii="Aptos" w:hAnsi="Aptos"/>
                <w:sz w:val="19"/>
              </w:rPr>
              <w:t>H/HM/W -&gt; H; A/LH -&gt; A; MH -&gt; MH; IH/IHM -&gt; IH; IMH -&gt; IMH; VA -&gt; VA; add shared option families as applicable.</w:t>
            </w:r>
          </w:p>
        </w:tc>
      </w:tr>
      <w:tr>
        <w:tc>
          <w:tcPr>
            <w:tcW w:type="dxa" w:w="1944"/>
            <w:tcMar>
              <w:top w:w="80" w:type="dxa"/>
              <w:start w:w="100" w:type="dxa"/>
              <w:bottom w:w="80" w:type="dxa"/>
              <w:end w:w="100" w:type="dxa"/>
            </w:tcMar>
            <w:vAlign w:val="center"/>
          </w:tcPr>
          <w:p>
            <w:pPr>
              <w:spacing w:after="0" w:before="0"/>
            </w:pPr>
            <w:r>
              <w:rPr>
                <w:rFonts w:ascii="Aptos" w:hAnsi="Aptos"/>
                <w:sz w:val="19"/>
              </w:rPr>
              <w:t>Base price lookup</w:t>
            </w:r>
          </w:p>
        </w:tc>
        <w:tc>
          <w:tcPr>
            <w:tcW w:type="dxa" w:w="3384"/>
            <w:tcMar>
              <w:top w:w="80" w:type="dxa"/>
              <w:start w:w="100" w:type="dxa"/>
              <w:bottom w:w="80" w:type="dxa"/>
              <w:end w:w="100" w:type="dxa"/>
            </w:tcMar>
            <w:vAlign w:val="center"/>
          </w:tcPr>
          <w:p>
            <w:pPr>
              <w:spacing w:after="0" w:before="0"/>
            </w:pPr>
            <w:r>
              <w:rPr>
                <w:rFonts w:ascii="Aptos" w:hAnsi="Aptos"/>
                <w:sz w:val="19"/>
              </w:rPr>
              <w:t>Series family + bore + rod + mount group</w:t>
            </w:r>
          </w:p>
        </w:tc>
        <w:tc>
          <w:tcPr>
            <w:tcW w:type="dxa" w:w="4536"/>
            <w:tcMar>
              <w:top w:w="80" w:type="dxa"/>
              <w:start w:w="100" w:type="dxa"/>
              <w:bottom w:w="80" w:type="dxa"/>
              <w:end w:w="100" w:type="dxa"/>
            </w:tcMar>
            <w:vAlign w:val="center"/>
          </w:tcPr>
          <w:p>
            <w:pPr>
              <w:spacing w:after="0" w:before="0"/>
            </w:pPr>
            <w:r>
              <w:rPr>
                <w:rFonts w:ascii="Aptos" w:hAnsi="Aptos"/>
                <w:sz w:val="19"/>
              </w:rPr>
              <w:t>One base-price record replaces row-by-row Excel IF formulas.</w:t>
            </w:r>
          </w:p>
        </w:tc>
      </w:tr>
      <w:tr>
        <w:tc>
          <w:tcPr>
            <w:tcW w:type="dxa" w:w="1944"/>
            <w:tcMar>
              <w:top w:w="80" w:type="dxa"/>
              <w:start w:w="100" w:type="dxa"/>
              <w:bottom w:w="80" w:type="dxa"/>
              <w:end w:w="100" w:type="dxa"/>
            </w:tcMar>
            <w:vAlign w:val="center"/>
          </w:tcPr>
          <w:p>
            <w:pPr>
              <w:spacing w:after="0" w:before="0"/>
            </w:pPr>
            <w:r>
              <w:rPr>
                <w:rFonts w:ascii="Aptos" w:hAnsi="Aptos"/>
                <w:sz w:val="19"/>
              </w:rPr>
              <w:t>Stroke/cushion</w:t>
            </w:r>
          </w:p>
        </w:tc>
        <w:tc>
          <w:tcPr>
            <w:tcW w:type="dxa" w:w="3384"/>
            <w:tcMar>
              <w:top w:w="80" w:type="dxa"/>
              <w:start w:w="100" w:type="dxa"/>
              <w:bottom w:w="80" w:type="dxa"/>
              <w:end w:w="100" w:type="dxa"/>
            </w:tcMar>
            <w:vAlign w:val="center"/>
          </w:tcPr>
          <w:p>
            <w:pPr>
              <w:spacing w:after="0" w:before="0"/>
            </w:pPr>
            <w:r>
              <w:rPr>
                <w:rFonts w:ascii="Aptos" w:hAnsi="Aptos"/>
                <w:sz w:val="19"/>
              </w:rPr>
              <w:t>Selected price row + stroke + cushion code</w:t>
            </w:r>
          </w:p>
        </w:tc>
        <w:tc>
          <w:tcPr>
            <w:tcW w:type="dxa" w:w="4536"/>
            <w:tcMar>
              <w:top w:w="80" w:type="dxa"/>
              <w:start w:w="100" w:type="dxa"/>
              <w:bottom w:w="80" w:type="dxa"/>
              <w:end w:w="100" w:type="dxa"/>
            </w:tcMar>
            <w:vAlign w:val="center"/>
          </w:tcPr>
          <w:p>
            <w:pPr>
              <w:spacing w:after="0" w:before="0"/>
            </w:pPr>
            <w:r>
              <w:rPr>
                <w:rFonts w:ascii="Aptos" w:hAnsi="Aptos"/>
                <w:sz w:val="19"/>
              </w:rPr>
              <w:t>Stroke rate x Excel-equivalent rounded stroke + cushion rate x cushion multiplier.</w:t>
            </w:r>
          </w:p>
        </w:tc>
      </w:tr>
      <w:tr>
        <w:tc>
          <w:tcPr>
            <w:tcW w:type="dxa" w:w="1944"/>
            <w:tcMar>
              <w:top w:w="80" w:type="dxa"/>
              <w:start w:w="100" w:type="dxa"/>
              <w:bottom w:w="80" w:type="dxa"/>
              <w:end w:w="100" w:type="dxa"/>
            </w:tcMar>
            <w:vAlign w:val="center"/>
          </w:tcPr>
          <w:p>
            <w:pPr>
              <w:spacing w:after="0" w:before="0"/>
            </w:pPr>
            <w:r>
              <w:rPr>
                <w:rFonts w:ascii="Aptos" w:hAnsi="Aptos"/>
                <w:sz w:val="19"/>
              </w:rPr>
              <w:t>Accessories/options</w:t>
            </w:r>
          </w:p>
        </w:tc>
        <w:tc>
          <w:tcPr>
            <w:tcW w:type="dxa" w:w="3384"/>
            <w:tcMar>
              <w:top w:w="80" w:type="dxa"/>
              <w:start w:w="100" w:type="dxa"/>
              <w:bottom w:w="80" w:type="dxa"/>
              <w:end w:w="100" w:type="dxa"/>
            </w:tcMar>
            <w:vAlign w:val="center"/>
          </w:tcPr>
          <w:p>
            <w:pPr>
              <w:spacing w:after="0" w:before="0"/>
            </w:pPr>
            <w:r>
              <w:rPr>
                <w:rFonts w:ascii="Aptos" w:hAnsi="Aptos"/>
                <w:sz w:val="19"/>
              </w:rPr>
              <w:t>Accessory quantities, free-form option codes, common modifications, PH/VA modifications</w:t>
            </w:r>
          </w:p>
        </w:tc>
        <w:tc>
          <w:tcPr>
            <w:tcW w:type="dxa" w:w="4536"/>
            <w:tcMar>
              <w:top w:w="80" w:type="dxa"/>
              <w:start w:w="100" w:type="dxa"/>
              <w:bottom w:w="80" w:type="dxa"/>
              <w:end w:w="100" w:type="dxa"/>
            </w:tcMar>
            <w:vAlign w:val="center"/>
          </w:tcPr>
          <w:p>
            <w:pPr>
              <w:spacing w:after="0" w:before="0"/>
            </w:pPr>
            <w:r>
              <w:rPr>
                <w:rFonts w:ascii="Aptos" w:hAnsi="Aptos"/>
                <w:sz w:val="19"/>
              </w:rPr>
              <w:t>Sum of all applicable adders using versioned price records.</w:t>
            </w:r>
          </w:p>
        </w:tc>
      </w:tr>
      <w:tr>
        <w:tc>
          <w:tcPr>
            <w:tcW w:type="dxa" w:w="1944"/>
            <w:tcMar>
              <w:top w:w="80" w:type="dxa"/>
              <w:start w:w="100" w:type="dxa"/>
              <w:bottom w:w="80" w:type="dxa"/>
              <w:end w:w="100" w:type="dxa"/>
            </w:tcMar>
            <w:vAlign w:val="center"/>
          </w:tcPr>
          <w:p>
            <w:pPr>
              <w:spacing w:after="0" w:before="0"/>
            </w:pPr>
            <w:r>
              <w:rPr>
                <w:rFonts w:ascii="Aptos" w:hAnsi="Aptos"/>
                <w:sz w:val="19"/>
              </w:rPr>
              <w:t>Special rules</w:t>
            </w:r>
          </w:p>
        </w:tc>
        <w:tc>
          <w:tcPr>
            <w:tcW w:type="dxa" w:w="3384"/>
            <w:tcMar>
              <w:top w:w="80" w:type="dxa"/>
              <w:start w:w="100" w:type="dxa"/>
              <w:bottom w:w="80" w:type="dxa"/>
              <w:end w:w="100" w:type="dxa"/>
            </w:tcMar>
            <w:vAlign w:val="center"/>
          </w:tcPr>
          <w:p>
            <w:pPr>
              <w:spacing w:after="0" w:before="0"/>
            </w:pPr>
            <w:r>
              <w:rPr>
                <w:rFonts w:ascii="Aptos" w:hAnsi="Aptos"/>
                <w:sz w:val="19"/>
              </w:rPr>
              <w:t>DRE and other conditional inputs</w:t>
            </w:r>
          </w:p>
        </w:tc>
        <w:tc>
          <w:tcPr>
            <w:tcW w:type="dxa" w:w="4536"/>
            <w:tcMar>
              <w:top w:w="80" w:type="dxa"/>
              <w:start w:w="100" w:type="dxa"/>
              <w:bottom w:w="80" w:type="dxa"/>
              <w:end w:w="100" w:type="dxa"/>
            </w:tcMar>
            <w:vAlign w:val="center"/>
          </w:tcPr>
          <w:p>
            <w:pPr>
              <w:spacing w:after="0" w:before="0"/>
            </w:pPr>
            <w:r>
              <w:rPr>
                <w:rFonts w:ascii="Aptos" w:hAnsi="Aptos"/>
                <w:sz w:val="19"/>
              </w:rPr>
              <w:t>If DRE, add 65% of base price C5 only; preserve exact order of operations.</w:t>
            </w:r>
          </w:p>
        </w:tc>
      </w:tr>
      <w:tr>
        <w:tc>
          <w:tcPr>
            <w:tcW w:type="dxa" w:w="1944"/>
            <w:tcMar>
              <w:top w:w="80" w:type="dxa"/>
              <w:start w:w="100" w:type="dxa"/>
              <w:bottom w:w="80" w:type="dxa"/>
              <w:end w:w="100" w:type="dxa"/>
            </w:tcMar>
            <w:vAlign w:val="center"/>
          </w:tcPr>
          <w:p>
            <w:pPr>
              <w:spacing w:after="0" w:before="0"/>
            </w:pPr>
            <w:r>
              <w:rPr>
                <w:rFonts w:ascii="Aptos" w:hAnsi="Aptos"/>
                <w:sz w:val="19"/>
              </w:rPr>
              <w:t>Selling price</w:t>
            </w:r>
          </w:p>
        </w:tc>
        <w:tc>
          <w:tcPr>
            <w:tcW w:type="dxa" w:w="3384"/>
            <w:tcMar>
              <w:top w:w="80" w:type="dxa"/>
              <w:start w:w="100" w:type="dxa"/>
              <w:bottom w:w="80" w:type="dxa"/>
              <w:end w:w="100" w:type="dxa"/>
            </w:tcMar>
            <w:vAlign w:val="center"/>
          </w:tcPr>
          <w:p>
            <w:pPr>
              <w:spacing w:after="0" w:before="0"/>
            </w:pPr>
            <w:r>
              <w:rPr>
                <w:rFonts w:ascii="Aptos" w:hAnsi="Aptos"/>
                <w:sz w:val="19"/>
              </w:rPr>
              <w:t>Subtotal + DRE + discount + reserved post-adjustment amount</w:t>
            </w:r>
          </w:p>
        </w:tc>
        <w:tc>
          <w:tcPr>
            <w:tcW w:type="dxa" w:w="4536"/>
            <w:tcMar>
              <w:top w:w="80" w:type="dxa"/>
              <w:start w:w="100" w:type="dxa"/>
              <w:bottom w:w="80" w:type="dxa"/>
              <w:end w:w="100" w:type="dxa"/>
            </w:tcMar>
            <w:vAlign w:val="center"/>
          </w:tcPr>
          <w:p>
            <w:pPr>
              <w:spacing w:after="0" w:before="0"/>
            </w:pPr>
            <w:r>
              <w:rPr>
                <w:rFonts w:ascii="Aptos" w:hAnsi="Aptos"/>
                <w:sz w:val="19"/>
              </w:rPr>
              <w:t>Reproduce Data!D6, list back-out, W-series 15% rule, standard/expedited/emergency.</w:t>
            </w:r>
          </w:p>
        </w:tc>
      </w:tr>
      <w:tr>
        <w:tc>
          <w:tcPr>
            <w:tcW w:type="dxa" w:w="1944"/>
            <w:tcMar>
              <w:top w:w="80" w:type="dxa"/>
              <w:start w:w="100" w:type="dxa"/>
              <w:bottom w:w="80" w:type="dxa"/>
              <w:end w:w="100" w:type="dxa"/>
            </w:tcMar>
            <w:vAlign w:val="center"/>
          </w:tcPr>
          <w:p>
            <w:pPr>
              <w:spacing w:after="0" w:before="0"/>
            </w:pPr>
            <w:r>
              <w:rPr>
                <w:rFonts w:ascii="Aptos" w:hAnsi="Aptos"/>
                <w:sz w:val="19"/>
              </w:rPr>
              <w:t>Engineering outputs</w:t>
            </w:r>
          </w:p>
        </w:tc>
        <w:tc>
          <w:tcPr>
            <w:tcW w:type="dxa" w:w="3384"/>
            <w:tcMar>
              <w:top w:w="80" w:type="dxa"/>
              <w:start w:w="100" w:type="dxa"/>
              <w:bottom w:w="80" w:type="dxa"/>
              <w:end w:w="100" w:type="dxa"/>
            </w:tcMar>
            <w:vAlign w:val="center"/>
          </w:tcPr>
          <w:p>
            <w:pPr>
              <w:spacing w:after="0" w:before="0"/>
            </w:pPr>
            <w:r>
              <w:rPr>
                <w:rFonts w:ascii="Aptos" w:hAnsi="Aptos"/>
                <w:sz w:val="19"/>
              </w:rPr>
              <w:t>Series/bore/rod/mount/stroke/pressure</w:t>
            </w:r>
          </w:p>
        </w:tc>
        <w:tc>
          <w:tcPr>
            <w:tcW w:type="dxa" w:w="4536"/>
            <w:tcMar>
              <w:top w:w="80" w:type="dxa"/>
              <w:start w:w="100" w:type="dxa"/>
              <w:bottom w:w="80" w:type="dxa"/>
              <w:end w:w="100" w:type="dxa"/>
            </w:tcMar>
            <w:vAlign w:val="center"/>
          </w:tcPr>
          <w:p>
            <w:pPr>
              <w:spacing w:after="0" w:before="0"/>
            </w:pPr>
            <w:r>
              <w:rPr>
                <w:rFonts w:ascii="Aptos" w:hAnsi="Aptos"/>
                <w:sz w:val="19"/>
              </w:rPr>
              <w:t>Weight, rated pressure, forces and dimensions required on the quote.</w:t>
            </w:r>
          </w:p>
        </w:tc>
      </w:tr>
      <w:tr>
        <w:tc>
          <w:tcPr>
            <w:tcW w:type="dxa" w:w="1944"/>
            <w:tcMar>
              <w:top w:w="80" w:type="dxa"/>
              <w:start w:w="100" w:type="dxa"/>
              <w:bottom w:w="80" w:type="dxa"/>
              <w:end w:w="100" w:type="dxa"/>
            </w:tcMar>
            <w:vAlign w:val="center"/>
          </w:tcPr>
          <w:p>
            <w:pPr>
              <w:spacing w:after="0" w:before="0"/>
            </w:pPr>
            <w:r>
              <w:rPr>
                <w:rFonts w:ascii="Aptos" w:hAnsi="Aptos"/>
                <w:sz w:val="19"/>
              </w:rPr>
              <w:t>Presentation mapper</w:t>
            </w:r>
          </w:p>
        </w:tc>
        <w:tc>
          <w:tcPr>
            <w:tcW w:type="dxa" w:w="3384"/>
            <w:tcMar>
              <w:top w:w="80" w:type="dxa"/>
              <w:start w:w="100" w:type="dxa"/>
              <w:bottom w:w="80" w:type="dxa"/>
              <w:end w:w="100" w:type="dxa"/>
            </w:tcMar>
            <w:vAlign w:val="center"/>
          </w:tcPr>
          <w:p>
            <w:pPr>
              <w:spacing w:after="0" w:before="0"/>
            </w:pPr>
            <w:r>
              <w:rPr>
                <w:rFonts w:ascii="Aptos" w:hAnsi="Aptos"/>
                <w:sz w:val="19"/>
              </w:rPr>
              <w:t>Internal codes + results</w:t>
            </w:r>
          </w:p>
        </w:tc>
        <w:tc>
          <w:tcPr>
            <w:tcW w:type="dxa" w:w="4536"/>
            <w:tcMar>
              <w:top w:w="80" w:type="dxa"/>
              <w:start w:w="100" w:type="dxa"/>
              <w:bottom w:w="80" w:type="dxa"/>
              <w:end w:w="100" w:type="dxa"/>
            </w:tcMar>
            <w:vAlign w:val="center"/>
          </w:tcPr>
          <w:p>
            <w:pPr>
              <w:spacing w:after="0" w:before="0"/>
            </w:pPr>
            <w:r>
              <w:rPr>
                <w:rFonts w:ascii="Aptos" w:hAnsi="Aptos"/>
                <w:sz w:val="19"/>
              </w:rPr>
              <w:t>Readable descriptions and customer-visible quote fields only.</w:t>
            </w:r>
          </w:p>
        </w:tc>
      </w:tr>
    </w:tbl>
    <w:p>
      <w:pPr>
        <w:spacing w:after="40"/>
      </w:pPr>
    </w:p>
    <w:p>
      <w:pPr>
        <w:pStyle w:val="Heading1"/>
      </w:pPr>
      <w:r>
        <w:t>5. Authoritative Pricing Rules to Preserve Exactly</w:t>
      </w:r>
    </w:p>
    <w:p>
      <w:pPr>
        <w:pStyle w:val="ListBullet"/>
      </w:pPr>
      <w:r>
        <w:t>DRE: when the DRE field is populated, add 0.65 x primary base price only. Do not apply 65% to stroke/cushion, accessories, PH, common modifications, or special options.</w:t>
      </w:r>
    </w:p>
    <w:p>
      <w:pPr>
        <w:pStyle w:val="ListBullet"/>
      </w:pPr>
      <w:r>
        <w:t>DRE ordering: the 65% base surcharge is included before the (1 - D4) adjustment. Data!H24, if ever used, sits after that adjustment.</w:t>
      </w:r>
    </w:p>
    <w:p>
      <w:pPr>
        <w:pStyle w:val="ListBullet"/>
      </w:pPr>
      <w:r>
        <w:t>List price: Data!I13 backs the discount out of Data!D6. For ordinary series, Quote Form then reapplies the same discount so customer Net Each returns to Data!D6.</w:t>
      </w:r>
    </w:p>
    <w:p>
      <w:pPr>
        <w:pStyle w:val="ListBullet"/>
      </w:pPr>
      <w:r>
        <w:t>W-series: Quote Form applies a separate 15% reduction to list before discount. Preserve this as an explicit W-series rule, not an accidental cell quirk.</w:t>
      </w:r>
    </w:p>
    <w:p>
      <w:pPr>
        <w:pStyle w:val="ListBullet"/>
      </w:pPr>
      <w:r>
        <w:t>Expedited: Net Each &gt; $1,000 uses x1.30; otherwise x1.40.</w:t>
      </w:r>
    </w:p>
    <w:p>
      <w:pPr>
        <w:pStyle w:val="ListBullet"/>
      </w:pPr>
      <w:r>
        <w:t>Emergency: Expedited x1.25.</w:t>
      </w:r>
    </w:p>
    <w:p>
      <w:pPr>
        <w:pStyle w:val="ListBullet"/>
      </w:pPr>
      <w:r>
        <w:t>Stroke/cushion: rates are row-specific to series/bore/rod, with imperial families priced per inch and metric families per mm.</w:t>
      </w:r>
    </w:p>
    <w:p>
      <w:pPr>
        <w:pStyle w:val="ListBullet"/>
      </w:pPr>
      <w:r>
        <w:t>Cushion multipliers differ by family; the recovered multiplier table is business logic and must be represented as data or explicit rules.</w:t>
      </w:r>
    </w:p>
    <w:p>
      <w:pPr>
        <w:pStyle w:val="ListBullet"/>
      </w:pPr>
      <w:r>
        <w:t>Data!C10, Data!H24, and A4!O55 are currently blank/reserved in the reference workbook. Do not invent behavior for them; retain them as disabled/reserved compatibility fields until a business rule is supplied.</w:t>
      </w:r>
    </w:p>
    <w:p>
      <w:pPr>
        <w:pStyle w:val="Heading1"/>
      </w:pPr>
      <w:r>
        <w:t>6. Source Tables to Convert into Database Data</w:t>
      </w:r>
    </w:p>
    <w:p>
      <w:r>
        <w:t>The workbook contains price-list data that should be migrated into structured tables. The application should query those records; it should not embed thousands of copied Excel formulas.</w:t>
      </w:r>
    </w:p>
    <w:tbl>
      <w:tblPr>
        <w:tblStyle w:val="TableGrid"/>
        <w:tblW w:type="auto" w:w="0"/>
        <w:jc w:val="center"/>
        <w:tblLook w:firstColumn="1" w:firstRow="1" w:lastColumn="0" w:lastRow="0" w:noHBand="0" w:noVBand="1" w:val="04A0"/>
      </w:tblPr>
      <w:tblGrid>
        <w:gridCol w:w="3389"/>
        <w:gridCol w:w="3389"/>
        <w:gridCol w:w="3389"/>
      </w:tblGrid>
      <w:tr>
        <w:tc>
          <w:tcPr>
            <w:tcW w:type="dxa" w:w="2088"/>
            <w:tcMar>
              <w:top w:w="80" w:type="dxa"/>
              <w:start w:w="100" w:type="dxa"/>
              <w:bottom w:w="80" w:type="dxa"/>
              <w:end w:w="100" w:type="dxa"/>
            </w:tcMar>
            <w:vAlign w:val="center"/>
            <w:shd w:fill="1F4E78"/>
          </w:tcPr>
          <w:p>
            <w:pPr>
              <w:spacing w:after="0" w:before="0"/>
            </w:pPr>
            <w:r>
              <w:rPr>
                <w:rFonts w:ascii="Aptos" w:hAnsi="Aptos"/>
                <w:b/>
                <w:color w:val="FFFFFF"/>
                <w:sz w:val="19"/>
              </w:rPr>
              <w:t>Database concept</w:t>
            </w:r>
          </w:p>
        </w:tc>
        <w:tc>
          <w:tcPr>
            <w:tcW w:type="dxa" w:w="3960"/>
            <w:tcMar>
              <w:top w:w="80" w:type="dxa"/>
              <w:start w:w="100" w:type="dxa"/>
              <w:bottom w:w="80" w:type="dxa"/>
              <w:end w:w="100" w:type="dxa"/>
            </w:tcMar>
            <w:vAlign w:val="center"/>
            <w:shd w:fill="1F4E78"/>
          </w:tcPr>
          <w:p>
            <w:pPr>
              <w:spacing w:after="0" w:before="0"/>
            </w:pPr>
            <w:r>
              <w:rPr>
                <w:rFonts w:ascii="Aptos" w:hAnsi="Aptos"/>
                <w:b/>
                <w:color w:val="FFFFFF"/>
                <w:sz w:val="19"/>
              </w:rPr>
              <w:t>Workbook source / meaning</w:t>
            </w:r>
          </w:p>
        </w:tc>
        <w:tc>
          <w:tcPr>
            <w:tcW w:type="dxa" w:w="3888"/>
            <w:tcMar>
              <w:top w:w="80" w:type="dxa"/>
              <w:start w:w="100" w:type="dxa"/>
              <w:bottom w:w="80" w:type="dxa"/>
              <w:end w:w="100" w:type="dxa"/>
            </w:tcMar>
            <w:vAlign w:val="center"/>
            <w:shd w:fill="1F4E78"/>
          </w:tcPr>
          <w:p>
            <w:pPr>
              <w:spacing w:after="0" w:before="0"/>
            </w:pPr>
            <w:r>
              <w:rPr>
                <w:rFonts w:ascii="Aptos" w:hAnsi="Aptos"/>
                <w:b/>
                <w:color w:val="FFFFFF"/>
                <w:sz w:val="19"/>
              </w:rPr>
              <w:t>Suggested key fields</w:t>
            </w:r>
          </w:p>
        </w:tc>
      </w:tr>
      <w:tr>
        <w:tc>
          <w:tcPr>
            <w:tcW w:type="dxa" w:w="2088"/>
            <w:tcMar>
              <w:top w:w="80" w:type="dxa"/>
              <w:start w:w="100" w:type="dxa"/>
              <w:bottom w:w="80" w:type="dxa"/>
              <w:end w:w="100" w:type="dxa"/>
            </w:tcMar>
            <w:vAlign w:val="center"/>
          </w:tcPr>
          <w:p>
            <w:pPr>
              <w:spacing w:after="0" w:before="0"/>
            </w:pPr>
            <w:r>
              <w:rPr>
                <w:rFonts w:ascii="Aptos" w:hAnsi="Aptos"/>
                <w:sz w:val="19"/>
              </w:rPr>
              <w:t>series_price_rows</w:t>
            </w:r>
          </w:p>
        </w:tc>
        <w:tc>
          <w:tcPr>
            <w:tcW w:type="dxa" w:w="3960"/>
            <w:tcMar>
              <w:top w:w="80" w:type="dxa"/>
              <w:start w:w="100" w:type="dxa"/>
              <w:bottom w:w="80" w:type="dxa"/>
              <w:end w:w="100" w:type="dxa"/>
            </w:tcMar>
            <w:vAlign w:val="center"/>
          </w:tcPr>
          <w:p>
            <w:pPr>
              <w:spacing w:after="0" w:before="0"/>
            </w:pPr>
            <w:r>
              <w:rPr>
                <w:rFonts w:ascii="Aptos" w:hAnsi="Aptos"/>
                <w:sz w:val="19"/>
              </w:rPr>
              <w:t>H, A, MH, IH, IMH primary price tables</w:t>
            </w:r>
          </w:p>
        </w:tc>
        <w:tc>
          <w:tcPr>
            <w:tcW w:type="dxa" w:w="3888"/>
            <w:tcMar>
              <w:top w:w="80" w:type="dxa"/>
              <w:start w:w="100" w:type="dxa"/>
              <w:bottom w:w="80" w:type="dxa"/>
              <w:end w:w="100" w:type="dxa"/>
            </w:tcMar>
            <w:vAlign w:val="center"/>
          </w:tcPr>
          <w:p>
            <w:pPr>
              <w:spacing w:after="0" w:before="0"/>
            </w:pPr>
            <w:r>
              <w:rPr>
                <w:rFonts w:ascii="Aptos" w:hAnsi="Aptos"/>
                <w:sz w:val="19"/>
              </w:rPr>
              <w:t>pricing_version, series_family, bore, rod, mount_group, base_price, stroke_rate, cushion_rate</w:t>
            </w:r>
          </w:p>
        </w:tc>
      </w:tr>
      <w:tr>
        <w:tc>
          <w:tcPr>
            <w:tcW w:type="dxa" w:w="2088"/>
            <w:tcMar>
              <w:top w:w="80" w:type="dxa"/>
              <w:start w:w="100" w:type="dxa"/>
              <w:bottom w:w="80" w:type="dxa"/>
              <w:end w:w="100" w:type="dxa"/>
            </w:tcMar>
            <w:vAlign w:val="center"/>
          </w:tcPr>
          <w:p>
            <w:pPr>
              <w:spacing w:after="0" w:before="0"/>
            </w:pPr>
            <w:r>
              <w:rPr>
                <w:rFonts w:ascii="Aptos" w:hAnsi="Aptos"/>
                <w:sz w:val="19"/>
              </w:rPr>
              <w:t>mount_groups</w:t>
            </w:r>
          </w:p>
        </w:tc>
        <w:tc>
          <w:tcPr>
            <w:tcW w:type="dxa" w:w="3960"/>
            <w:tcMar>
              <w:top w:w="80" w:type="dxa"/>
              <w:start w:w="100" w:type="dxa"/>
              <w:bottom w:w="80" w:type="dxa"/>
              <w:end w:w="100" w:type="dxa"/>
            </w:tcMar>
            <w:vAlign w:val="center"/>
          </w:tcPr>
          <w:p>
            <w:pPr>
              <w:spacing w:after="0" w:before="0"/>
            </w:pPr>
            <w:r>
              <w:rPr>
                <w:rFonts w:ascii="Aptos" w:hAnsi="Aptos"/>
                <w:sz w:val="19"/>
              </w:rPr>
              <w:t>Mount-code bucket logic from H/A/IH and MH/IMH</w:t>
            </w:r>
          </w:p>
        </w:tc>
        <w:tc>
          <w:tcPr>
            <w:tcW w:type="dxa" w:w="3888"/>
            <w:tcMar>
              <w:top w:w="80" w:type="dxa"/>
              <w:start w:w="100" w:type="dxa"/>
              <w:bottom w:w="80" w:type="dxa"/>
              <w:end w:w="100" w:type="dxa"/>
            </w:tcMar>
            <w:vAlign w:val="center"/>
          </w:tcPr>
          <w:p>
            <w:pPr>
              <w:spacing w:after="0" w:before="0"/>
            </w:pPr>
            <w:r>
              <w:rPr>
                <w:rFonts w:ascii="Aptos" w:hAnsi="Aptos"/>
                <w:sz w:val="19"/>
              </w:rPr>
              <w:t>series_family, mount_code, mount_group</w:t>
            </w:r>
          </w:p>
        </w:tc>
      </w:tr>
      <w:tr>
        <w:tc>
          <w:tcPr>
            <w:tcW w:type="dxa" w:w="2088"/>
            <w:tcMar>
              <w:top w:w="80" w:type="dxa"/>
              <w:start w:w="100" w:type="dxa"/>
              <w:bottom w:w="80" w:type="dxa"/>
              <w:end w:w="100" w:type="dxa"/>
            </w:tcMar>
            <w:vAlign w:val="center"/>
          </w:tcPr>
          <w:p>
            <w:pPr>
              <w:spacing w:after="0" w:before="0"/>
            </w:pPr>
            <w:r>
              <w:rPr>
                <w:rFonts w:ascii="Aptos" w:hAnsi="Aptos"/>
                <w:sz w:val="19"/>
              </w:rPr>
              <w:t>cushion_rules</w:t>
            </w:r>
          </w:p>
        </w:tc>
        <w:tc>
          <w:tcPr>
            <w:tcW w:type="dxa" w:w="3960"/>
            <w:tcMar>
              <w:top w:w="80" w:type="dxa"/>
              <w:start w:w="100" w:type="dxa"/>
              <w:bottom w:w="80" w:type="dxa"/>
              <w:end w:w="100" w:type="dxa"/>
            </w:tcMar>
            <w:vAlign w:val="center"/>
          </w:tcPr>
          <w:p>
            <w:pPr>
              <w:spacing w:after="0" w:before="0"/>
            </w:pPr>
            <w:r>
              <w:rPr>
                <w:rFonts w:ascii="Aptos" w:hAnsi="Aptos"/>
                <w:sz w:val="19"/>
              </w:rPr>
              <w:t>Cushion code multipliers</w:t>
            </w:r>
          </w:p>
        </w:tc>
        <w:tc>
          <w:tcPr>
            <w:tcW w:type="dxa" w:w="3888"/>
            <w:tcMar>
              <w:top w:w="80" w:type="dxa"/>
              <w:start w:w="100" w:type="dxa"/>
              <w:bottom w:w="80" w:type="dxa"/>
              <w:end w:w="100" w:type="dxa"/>
            </w:tcMar>
            <w:vAlign w:val="center"/>
          </w:tcPr>
          <w:p>
            <w:pPr>
              <w:spacing w:after="0" w:before="0"/>
            </w:pPr>
            <w:r>
              <w:rPr>
                <w:rFonts w:ascii="Aptos" w:hAnsi="Aptos"/>
                <w:sz w:val="19"/>
              </w:rPr>
              <w:t>series_family_group, cushion_code, multiplier</w:t>
            </w:r>
          </w:p>
        </w:tc>
      </w:tr>
      <w:tr>
        <w:tc>
          <w:tcPr>
            <w:tcW w:type="dxa" w:w="2088"/>
            <w:tcMar>
              <w:top w:w="80" w:type="dxa"/>
              <w:start w:w="100" w:type="dxa"/>
              <w:bottom w:w="80" w:type="dxa"/>
              <w:end w:w="100" w:type="dxa"/>
            </w:tcMar>
            <w:vAlign w:val="center"/>
          </w:tcPr>
          <w:p>
            <w:pPr>
              <w:spacing w:after="0" w:before="0"/>
            </w:pPr>
            <w:r>
              <w:rPr>
                <w:rFonts w:ascii="Aptos" w:hAnsi="Aptos"/>
                <w:sz w:val="19"/>
              </w:rPr>
              <w:t>accessories</w:t>
            </w:r>
          </w:p>
        </w:tc>
        <w:tc>
          <w:tcPr>
            <w:tcW w:type="dxa" w:w="3960"/>
            <w:tcMar>
              <w:top w:w="80" w:type="dxa"/>
              <w:start w:w="100" w:type="dxa"/>
              <w:bottom w:w="80" w:type="dxa"/>
              <w:end w:w="100" w:type="dxa"/>
            </w:tcMar>
            <w:vAlign w:val="center"/>
          </w:tcPr>
          <w:p>
            <w:pPr>
              <w:spacing w:after="0" w:before="0"/>
            </w:pPr>
            <w:r>
              <w:rPr>
                <w:rFonts w:ascii="Aptos" w:hAnsi="Aptos"/>
                <w:sz w:val="19"/>
              </w:rPr>
              <w:t>Acc-driven direct accessory prices</w:t>
            </w:r>
          </w:p>
        </w:tc>
        <w:tc>
          <w:tcPr>
            <w:tcW w:type="dxa" w:w="3888"/>
            <w:tcMar>
              <w:top w:w="80" w:type="dxa"/>
              <w:start w:w="100" w:type="dxa"/>
              <w:bottom w:w="80" w:type="dxa"/>
              <w:end w:w="100" w:type="dxa"/>
            </w:tcMar>
            <w:vAlign w:val="center"/>
          </w:tcPr>
          <w:p>
            <w:pPr>
              <w:spacing w:after="0" w:before="0"/>
            </w:pPr>
            <w:r>
              <w:rPr>
                <w:rFonts w:ascii="Aptos" w:hAnsi="Aptos"/>
                <w:sz w:val="19"/>
              </w:rPr>
              <w:t>code/name, unit_price, active, pricing_version</w:t>
            </w:r>
          </w:p>
        </w:tc>
      </w:tr>
      <w:tr>
        <w:tc>
          <w:tcPr>
            <w:tcW w:type="dxa" w:w="2088"/>
            <w:tcMar>
              <w:top w:w="80" w:type="dxa"/>
              <w:start w:w="100" w:type="dxa"/>
              <w:bottom w:w="80" w:type="dxa"/>
              <w:end w:w="100" w:type="dxa"/>
            </w:tcMar>
            <w:vAlign w:val="center"/>
          </w:tcPr>
          <w:p>
            <w:pPr>
              <w:spacing w:after="0" w:before="0"/>
            </w:pPr>
            <w:r>
              <w:rPr>
                <w:rFonts w:ascii="Aptos" w:hAnsi="Aptos"/>
                <w:sz w:val="19"/>
              </w:rPr>
              <w:t>special_options</w:t>
            </w:r>
          </w:p>
        </w:tc>
        <w:tc>
          <w:tcPr>
            <w:tcW w:type="dxa" w:w="3960"/>
            <w:tcMar>
              <w:top w:w="80" w:type="dxa"/>
              <w:start w:w="100" w:type="dxa"/>
              <w:bottom w:w="80" w:type="dxa"/>
              <w:end w:w="100" w:type="dxa"/>
            </w:tcMar>
            <w:vAlign w:val="center"/>
          </w:tcPr>
          <w:p>
            <w:pPr>
              <w:spacing w:after="0" w:before="0"/>
            </w:pPr>
            <w:r>
              <w:rPr>
                <w:rFonts w:ascii="Aptos" w:hAnsi="Aptos"/>
                <w:sz w:val="19"/>
              </w:rPr>
              <w:t>ShipVia free-form option lookup table</w:t>
            </w:r>
          </w:p>
        </w:tc>
        <w:tc>
          <w:tcPr>
            <w:tcW w:type="dxa" w:w="3888"/>
            <w:tcMar>
              <w:top w:w="80" w:type="dxa"/>
              <w:start w:w="100" w:type="dxa"/>
              <w:bottom w:w="80" w:type="dxa"/>
              <w:end w:w="100" w:type="dxa"/>
            </w:tcMar>
            <w:vAlign w:val="center"/>
          </w:tcPr>
          <w:p>
            <w:pPr>
              <w:spacing w:after="0" w:before="0"/>
            </w:pPr>
            <w:r>
              <w:rPr>
                <w:rFonts w:ascii="Aptos" w:hAnsi="Aptos"/>
                <w:sz w:val="19"/>
              </w:rPr>
              <w:t>option_code/name, unit_price, active, pricing_version</w:t>
            </w:r>
          </w:p>
        </w:tc>
      </w:tr>
      <w:tr>
        <w:tc>
          <w:tcPr>
            <w:tcW w:type="dxa" w:w="2088"/>
            <w:tcMar>
              <w:top w:w="80" w:type="dxa"/>
              <w:start w:w="100" w:type="dxa"/>
              <w:bottom w:w="80" w:type="dxa"/>
              <w:end w:w="100" w:type="dxa"/>
            </w:tcMar>
            <w:vAlign w:val="center"/>
          </w:tcPr>
          <w:p>
            <w:pPr>
              <w:spacing w:after="0" w:before="0"/>
            </w:pPr>
            <w:r>
              <w:rPr>
                <w:rFonts w:ascii="Aptos" w:hAnsi="Aptos"/>
                <w:sz w:val="19"/>
              </w:rPr>
              <w:t>common_modifications</w:t>
            </w:r>
          </w:p>
        </w:tc>
        <w:tc>
          <w:tcPr>
            <w:tcW w:type="dxa" w:w="3960"/>
            <w:tcMar>
              <w:top w:w="80" w:type="dxa"/>
              <w:start w:w="100" w:type="dxa"/>
              <w:bottom w:w="80" w:type="dxa"/>
              <w:end w:w="100" w:type="dxa"/>
            </w:tcMar>
            <w:vAlign w:val="center"/>
          </w:tcPr>
          <w:p>
            <w:pPr>
              <w:spacing w:after="0" w:before="0"/>
            </w:pPr>
            <w:r>
              <w:rPr>
                <w:rFonts w:ascii="Aptos" w:hAnsi="Aptos"/>
                <w:sz w:val="19"/>
              </w:rPr>
              <w:t>H2/H3/H4, A2/A3/A4, IH2/IH3/IH4</w:t>
            </w:r>
          </w:p>
        </w:tc>
        <w:tc>
          <w:tcPr>
            <w:tcW w:type="dxa" w:w="3888"/>
            <w:tcMar>
              <w:top w:w="80" w:type="dxa"/>
              <w:start w:w="100" w:type="dxa"/>
              <w:bottom w:w="80" w:type="dxa"/>
              <w:end w:w="100" w:type="dxa"/>
            </w:tcMar>
            <w:vAlign w:val="center"/>
          </w:tcPr>
          <w:p>
            <w:pPr>
              <w:spacing w:after="0" w:before="0"/>
            </w:pPr>
            <w:r>
              <w:rPr>
                <w:rFonts w:ascii="Aptos" w:hAnsi="Aptos"/>
                <w:sz w:val="19"/>
              </w:rPr>
              <w:t>family, modification_code, applicability fields, price/rate, pricing_version</w:t>
            </w:r>
          </w:p>
        </w:tc>
      </w:tr>
      <w:tr>
        <w:tc>
          <w:tcPr>
            <w:tcW w:type="dxa" w:w="2088"/>
            <w:tcMar>
              <w:top w:w="80" w:type="dxa"/>
              <w:start w:w="100" w:type="dxa"/>
              <w:bottom w:w="80" w:type="dxa"/>
              <w:end w:w="100" w:type="dxa"/>
            </w:tcMar>
            <w:vAlign w:val="center"/>
          </w:tcPr>
          <w:p>
            <w:pPr>
              <w:spacing w:after="0" w:before="0"/>
            </w:pPr>
            <w:r>
              <w:rPr>
                <w:rFonts w:ascii="Aptos" w:hAnsi="Aptos"/>
                <w:sz w:val="19"/>
              </w:rPr>
              <w:t>position_sensing</w:t>
            </w:r>
          </w:p>
        </w:tc>
        <w:tc>
          <w:tcPr>
            <w:tcW w:type="dxa" w:w="3960"/>
            <w:tcMar>
              <w:top w:w="80" w:type="dxa"/>
              <w:start w:w="100" w:type="dxa"/>
              <w:bottom w:w="80" w:type="dxa"/>
              <w:end w:w="100" w:type="dxa"/>
            </w:tcMar>
            <w:vAlign w:val="center"/>
          </w:tcPr>
          <w:p>
            <w:pPr>
              <w:spacing w:after="0" w:before="0"/>
            </w:pPr>
            <w:r>
              <w:rPr>
                <w:rFonts w:ascii="Aptos" w:hAnsi="Aptos"/>
                <w:sz w:val="19"/>
              </w:rPr>
              <w:t>PH options</w:t>
            </w:r>
          </w:p>
        </w:tc>
        <w:tc>
          <w:tcPr>
            <w:tcW w:type="dxa" w:w="3888"/>
            <w:tcMar>
              <w:top w:w="80" w:type="dxa"/>
              <w:start w:w="100" w:type="dxa"/>
              <w:bottom w:w="80" w:type="dxa"/>
              <w:end w:w="100" w:type="dxa"/>
            </w:tcMar>
            <w:vAlign w:val="center"/>
          </w:tcPr>
          <w:p>
            <w:pPr>
              <w:spacing w:after="0" w:before="0"/>
            </w:pPr>
            <w:r>
              <w:rPr>
                <w:rFonts w:ascii="Aptos" w:hAnsi="Aptos"/>
                <w:sz w:val="19"/>
              </w:rPr>
              <w:t>option code, applicability, price, pricing_version</w:t>
            </w:r>
          </w:p>
        </w:tc>
      </w:tr>
      <w:tr>
        <w:tc>
          <w:tcPr>
            <w:tcW w:type="dxa" w:w="2088"/>
            <w:tcMar>
              <w:top w:w="80" w:type="dxa"/>
              <w:start w:w="100" w:type="dxa"/>
              <w:bottom w:w="80" w:type="dxa"/>
              <w:end w:w="100" w:type="dxa"/>
            </w:tcMar>
            <w:vAlign w:val="center"/>
          </w:tcPr>
          <w:p>
            <w:pPr>
              <w:spacing w:after="0" w:before="0"/>
            </w:pPr>
            <w:r>
              <w:rPr>
                <w:rFonts w:ascii="Aptos" w:hAnsi="Aptos"/>
                <w:sz w:val="19"/>
              </w:rPr>
              <w:t>va_modifications</w:t>
            </w:r>
          </w:p>
        </w:tc>
        <w:tc>
          <w:tcPr>
            <w:tcW w:type="dxa" w:w="3960"/>
            <w:tcMar>
              <w:top w:w="80" w:type="dxa"/>
              <w:start w:w="100" w:type="dxa"/>
              <w:bottom w:w="80" w:type="dxa"/>
              <w:end w:w="100" w:type="dxa"/>
            </w:tcMar>
            <w:vAlign w:val="center"/>
          </w:tcPr>
          <w:p>
            <w:pPr>
              <w:spacing w:after="0" w:before="0"/>
            </w:pPr>
            <w:r>
              <w:rPr>
                <w:rFonts w:ascii="Aptos" w:hAnsi="Aptos"/>
                <w:sz w:val="19"/>
              </w:rPr>
              <w:t>VA-specific pricing rows</w:t>
            </w:r>
          </w:p>
        </w:tc>
        <w:tc>
          <w:tcPr>
            <w:tcW w:type="dxa" w:w="3888"/>
            <w:tcMar>
              <w:top w:w="80" w:type="dxa"/>
              <w:start w:w="100" w:type="dxa"/>
              <w:bottom w:w="80" w:type="dxa"/>
              <w:end w:w="100" w:type="dxa"/>
            </w:tcMar>
            <w:vAlign w:val="center"/>
          </w:tcPr>
          <w:p>
            <w:pPr>
              <w:spacing w:after="0" w:before="0"/>
            </w:pPr>
            <w:r>
              <w:rPr>
                <w:rFonts w:ascii="Aptos" w:hAnsi="Aptos"/>
                <w:sz w:val="19"/>
              </w:rPr>
              <w:t>option code, applicability, price/rate, pricing_version</w:t>
            </w:r>
          </w:p>
        </w:tc>
      </w:tr>
      <w:tr>
        <w:tc>
          <w:tcPr>
            <w:tcW w:type="dxa" w:w="2088"/>
            <w:tcMar>
              <w:top w:w="80" w:type="dxa"/>
              <w:start w:w="100" w:type="dxa"/>
              <w:bottom w:w="80" w:type="dxa"/>
              <w:end w:w="100" w:type="dxa"/>
            </w:tcMar>
            <w:vAlign w:val="center"/>
          </w:tcPr>
          <w:p>
            <w:pPr>
              <w:spacing w:after="0" w:before="0"/>
            </w:pPr>
            <w:r>
              <w:rPr>
                <w:rFonts w:ascii="Aptos" w:hAnsi="Aptos"/>
                <w:sz w:val="19"/>
              </w:rPr>
              <w:t>engineering_tables</w:t>
            </w:r>
          </w:p>
        </w:tc>
        <w:tc>
          <w:tcPr>
            <w:tcW w:type="dxa" w:w="3960"/>
            <w:tcMar>
              <w:top w:w="80" w:type="dxa"/>
              <w:start w:w="100" w:type="dxa"/>
              <w:bottom w:w="80" w:type="dxa"/>
              <w:end w:w="100" w:type="dxa"/>
            </w:tcMar>
            <w:vAlign w:val="center"/>
          </w:tcPr>
          <w:p>
            <w:pPr>
              <w:spacing w:after="0" w:before="0"/>
            </w:pPr>
            <w:r>
              <w:rPr>
                <w:rFonts w:ascii="Aptos" w:hAnsi="Aptos"/>
                <w:sz w:val="19"/>
              </w:rPr>
              <w:t>Quote Form helper grids / dimensional lookup data</w:t>
            </w:r>
          </w:p>
        </w:tc>
        <w:tc>
          <w:tcPr>
            <w:tcW w:type="dxa" w:w="3888"/>
            <w:tcMar>
              <w:top w:w="80" w:type="dxa"/>
              <w:start w:w="100" w:type="dxa"/>
              <w:bottom w:w="80" w:type="dxa"/>
              <w:end w:w="100" w:type="dxa"/>
            </w:tcMar>
            <w:vAlign w:val="center"/>
          </w:tcPr>
          <w:p>
            <w:pPr>
              <w:spacing w:after="0" w:before="0"/>
            </w:pPr>
            <w:r>
              <w:rPr>
                <w:rFonts w:ascii="Aptos" w:hAnsi="Aptos"/>
                <w:sz w:val="19"/>
              </w:rPr>
              <w:t>series, bore, rod, mount, dimension/rating fields, version</w:t>
            </w:r>
          </w:p>
        </w:tc>
      </w:tr>
    </w:tbl>
    <w:p>
      <w:pPr>
        <w:spacing w:after="40"/>
      </w:pPr>
    </w:p>
    <w:p>
      <w:pPr>
        <w:pStyle w:val="Heading1"/>
      </w:pPr>
      <w:r>
        <w:t>7. Core Transactional Database</w:t>
      </w:r>
    </w:p>
    <w:tbl>
      <w:tblPr>
        <w:tblStyle w:val="TableGrid"/>
        <w:tblW w:type="auto" w:w="0"/>
        <w:jc w:val="center"/>
        <w:tblLook w:firstColumn="1" w:firstRow="1" w:lastColumn="0" w:lastRow="0" w:noHBand="0" w:noVBand="1" w:val="04A0"/>
      </w:tblPr>
      <w:tblGrid>
        <w:gridCol w:w="3389"/>
        <w:gridCol w:w="3389"/>
        <w:gridCol w:w="3389"/>
      </w:tblGrid>
      <w:tr>
        <w:tc>
          <w:tcPr>
            <w:tcW w:type="dxa" w:w="1728"/>
            <w:tcMar>
              <w:top w:w="80" w:type="dxa"/>
              <w:start w:w="100" w:type="dxa"/>
              <w:bottom w:w="80" w:type="dxa"/>
              <w:end w:w="100" w:type="dxa"/>
            </w:tcMar>
            <w:vAlign w:val="center"/>
            <w:shd w:fill="1F4E78"/>
          </w:tcPr>
          <w:p>
            <w:pPr>
              <w:spacing w:after="0" w:before="0"/>
            </w:pPr>
            <w:r>
              <w:rPr>
                <w:rFonts w:ascii="Aptos" w:hAnsi="Aptos"/>
                <w:b/>
                <w:color w:val="FFFFFF"/>
                <w:sz w:val="19"/>
              </w:rPr>
              <w:t>Table</w:t>
            </w:r>
          </w:p>
        </w:tc>
        <w:tc>
          <w:tcPr>
            <w:tcW w:type="dxa" w:w="3312"/>
            <w:tcMar>
              <w:top w:w="80" w:type="dxa"/>
              <w:start w:w="100" w:type="dxa"/>
              <w:bottom w:w="80" w:type="dxa"/>
              <w:end w:w="100" w:type="dxa"/>
            </w:tcMar>
            <w:vAlign w:val="center"/>
            <w:shd w:fill="1F4E78"/>
          </w:tcPr>
          <w:p>
            <w:pPr>
              <w:spacing w:after="0" w:before="0"/>
            </w:pPr>
            <w:r>
              <w:rPr>
                <w:rFonts w:ascii="Aptos" w:hAnsi="Aptos"/>
                <w:b/>
                <w:color w:val="FFFFFF"/>
                <w:sz w:val="19"/>
              </w:rPr>
              <w:t>Purpose</w:t>
            </w:r>
          </w:p>
        </w:tc>
        <w:tc>
          <w:tcPr>
            <w:tcW w:type="dxa" w:w="4896"/>
            <w:tcMar>
              <w:top w:w="80" w:type="dxa"/>
              <w:start w:w="100" w:type="dxa"/>
              <w:bottom w:w="80" w:type="dxa"/>
              <w:end w:w="100" w:type="dxa"/>
            </w:tcMar>
            <w:vAlign w:val="center"/>
            <w:shd w:fill="1F4E78"/>
          </w:tcPr>
          <w:p>
            <w:pPr>
              <w:spacing w:after="0" w:before="0"/>
            </w:pPr>
            <w:r>
              <w:rPr>
                <w:rFonts w:ascii="Aptos" w:hAnsi="Aptos"/>
                <w:b/>
                <w:color w:val="FFFFFF"/>
                <w:sz w:val="19"/>
              </w:rPr>
              <w:t>Critical fields</w:t>
            </w:r>
          </w:p>
        </w:tc>
      </w:tr>
      <w:tr>
        <w:tc>
          <w:tcPr>
            <w:tcW w:type="dxa" w:w="1728"/>
            <w:tcMar>
              <w:top w:w="80" w:type="dxa"/>
              <w:start w:w="100" w:type="dxa"/>
              <w:bottom w:w="80" w:type="dxa"/>
              <w:end w:w="100" w:type="dxa"/>
            </w:tcMar>
            <w:vAlign w:val="center"/>
          </w:tcPr>
          <w:p>
            <w:pPr>
              <w:spacing w:after="0" w:before="0"/>
            </w:pPr>
            <w:r>
              <w:rPr>
                <w:rFonts w:ascii="Aptos" w:hAnsi="Aptos"/>
                <w:sz w:val="19"/>
              </w:rPr>
              <w:t>users</w:t>
            </w:r>
          </w:p>
        </w:tc>
        <w:tc>
          <w:tcPr>
            <w:tcW w:type="dxa" w:w="3312"/>
            <w:tcMar>
              <w:top w:w="80" w:type="dxa"/>
              <w:start w:w="100" w:type="dxa"/>
              <w:bottom w:w="80" w:type="dxa"/>
              <w:end w:w="100" w:type="dxa"/>
            </w:tcMar>
            <w:vAlign w:val="center"/>
          </w:tcPr>
          <w:p>
            <w:pPr>
              <w:spacing w:after="0" w:before="0"/>
            </w:pPr>
            <w:r>
              <w:rPr>
                <w:rFonts w:ascii="Aptos" w:hAnsi="Aptos"/>
                <w:sz w:val="19"/>
              </w:rPr>
              <w:t>Named quoters/admins</w:t>
            </w:r>
          </w:p>
        </w:tc>
        <w:tc>
          <w:tcPr>
            <w:tcW w:type="dxa" w:w="4896"/>
            <w:tcMar>
              <w:top w:w="80" w:type="dxa"/>
              <w:start w:w="100" w:type="dxa"/>
              <w:bottom w:w="80" w:type="dxa"/>
              <w:end w:w="100" w:type="dxa"/>
            </w:tcMar>
            <w:vAlign w:val="center"/>
          </w:tcPr>
          <w:p>
            <w:pPr>
              <w:spacing w:after="0" w:before="0"/>
            </w:pPr>
            <w:r>
              <w:rPr>
                <w:rFonts w:ascii="Aptos" w:hAnsi="Aptos"/>
                <w:sz w:val="19"/>
              </w:rPr>
              <w:t>id, username, display_name, role, active</w:t>
            </w:r>
          </w:p>
        </w:tc>
      </w:tr>
      <w:tr>
        <w:tc>
          <w:tcPr>
            <w:tcW w:type="dxa" w:w="1728"/>
            <w:tcMar>
              <w:top w:w="80" w:type="dxa"/>
              <w:start w:w="100" w:type="dxa"/>
              <w:bottom w:w="80" w:type="dxa"/>
              <w:end w:w="100" w:type="dxa"/>
            </w:tcMar>
            <w:vAlign w:val="center"/>
          </w:tcPr>
          <w:p>
            <w:pPr>
              <w:spacing w:after="0" w:before="0"/>
            </w:pPr>
            <w:r>
              <w:rPr>
                <w:rFonts w:ascii="Aptos" w:hAnsi="Aptos"/>
                <w:sz w:val="19"/>
              </w:rPr>
              <w:t>customers</w:t>
            </w:r>
          </w:p>
        </w:tc>
        <w:tc>
          <w:tcPr>
            <w:tcW w:type="dxa" w:w="3312"/>
            <w:tcMar>
              <w:top w:w="80" w:type="dxa"/>
              <w:start w:w="100" w:type="dxa"/>
              <w:bottom w:w="80" w:type="dxa"/>
              <w:end w:w="100" w:type="dxa"/>
            </w:tcMar>
            <w:vAlign w:val="center"/>
          </w:tcPr>
          <w:p>
            <w:pPr>
              <w:spacing w:after="0" w:before="0"/>
            </w:pPr>
            <w:r>
              <w:rPr>
                <w:rFonts w:ascii="Aptos" w:hAnsi="Aptos"/>
                <w:sz w:val="19"/>
              </w:rPr>
              <w:t>Customer master</w:t>
            </w:r>
          </w:p>
        </w:tc>
        <w:tc>
          <w:tcPr>
            <w:tcW w:type="dxa" w:w="4896"/>
            <w:tcMar>
              <w:top w:w="80" w:type="dxa"/>
              <w:start w:w="100" w:type="dxa"/>
              <w:bottom w:w="80" w:type="dxa"/>
              <w:end w:w="100" w:type="dxa"/>
            </w:tcMar>
            <w:vAlign w:val="center"/>
          </w:tcPr>
          <w:p>
            <w:pPr>
              <w:spacing w:after="0" w:before="0"/>
            </w:pPr>
            <w:r>
              <w:rPr>
                <w:rFonts w:ascii="Aptos" w:hAnsi="Aptos"/>
                <w:sz w:val="19"/>
              </w:rPr>
              <w:t>id, company, contact, address, phone/email, terms/status</w:t>
            </w:r>
          </w:p>
        </w:tc>
      </w:tr>
      <w:tr>
        <w:tc>
          <w:tcPr>
            <w:tcW w:type="dxa" w:w="1728"/>
            <w:tcMar>
              <w:top w:w="80" w:type="dxa"/>
              <w:start w:w="100" w:type="dxa"/>
              <w:bottom w:w="80" w:type="dxa"/>
              <w:end w:w="100" w:type="dxa"/>
            </w:tcMar>
            <w:vAlign w:val="center"/>
          </w:tcPr>
          <w:p>
            <w:pPr>
              <w:spacing w:after="0" w:before="0"/>
            </w:pPr>
            <w:r>
              <w:rPr>
                <w:rFonts w:ascii="Aptos" w:hAnsi="Aptos"/>
                <w:sz w:val="19"/>
              </w:rPr>
              <w:t>quotes</w:t>
            </w:r>
          </w:p>
        </w:tc>
        <w:tc>
          <w:tcPr>
            <w:tcW w:type="dxa" w:w="3312"/>
            <w:tcMar>
              <w:top w:w="80" w:type="dxa"/>
              <w:start w:w="100" w:type="dxa"/>
              <w:bottom w:w="80" w:type="dxa"/>
              <w:end w:w="100" w:type="dxa"/>
            </w:tcMar>
            <w:vAlign w:val="center"/>
          </w:tcPr>
          <w:p>
            <w:pPr>
              <w:spacing w:after="0" w:before="0"/>
            </w:pPr>
            <w:r>
              <w:rPr>
                <w:rFonts w:ascii="Aptos" w:hAnsi="Aptos"/>
                <w:sz w:val="19"/>
              </w:rPr>
              <w:t>One saved quote header</w:t>
            </w:r>
          </w:p>
        </w:tc>
        <w:tc>
          <w:tcPr>
            <w:tcW w:type="dxa" w:w="4896"/>
            <w:tcMar>
              <w:top w:w="80" w:type="dxa"/>
              <w:start w:w="100" w:type="dxa"/>
              <w:bottom w:w="80" w:type="dxa"/>
              <w:end w:w="100" w:type="dxa"/>
            </w:tcMar>
            <w:vAlign w:val="center"/>
          </w:tcPr>
          <w:p>
            <w:pPr>
              <w:spacing w:after="0" w:before="0"/>
            </w:pPr>
            <w:r>
              <w:rPr>
                <w:rFonts w:ascii="Aptos" w:hAnsi="Aptos"/>
                <w:sz w:val="19"/>
              </w:rPr>
              <w:t>id, quote_number, customer_id, owner_user_id, status, created_at, updated_at, pricing_version_id</w:t>
            </w:r>
          </w:p>
        </w:tc>
      </w:tr>
      <w:tr>
        <w:tc>
          <w:tcPr>
            <w:tcW w:type="dxa" w:w="1728"/>
            <w:tcMar>
              <w:top w:w="80" w:type="dxa"/>
              <w:start w:w="100" w:type="dxa"/>
              <w:bottom w:w="80" w:type="dxa"/>
              <w:end w:w="100" w:type="dxa"/>
            </w:tcMar>
            <w:vAlign w:val="center"/>
          </w:tcPr>
          <w:p>
            <w:pPr>
              <w:spacing w:after="0" w:before="0"/>
            </w:pPr>
            <w:r>
              <w:rPr>
                <w:rFonts w:ascii="Aptos" w:hAnsi="Aptos"/>
                <w:sz w:val="19"/>
              </w:rPr>
              <w:t>quote_cylinders</w:t>
            </w:r>
          </w:p>
        </w:tc>
        <w:tc>
          <w:tcPr>
            <w:tcW w:type="dxa" w:w="3312"/>
            <w:tcMar>
              <w:top w:w="80" w:type="dxa"/>
              <w:start w:w="100" w:type="dxa"/>
              <w:bottom w:w="80" w:type="dxa"/>
              <w:end w:w="100" w:type="dxa"/>
            </w:tcMar>
            <w:vAlign w:val="center"/>
          </w:tcPr>
          <w:p>
            <w:pPr>
              <w:spacing w:after="0" w:before="0"/>
            </w:pPr>
            <w:r>
              <w:rPr>
                <w:rFonts w:ascii="Aptos" w:hAnsi="Aptos"/>
                <w:sz w:val="19"/>
              </w:rPr>
              <w:t>One or more cylinder configurations per quote</w:t>
            </w:r>
          </w:p>
        </w:tc>
        <w:tc>
          <w:tcPr>
            <w:tcW w:type="dxa" w:w="4896"/>
            <w:tcMar>
              <w:top w:w="80" w:type="dxa"/>
              <w:start w:w="100" w:type="dxa"/>
              <w:bottom w:w="80" w:type="dxa"/>
              <w:end w:w="100" w:type="dxa"/>
            </w:tcMar>
            <w:vAlign w:val="center"/>
          </w:tcPr>
          <w:p>
            <w:pPr>
              <w:spacing w:after="0" w:before="0"/>
            </w:pPr>
            <w:r>
              <w:rPr>
                <w:rFonts w:ascii="Aptos" w:hAnsi="Aptos"/>
                <w:sz w:val="19"/>
              </w:rPr>
              <w:t>quote_id, line_no, all normalized selections, quantity, calculated prices, model_code</w:t>
            </w:r>
          </w:p>
        </w:tc>
      </w:tr>
      <w:tr>
        <w:tc>
          <w:tcPr>
            <w:tcW w:type="dxa" w:w="1728"/>
            <w:tcMar>
              <w:top w:w="80" w:type="dxa"/>
              <w:start w:w="100" w:type="dxa"/>
              <w:bottom w:w="80" w:type="dxa"/>
              <w:end w:w="100" w:type="dxa"/>
            </w:tcMar>
            <w:vAlign w:val="center"/>
          </w:tcPr>
          <w:p>
            <w:pPr>
              <w:spacing w:after="0" w:before="0"/>
            </w:pPr>
            <w:r>
              <w:rPr>
                <w:rFonts w:ascii="Aptos" w:hAnsi="Aptos"/>
                <w:sz w:val="19"/>
              </w:rPr>
              <w:t>quote_options</w:t>
            </w:r>
          </w:p>
        </w:tc>
        <w:tc>
          <w:tcPr>
            <w:tcW w:type="dxa" w:w="3312"/>
            <w:tcMar>
              <w:top w:w="80" w:type="dxa"/>
              <w:start w:w="100" w:type="dxa"/>
              <w:bottom w:w="80" w:type="dxa"/>
              <w:end w:w="100" w:type="dxa"/>
            </w:tcMar>
            <w:vAlign w:val="center"/>
          </w:tcPr>
          <w:p>
            <w:pPr>
              <w:spacing w:after="0" w:before="0"/>
            </w:pPr>
            <w:r>
              <w:rPr>
                <w:rFonts w:ascii="Aptos" w:hAnsi="Aptos"/>
                <w:sz w:val="19"/>
              </w:rPr>
              <w:t>Selected accessory/special/modification snapshot</w:t>
            </w:r>
          </w:p>
        </w:tc>
        <w:tc>
          <w:tcPr>
            <w:tcW w:type="dxa" w:w="4896"/>
            <w:tcMar>
              <w:top w:w="80" w:type="dxa"/>
              <w:start w:w="100" w:type="dxa"/>
              <w:bottom w:w="80" w:type="dxa"/>
              <w:end w:w="100" w:type="dxa"/>
            </w:tcMar>
            <w:vAlign w:val="center"/>
          </w:tcPr>
          <w:p>
            <w:pPr>
              <w:spacing w:after="0" w:before="0"/>
            </w:pPr>
            <w:r>
              <w:rPr>
                <w:rFonts w:ascii="Aptos" w:hAnsi="Aptos"/>
                <w:sz w:val="19"/>
              </w:rPr>
              <w:t>quote_cylinder_id, option_type, code, description, qty, unit_price, extended_price</w:t>
            </w:r>
          </w:p>
        </w:tc>
      </w:tr>
      <w:tr>
        <w:tc>
          <w:tcPr>
            <w:tcW w:type="dxa" w:w="1728"/>
            <w:tcMar>
              <w:top w:w="80" w:type="dxa"/>
              <w:start w:w="100" w:type="dxa"/>
              <w:bottom w:w="80" w:type="dxa"/>
              <w:end w:w="100" w:type="dxa"/>
            </w:tcMar>
            <w:vAlign w:val="center"/>
          </w:tcPr>
          <w:p>
            <w:pPr>
              <w:spacing w:after="0" w:before="0"/>
            </w:pPr>
            <w:r>
              <w:rPr>
                <w:rFonts w:ascii="Aptos" w:hAnsi="Aptos"/>
                <w:sz w:val="19"/>
              </w:rPr>
              <w:t>quote_engineering</w:t>
            </w:r>
          </w:p>
        </w:tc>
        <w:tc>
          <w:tcPr>
            <w:tcW w:type="dxa" w:w="3312"/>
            <w:tcMar>
              <w:top w:w="80" w:type="dxa"/>
              <w:start w:w="100" w:type="dxa"/>
              <w:bottom w:w="80" w:type="dxa"/>
              <w:end w:w="100" w:type="dxa"/>
            </w:tcMar>
            <w:vAlign w:val="center"/>
          </w:tcPr>
          <w:p>
            <w:pPr>
              <w:spacing w:after="0" w:before="0"/>
            </w:pPr>
            <w:r>
              <w:rPr>
                <w:rFonts w:ascii="Aptos" w:hAnsi="Aptos"/>
                <w:sz w:val="19"/>
              </w:rPr>
              <w:t>Engineering-result snapshot</w:t>
            </w:r>
          </w:p>
        </w:tc>
        <w:tc>
          <w:tcPr>
            <w:tcW w:type="dxa" w:w="4896"/>
            <w:tcMar>
              <w:top w:w="80" w:type="dxa"/>
              <w:start w:w="100" w:type="dxa"/>
              <w:bottom w:w="80" w:type="dxa"/>
              <w:end w:w="100" w:type="dxa"/>
            </w:tcMar>
            <w:vAlign w:val="center"/>
          </w:tcPr>
          <w:p>
            <w:pPr>
              <w:spacing w:after="0" w:before="0"/>
            </w:pPr>
            <w:r>
              <w:rPr>
                <w:rFonts w:ascii="Aptos" w:hAnsi="Aptos"/>
                <w:sz w:val="19"/>
              </w:rPr>
              <w:t>quote_cylinder_id, pressure, force, dimensions, weight, ratings</w:t>
            </w:r>
          </w:p>
        </w:tc>
      </w:tr>
      <w:tr>
        <w:tc>
          <w:tcPr>
            <w:tcW w:type="dxa" w:w="1728"/>
            <w:tcMar>
              <w:top w:w="80" w:type="dxa"/>
              <w:start w:w="100" w:type="dxa"/>
              <w:bottom w:w="80" w:type="dxa"/>
              <w:end w:w="100" w:type="dxa"/>
            </w:tcMar>
            <w:vAlign w:val="center"/>
          </w:tcPr>
          <w:p>
            <w:pPr>
              <w:spacing w:after="0" w:before="0"/>
            </w:pPr>
            <w:r>
              <w:rPr>
                <w:rFonts w:ascii="Aptos" w:hAnsi="Aptos"/>
                <w:sz w:val="19"/>
              </w:rPr>
              <w:t>pricing_versions</w:t>
            </w:r>
          </w:p>
        </w:tc>
        <w:tc>
          <w:tcPr>
            <w:tcW w:type="dxa" w:w="3312"/>
            <w:tcMar>
              <w:top w:w="80" w:type="dxa"/>
              <w:start w:w="100" w:type="dxa"/>
              <w:bottom w:w="80" w:type="dxa"/>
              <w:end w:w="100" w:type="dxa"/>
            </w:tcMar>
            <w:vAlign w:val="center"/>
          </w:tcPr>
          <w:p>
            <w:pPr>
              <w:spacing w:after="0" w:before="0"/>
            </w:pPr>
            <w:r>
              <w:rPr>
                <w:rFonts w:ascii="Aptos" w:hAnsi="Aptos"/>
                <w:sz w:val="19"/>
              </w:rPr>
              <w:t>Immutable price-book identity</w:t>
            </w:r>
          </w:p>
        </w:tc>
        <w:tc>
          <w:tcPr>
            <w:tcW w:type="dxa" w:w="4896"/>
            <w:tcMar>
              <w:top w:w="80" w:type="dxa"/>
              <w:start w:w="100" w:type="dxa"/>
              <w:bottom w:w="80" w:type="dxa"/>
              <w:end w:w="100" w:type="dxa"/>
            </w:tcMar>
            <w:vAlign w:val="center"/>
          </w:tcPr>
          <w:p>
            <w:pPr>
              <w:spacing w:after="0" w:before="0"/>
            </w:pPr>
            <w:r>
              <w:rPr>
                <w:rFonts w:ascii="Aptos" w:hAnsi="Aptos"/>
                <w:sz w:val="19"/>
              </w:rPr>
              <w:t>id, name/effective_date, created_by, active</w:t>
            </w:r>
          </w:p>
        </w:tc>
      </w:tr>
      <w:tr>
        <w:tc>
          <w:tcPr>
            <w:tcW w:type="dxa" w:w="1728"/>
            <w:tcMar>
              <w:top w:w="80" w:type="dxa"/>
              <w:start w:w="100" w:type="dxa"/>
              <w:bottom w:w="80" w:type="dxa"/>
              <w:end w:w="100" w:type="dxa"/>
            </w:tcMar>
            <w:vAlign w:val="center"/>
          </w:tcPr>
          <w:p>
            <w:pPr>
              <w:spacing w:after="0" w:before="0"/>
            </w:pPr>
            <w:r>
              <w:rPr>
                <w:rFonts w:ascii="Aptos" w:hAnsi="Aptos"/>
                <w:sz w:val="19"/>
              </w:rPr>
              <w:t>quote_documents</w:t>
            </w:r>
          </w:p>
        </w:tc>
        <w:tc>
          <w:tcPr>
            <w:tcW w:type="dxa" w:w="3312"/>
            <w:tcMar>
              <w:top w:w="80" w:type="dxa"/>
              <w:start w:w="100" w:type="dxa"/>
              <w:bottom w:w="80" w:type="dxa"/>
              <w:end w:w="100" w:type="dxa"/>
            </w:tcMar>
            <w:vAlign w:val="center"/>
          </w:tcPr>
          <w:p>
            <w:pPr>
              <w:spacing w:after="0" w:before="0"/>
            </w:pPr>
            <w:r>
              <w:rPr>
                <w:rFonts w:ascii="Aptos" w:hAnsi="Aptos"/>
                <w:sz w:val="19"/>
              </w:rPr>
              <w:t>Generated PDFs and metadata</w:t>
            </w:r>
          </w:p>
        </w:tc>
        <w:tc>
          <w:tcPr>
            <w:tcW w:type="dxa" w:w="4896"/>
            <w:tcMar>
              <w:top w:w="80" w:type="dxa"/>
              <w:start w:w="100" w:type="dxa"/>
              <w:bottom w:w="80" w:type="dxa"/>
              <w:end w:w="100" w:type="dxa"/>
            </w:tcMar>
            <w:vAlign w:val="center"/>
          </w:tcPr>
          <w:p>
            <w:pPr>
              <w:spacing w:after="0" w:before="0"/>
            </w:pPr>
            <w:r>
              <w:rPr>
                <w:rFonts w:ascii="Aptos" w:hAnsi="Aptos"/>
                <w:sz w:val="19"/>
              </w:rPr>
              <w:t>quote_id, document_type, path/blob reference, created_at</w:t>
            </w:r>
          </w:p>
        </w:tc>
      </w:tr>
    </w:tbl>
    <w:p>
      <w:pPr>
        <w:spacing w:after="40"/>
      </w:pPr>
    </w:p>
    <w:p>
      <w:r>
        <w:t>Critical principle: a saved quote must store a snapshot of the calculated prices/options and the pricing version used. If the price book changes later, an old quote must still reproduce exactly as originally issued.</w:t>
      </w:r>
    </w:p>
    <w:p>
      <w:pPr>
        <w:pStyle w:val="Heading1"/>
      </w:pPr>
      <w:r>
        <w:t>8. Quote Numbering and Concurrency</w:t>
      </w:r>
    </w:p>
    <w:p>
      <w:r>
        <w:t>The workbook does not provide a safe server-generated quote number and currently writes to a shared Quote History workbook. The new system should make quote creation a database transaction.</w:t>
      </w:r>
    </w:p>
    <w:p>
      <w:pPr>
        <w:pStyle w:val="ListNumber"/>
      </w:pPr>
      <w:r>
        <w:t>User clicks Save / Issue Quote.</w:t>
      </w:r>
    </w:p>
    <w:p>
      <w:pPr>
        <w:pStyle w:val="ListNumber"/>
      </w:pPr>
      <w:r>
        <w:t>Server opens a database transaction.</w:t>
      </w:r>
    </w:p>
    <w:p>
      <w:pPr>
        <w:pStyle w:val="ListNumber"/>
      </w:pPr>
      <w:r>
        <w:t>Server allocates the next quote number atomically.</w:t>
      </w:r>
    </w:p>
    <w:p>
      <w:pPr>
        <w:pStyle w:val="ListNumber"/>
      </w:pPr>
      <w:r>
        <w:t>Quote header, cylinder line(s), option snapshots, pricing results, and pricing version are written in the same transaction.</w:t>
      </w:r>
    </w:p>
    <w:p>
      <w:pPr>
        <w:pStyle w:val="ListNumber"/>
      </w:pPr>
      <w:r>
        <w:t>Transaction commits; only then is the customer PDF generated from the saved snapshot.</w:t>
      </w:r>
    </w:p>
    <w:p>
      <w:pPr>
        <w:pStyle w:val="ListNumber"/>
      </w:pPr>
      <w:r>
        <w:t>Other users can save at the same time without sharing worksheet state or colliding on a file lock.</w:t>
      </w:r>
    </w:p>
    <w:p>
      <w:r>
        <w:t>This directly replaces the VBA dependency on opening S:\Quotes - Server\Quote History.xlsx with ReadOnly:=False and eliminates the known lock-message failure mode.</w:t>
      </w:r>
    </w:p>
    <w:p>
      <w:pPr>
        <w:pStyle w:val="Heading1"/>
      </w:pPr>
      <w:r>
        <w:t>9. Web User Interface</w:t>
      </w:r>
    </w:p>
    <w:p>
      <w:r>
        <w:t>The first web screen should intentionally resemble the workflow users already know from OrderEntry, while improving validation and organization.</w:t>
      </w:r>
    </w:p>
    <w:tbl>
      <w:tblPr>
        <w:tblStyle w:val="TableGrid"/>
        <w:tblW w:type="auto" w:w="0"/>
        <w:jc w:val="center"/>
        <w:tblLook w:firstColumn="1" w:firstRow="1" w:lastColumn="0" w:lastRow="0" w:noHBand="0" w:noVBand="1" w:val="04A0"/>
      </w:tblPr>
      <w:tblGrid>
        <w:gridCol w:w="5083"/>
        <w:gridCol w:w="5083"/>
      </w:tblGrid>
      <w:tr>
        <w:tc>
          <w:tcPr>
            <w:tcW w:type="dxa" w:w="2448"/>
            <w:tcMar>
              <w:top w:w="80" w:type="dxa"/>
              <w:start w:w="100" w:type="dxa"/>
              <w:bottom w:w="80" w:type="dxa"/>
              <w:end w:w="100" w:type="dxa"/>
            </w:tcMar>
            <w:vAlign w:val="center"/>
            <w:shd w:fill="1F4E78"/>
          </w:tcPr>
          <w:p>
            <w:pPr>
              <w:spacing w:after="0" w:before="0"/>
            </w:pPr>
            <w:r>
              <w:rPr>
                <w:rFonts w:ascii="Aptos" w:hAnsi="Aptos"/>
                <w:b/>
                <w:color w:val="FFFFFF"/>
                <w:sz w:val="19"/>
              </w:rPr>
              <w:t>Screen / panel</w:t>
            </w:r>
          </w:p>
        </w:tc>
        <w:tc>
          <w:tcPr>
            <w:tcW w:type="dxa" w:w="6912"/>
            <w:tcMar>
              <w:top w:w="80" w:type="dxa"/>
              <w:start w:w="100" w:type="dxa"/>
              <w:bottom w:w="80" w:type="dxa"/>
              <w:end w:w="100" w:type="dxa"/>
            </w:tcMar>
            <w:vAlign w:val="center"/>
            <w:shd w:fill="1F4E78"/>
          </w:tcPr>
          <w:p>
            <w:pPr>
              <w:spacing w:after="0" w:before="0"/>
            </w:pPr>
            <w:r>
              <w:rPr>
                <w:rFonts w:ascii="Aptos" w:hAnsi="Aptos"/>
                <w:b/>
                <w:color w:val="FFFFFF"/>
                <w:sz w:val="19"/>
              </w:rPr>
              <w:t>Behavior</w:t>
            </w:r>
          </w:p>
        </w:tc>
      </w:tr>
      <w:tr>
        <w:tc>
          <w:tcPr>
            <w:tcW w:type="dxa" w:w="2448"/>
            <w:tcMar>
              <w:top w:w="80" w:type="dxa"/>
              <w:start w:w="100" w:type="dxa"/>
              <w:bottom w:w="80" w:type="dxa"/>
              <w:end w:w="100" w:type="dxa"/>
            </w:tcMar>
            <w:vAlign w:val="center"/>
          </w:tcPr>
          <w:p>
            <w:pPr>
              <w:spacing w:after="0" w:before="0"/>
            </w:pPr>
            <w:r>
              <w:rPr>
                <w:rFonts w:ascii="Aptos" w:hAnsi="Aptos"/>
                <w:sz w:val="19"/>
              </w:rPr>
              <w:t>Quote dashboard</w:t>
            </w:r>
          </w:p>
        </w:tc>
        <w:tc>
          <w:tcPr>
            <w:tcW w:type="dxa" w:w="6912"/>
            <w:tcMar>
              <w:top w:w="80" w:type="dxa"/>
              <w:start w:w="100" w:type="dxa"/>
              <w:bottom w:w="80" w:type="dxa"/>
              <w:end w:w="100" w:type="dxa"/>
            </w:tcMar>
            <w:vAlign w:val="center"/>
          </w:tcPr>
          <w:p>
            <w:pPr>
              <w:spacing w:after="0" w:before="0"/>
            </w:pPr>
            <w:r>
              <w:rPr>
                <w:rFonts w:ascii="Aptos" w:hAnsi="Aptos"/>
                <w:sz w:val="19"/>
              </w:rPr>
              <w:t>New quote, search/open prior quotes, status, owner, customer, date.</w:t>
            </w:r>
          </w:p>
        </w:tc>
      </w:tr>
      <w:tr>
        <w:tc>
          <w:tcPr>
            <w:tcW w:type="dxa" w:w="2448"/>
            <w:tcMar>
              <w:top w:w="80" w:type="dxa"/>
              <w:start w:w="100" w:type="dxa"/>
              <w:bottom w:w="80" w:type="dxa"/>
              <w:end w:w="100" w:type="dxa"/>
            </w:tcMar>
            <w:vAlign w:val="center"/>
          </w:tcPr>
          <w:p>
            <w:pPr>
              <w:spacing w:after="0" w:before="0"/>
            </w:pPr>
            <w:r>
              <w:rPr>
                <w:rFonts w:ascii="Aptos" w:hAnsi="Aptos"/>
                <w:sz w:val="19"/>
              </w:rPr>
              <w:t>Customer panel</w:t>
            </w:r>
          </w:p>
        </w:tc>
        <w:tc>
          <w:tcPr>
            <w:tcW w:type="dxa" w:w="6912"/>
            <w:tcMar>
              <w:top w:w="80" w:type="dxa"/>
              <w:start w:w="100" w:type="dxa"/>
              <w:bottom w:w="80" w:type="dxa"/>
              <w:end w:w="100" w:type="dxa"/>
            </w:tcMar>
            <w:vAlign w:val="center"/>
          </w:tcPr>
          <w:p>
            <w:pPr>
              <w:spacing w:after="0" w:before="0"/>
            </w:pPr>
            <w:r>
              <w:rPr>
                <w:rFonts w:ascii="Aptos" w:hAnsi="Aptos"/>
                <w:sz w:val="19"/>
              </w:rPr>
              <w:t>Search existing customer; add/edit customer according to permissions.</w:t>
            </w:r>
          </w:p>
        </w:tc>
      </w:tr>
      <w:tr>
        <w:tc>
          <w:tcPr>
            <w:tcW w:type="dxa" w:w="2448"/>
            <w:tcMar>
              <w:top w:w="80" w:type="dxa"/>
              <w:start w:w="100" w:type="dxa"/>
              <w:bottom w:w="80" w:type="dxa"/>
              <w:end w:w="100" w:type="dxa"/>
            </w:tcMar>
            <w:vAlign w:val="center"/>
          </w:tcPr>
          <w:p>
            <w:pPr>
              <w:spacing w:after="0" w:before="0"/>
            </w:pPr>
            <w:r>
              <w:rPr>
                <w:rFonts w:ascii="Aptos" w:hAnsi="Aptos"/>
                <w:sz w:val="19"/>
              </w:rPr>
              <w:t>Cylinder configuration</w:t>
            </w:r>
          </w:p>
        </w:tc>
        <w:tc>
          <w:tcPr>
            <w:tcW w:type="dxa" w:w="6912"/>
            <w:tcMar>
              <w:top w:w="80" w:type="dxa"/>
              <w:start w:w="100" w:type="dxa"/>
              <w:bottom w:w="80" w:type="dxa"/>
              <w:end w:w="100" w:type="dxa"/>
            </w:tcMar>
            <w:vAlign w:val="center"/>
          </w:tcPr>
          <w:p>
            <w:pPr>
              <w:spacing w:after="0" w:before="0"/>
            </w:pPr>
            <w:r>
              <w:rPr>
                <w:rFonts w:ascii="Aptos" w:hAnsi="Aptos"/>
                <w:sz w:val="19"/>
              </w:rPr>
              <w:t>Series, mount, bore, stroke, rod, style, cushion, ports, seal, DRE, pressure and other recovered inputs.</w:t>
            </w:r>
          </w:p>
        </w:tc>
      </w:tr>
      <w:tr>
        <w:tc>
          <w:tcPr>
            <w:tcW w:type="dxa" w:w="2448"/>
            <w:tcMar>
              <w:top w:w="80" w:type="dxa"/>
              <w:start w:w="100" w:type="dxa"/>
              <w:bottom w:w="80" w:type="dxa"/>
              <w:end w:w="100" w:type="dxa"/>
            </w:tcMar>
            <w:vAlign w:val="center"/>
          </w:tcPr>
          <w:p>
            <w:pPr>
              <w:spacing w:after="0" w:before="0"/>
            </w:pPr>
            <w:r>
              <w:rPr>
                <w:rFonts w:ascii="Aptos" w:hAnsi="Aptos"/>
                <w:sz w:val="19"/>
              </w:rPr>
              <w:t>Accessories / modifications</w:t>
            </w:r>
          </w:p>
        </w:tc>
        <w:tc>
          <w:tcPr>
            <w:tcW w:type="dxa" w:w="6912"/>
            <w:tcMar>
              <w:top w:w="80" w:type="dxa"/>
              <w:start w:w="100" w:type="dxa"/>
              <w:bottom w:w="80" w:type="dxa"/>
              <w:end w:w="100" w:type="dxa"/>
            </w:tcMar>
            <w:vAlign w:val="center"/>
          </w:tcPr>
          <w:p>
            <w:pPr>
              <w:spacing w:after="0" w:before="0"/>
            </w:pPr>
            <w:r>
              <w:rPr>
                <w:rFonts w:ascii="Aptos" w:hAnsi="Aptos"/>
                <w:sz w:val="19"/>
              </w:rPr>
              <w:t>Standard accessories, special options, common modifications, position sensing and VA-specific choices with quantities where applicable.</w:t>
            </w:r>
          </w:p>
        </w:tc>
      </w:tr>
      <w:tr>
        <w:tc>
          <w:tcPr>
            <w:tcW w:type="dxa" w:w="2448"/>
            <w:tcMar>
              <w:top w:w="80" w:type="dxa"/>
              <w:start w:w="100" w:type="dxa"/>
              <w:bottom w:w="80" w:type="dxa"/>
              <w:end w:w="100" w:type="dxa"/>
            </w:tcMar>
            <w:vAlign w:val="center"/>
          </w:tcPr>
          <w:p>
            <w:pPr>
              <w:spacing w:after="0" w:before="0"/>
            </w:pPr>
            <w:r>
              <w:rPr>
                <w:rFonts w:ascii="Aptos" w:hAnsi="Aptos"/>
                <w:sz w:val="19"/>
              </w:rPr>
              <w:t>Live result panel</w:t>
            </w:r>
          </w:p>
        </w:tc>
        <w:tc>
          <w:tcPr>
            <w:tcW w:type="dxa" w:w="6912"/>
            <w:tcMar>
              <w:top w:w="80" w:type="dxa"/>
              <w:start w:w="100" w:type="dxa"/>
              <w:bottom w:w="80" w:type="dxa"/>
              <w:end w:w="100" w:type="dxa"/>
            </w:tcMar>
            <w:vAlign w:val="center"/>
          </w:tcPr>
          <w:p>
            <w:pPr>
              <w:spacing w:after="0" w:before="0"/>
            </w:pPr>
            <w:r>
              <w:rPr>
                <w:rFonts w:ascii="Aptos" w:hAnsi="Aptos"/>
                <w:sz w:val="19"/>
              </w:rPr>
              <w:t>Model code, Net Each, List, Discount, Expedited, Emergency, key engineering results and validation warnings.</w:t>
            </w:r>
          </w:p>
        </w:tc>
      </w:tr>
      <w:tr>
        <w:tc>
          <w:tcPr>
            <w:tcW w:type="dxa" w:w="2448"/>
            <w:tcMar>
              <w:top w:w="80" w:type="dxa"/>
              <w:start w:w="100" w:type="dxa"/>
              <w:bottom w:w="80" w:type="dxa"/>
              <w:end w:w="100" w:type="dxa"/>
            </w:tcMar>
            <w:vAlign w:val="center"/>
          </w:tcPr>
          <w:p>
            <w:pPr>
              <w:spacing w:after="0" w:before="0"/>
            </w:pPr>
            <w:r>
              <w:rPr>
                <w:rFonts w:ascii="Aptos" w:hAnsi="Aptos"/>
                <w:sz w:val="19"/>
              </w:rPr>
              <w:t>Quote preview</w:t>
            </w:r>
          </w:p>
        </w:tc>
        <w:tc>
          <w:tcPr>
            <w:tcW w:type="dxa" w:w="6912"/>
            <w:tcMar>
              <w:top w:w="80" w:type="dxa"/>
              <w:start w:w="100" w:type="dxa"/>
              <w:bottom w:w="80" w:type="dxa"/>
              <w:end w:w="100" w:type="dxa"/>
            </w:tcMar>
            <w:vAlign w:val="center"/>
          </w:tcPr>
          <w:p>
            <w:pPr>
              <w:spacing w:after="0" w:before="0"/>
            </w:pPr>
            <w:r>
              <w:rPr>
                <w:rFonts w:ascii="Aptos" w:hAnsi="Aptos"/>
                <w:sz w:val="19"/>
              </w:rPr>
              <w:t>Customer-facing layout corresponding to the old Quote Form A1:G43 boundary.</w:t>
            </w:r>
          </w:p>
        </w:tc>
      </w:tr>
      <w:tr>
        <w:tc>
          <w:tcPr>
            <w:tcW w:type="dxa" w:w="2448"/>
            <w:tcMar>
              <w:top w:w="80" w:type="dxa"/>
              <w:start w:w="100" w:type="dxa"/>
              <w:bottom w:w="80" w:type="dxa"/>
              <w:end w:w="100" w:type="dxa"/>
            </w:tcMar>
            <w:vAlign w:val="center"/>
          </w:tcPr>
          <w:p>
            <w:pPr>
              <w:spacing w:after="0" w:before="0"/>
            </w:pPr>
            <w:r>
              <w:rPr>
                <w:rFonts w:ascii="Aptos" w:hAnsi="Aptos"/>
                <w:sz w:val="19"/>
              </w:rPr>
              <w:t>Admin pricing</w:t>
            </w:r>
          </w:p>
        </w:tc>
        <w:tc>
          <w:tcPr>
            <w:tcW w:type="dxa" w:w="6912"/>
            <w:tcMar>
              <w:top w:w="80" w:type="dxa"/>
              <w:start w:w="100" w:type="dxa"/>
              <w:bottom w:w="80" w:type="dxa"/>
              <w:end w:w="100" w:type="dxa"/>
            </w:tcMar>
            <w:vAlign w:val="center"/>
          </w:tcPr>
          <w:p>
            <w:pPr>
              <w:spacing w:after="0" w:before="0"/>
            </w:pPr>
            <w:r>
              <w:rPr>
                <w:rFonts w:ascii="Aptos" w:hAnsi="Aptos"/>
                <w:sz w:val="19"/>
              </w:rPr>
              <w:t>Import/edit/publish price versions; restricted to admins.</w:t>
            </w:r>
          </w:p>
        </w:tc>
      </w:tr>
    </w:tbl>
    <w:p>
      <w:pPr>
        <w:spacing w:after="40"/>
      </w:pPr>
    </w:p>
    <w:p>
      <w:r>
        <w:t>Client-side JavaScript may request recalculation for responsiveness, but the server must remain the authoritative calculator. The browser should never be the only place where a price is calculated.</w:t>
      </w:r>
    </w:p>
    <w:p>
      <w:pPr>
        <w:pStyle w:val="Heading1"/>
      </w:pPr>
      <w:r>
        <w:t>10. Validation and Excel-Parity Test Plan</w:t>
      </w:r>
    </w:p>
    <w:p>
      <w:r>
        <w:t>The calculator is not complete when the screens look right. It is complete when a controlled test set proves the web engine reproduces the reference workbook.</w:t>
      </w:r>
    </w:p>
    <w:tbl>
      <w:tblPr>
        <w:tblStyle w:val="TableGrid"/>
        <w:tblW w:type="auto" w:w="0"/>
        <w:jc w:val="center"/>
        <w:tblLook w:firstColumn="1" w:firstRow="1" w:lastColumn="0" w:lastRow="0" w:noHBand="0" w:noVBand="1" w:val="04A0"/>
      </w:tblPr>
      <w:tblGrid>
        <w:gridCol w:w="5083"/>
        <w:gridCol w:w="5083"/>
      </w:tblGrid>
      <w:tr>
        <w:tc>
          <w:tcPr>
            <w:tcW w:type="dxa" w:w="2232"/>
            <w:tcMar>
              <w:top w:w="80" w:type="dxa"/>
              <w:start w:w="100" w:type="dxa"/>
              <w:bottom w:w="80" w:type="dxa"/>
              <w:end w:w="100" w:type="dxa"/>
            </w:tcMar>
            <w:vAlign w:val="center"/>
            <w:shd w:fill="1F4E78"/>
          </w:tcPr>
          <w:p>
            <w:pPr>
              <w:spacing w:after="0" w:before="0"/>
            </w:pPr>
            <w:r>
              <w:rPr>
                <w:rFonts w:ascii="Aptos" w:hAnsi="Aptos"/>
                <w:b/>
                <w:color w:val="FFFFFF"/>
                <w:sz w:val="19"/>
              </w:rPr>
              <w:t>Test group</w:t>
            </w:r>
          </w:p>
        </w:tc>
        <w:tc>
          <w:tcPr>
            <w:tcW w:type="dxa" w:w="7128"/>
            <w:tcMar>
              <w:top w:w="80" w:type="dxa"/>
              <w:start w:w="100" w:type="dxa"/>
              <w:bottom w:w="80" w:type="dxa"/>
              <w:end w:w="100" w:type="dxa"/>
            </w:tcMar>
            <w:vAlign w:val="center"/>
            <w:shd w:fill="1F4E78"/>
          </w:tcPr>
          <w:p>
            <w:pPr>
              <w:spacing w:after="0" w:before="0"/>
            </w:pPr>
            <w:r>
              <w:rPr>
                <w:rFonts w:ascii="Aptos" w:hAnsi="Aptos"/>
                <w:b/>
                <w:color w:val="FFFFFF"/>
                <w:sz w:val="19"/>
              </w:rPr>
              <w:t>Minimum coverage</w:t>
            </w:r>
          </w:p>
        </w:tc>
      </w:tr>
      <w:tr>
        <w:tc>
          <w:tcPr>
            <w:tcW w:type="dxa" w:w="2232"/>
            <w:tcMar>
              <w:top w:w="80" w:type="dxa"/>
              <w:start w:w="100" w:type="dxa"/>
              <w:bottom w:w="80" w:type="dxa"/>
              <w:end w:w="100" w:type="dxa"/>
            </w:tcMar>
            <w:vAlign w:val="center"/>
          </w:tcPr>
          <w:p>
            <w:pPr>
              <w:spacing w:after="0" w:before="0"/>
            </w:pPr>
            <w:r>
              <w:rPr>
                <w:rFonts w:ascii="Aptos" w:hAnsi="Aptos"/>
                <w:sz w:val="19"/>
              </w:rPr>
              <w:t>Primary families</w:t>
            </w:r>
          </w:p>
        </w:tc>
        <w:tc>
          <w:tcPr>
            <w:tcW w:type="dxa" w:w="7128"/>
            <w:tcMar>
              <w:top w:w="80" w:type="dxa"/>
              <w:start w:w="100" w:type="dxa"/>
              <w:bottom w:w="80" w:type="dxa"/>
              <w:end w:w="100" w:type="dxa"/>
            </w:tcMar>
            <w:vAlign w:val="center"/>
          </w:tcPr>
          <w:p>
            <w:pPr>
              <w:spacing w:after="0" w:before="0"/>
            </w:pPr>
            <w:r>
              <w:rPr>
                <w:rFonts w:ascii="Aptos" w:hAnsi="Aptos"/>
                <w:sz w:val="19"/>
              </w:rPr>
              <w:t>At least H, HM, W, A, LH, MH, IH, IHM, IMH and VA where supported.</w:t>
            </w:r>
          </w:p>
        </w:tc>
      </w:tr>
      <w:tr>
        <w:tc>
          <w:tcPr>
            <w:tcW w:type="dxa" w:w="2232"/>
            <w:tcMar>
              <w:top w:w="80" w:type="dxa"/>
              <w:start w:w="100" w:type="dxa"/>
              <w:bottom w:w="80" w:type="dxa"/>
              <w:end w:w="100" w:type="dxa"/>
            </w:tcMar>
            <w:vAlign w:val="center"/>
          </w:tcPr>
          <w:p>
            <w:pPr>
              <w:spacing w:after="0" w:before="0"/>
            </w:pPr>
            <w:r>
              <w:rPr>
                <w:rFonts w:ascii="Aptos" w:hAnsi="Aptos"/>
                <w:sz w:val="19"/>
              </w:rPr>
              <w:t>Mount buckets</w:t>
            </w:r>
          </w:p>
        </w:tc>
        <w:tc>
          <w:tcPr>
            <w:tcW w:type="dxa" w:w="7128"/>
            <w:tcMar>
              <w:top w:w="80" w:type="dxa"/>
              <w:start w:w="100" w:type="dxa"/>
              <w:bottom w:w="80" w:type="dxa"/>
              <w:end w:w="100" w:type="dxa"/>
            </w:tcMar>
            <w:vAlign w:val="center"/>
          </w:tcPr>
          <w:p>
            <w:pPr>
              <w:spacing w:after="0" w:before="0"/>
            </w:pPr>
            <w:r>
              <w:rPr>
                <w:rFonts w:ascii="Aptos" w:hAnsi="Aptos"/>
                <w:sz w:val="19"/>
              </w:rPr>
              <w:t>At least one example from every recovered mount bucket per applicable family.</w:t>
            </w:r>
          </w:p>
        </w:tc>
      </w:tr>
      <w:tr>
        <w:tc>
          <w:tcPr>
            <w:tcW w:type="dxa" w:w="2232"/>
            <w:tcMar>
              <w:top w:w="80" w:type="dxa"/>
              <w:start w:w="100" w:type="dxa"/>
              <w:bottom w:w="80" w:type="dxa"/>
              <w:end w:w="100" w:type="dxa"/>
            </w:tcMar>
            <w:vAlign w:val="center"/>
          </w:tcPr>
          <w:p>
            <w:pPr>
              <w:spacing w:after="0" w:before="0"/>
            </w:pPr>
            <w:r>
              <w:rPr>
                <w:rFonts w:ascii="Aptos" w:hAnsi="Aptos"/>
                <w:sz w:val="19"/>
              </w:rPr>
              <w:t>Bore/rod rows</w:t>
            </w:r>
          </w:p>
        </w:tc>
        <w:tc>
          <w:tcPr>
            <w:tcW w:type="dxa" w:w="7128"/>
            <w:tcMar>
              <w:top w:w="80" w:type="dxa"/>
              <w:start w:w="100" w:type="dxa"/>
              <w:bottom w:w="80" w:type="dxa"/>
              <w:end w:w="100" w:type="dxa"/>
            </w:tcMar>
            <w:vAlign w:val="center"/>
          </w:tcPr>
          <w:p>
            <w:pPr>
              <w:spacing w:after="0" w:before="0"/>
            </w:pPr>
            <w:r>
              <w:rPr>
                <w:rFonts w:ascii="Aptos" w:hAnsi="Aptos"/>
                <w:sz w:val="19"/>
              </w:rPr>
              <w:t>Boundary and representative rows from every price table.</w:t>
            </w:r>
          </w:p>
        </w:tc>
      </w:tr>
      <w:tr>
        <w:tc>
          <w:tcPr>
            <w:tcW w:type="dxa" w:w="2232"/>
            <w:tcMar>
              <w:top w:w="80" w:type="dxa"/>
              <w:start w:w="100" w:type="dxa"/>
              <w:bottom w:w="80" w:type="dxa"/>
              <w:end w:w="100" w:type="dxa"/>
            </w:tcMar>
            <w:vAlign w:val="center"/>
          </w:tcPr>
          <w:p>
            <w:pPr>
              <w:spacing w:after="0" w:before="0"/>
            </w:pPr>
            <w:r>
              <w:rPr>
                <w:rFonts w:ascii="Aptos" w:hAnsi="Aptos"/>
                <w:sz w:val="19"/>
              </w:rPr>
              <w:t>Stroke</w:t>
            </w:r>
          </w:p>
        </w:tc>
        <w:tc>
          <w:tcPr>
            <w:tcW w:type="dxa" w:w="7128"/>
            <w:tcMar>
              <w:top w:w="80" w:type="dxa"/>
              <w:start w:w="100" w:type="dxa"/>
              <w:bottom w:w="80" w:type="dxa"/>
              <w:end w:w="100" w:type="dxa"/>
            </w:tcMar>
            <w:vAlign w:val="center"/>
          </w:tcPr>
          <w:p>
            <w:pPr>
              <w:spacing w:after="0" w:before="0"/>
            </w:pPr>
            <w:r>
              <w:rPr>
                <w:rFonts w:ascii="Aptos" w:hAnsi="Aptos"/>
                <w:sz w:val="19"/>
              </w:rPr>
              <w:t>Zero/minimum, fractional, ordinary, and long strokes; explicitly verify Excel ROUNDUP behavior.</w:t>
            </w:r>
          </w:p>
        </w:tc>
      </w:tr>
      <w:tr>
        <w:tc>
          <w:tcPr>
            <w:tcW w:type="dxa" w:w="2232"/>
            <w:tcMar>
              <w:top w:w="80" w:type="dxa"/>
              <w:start w:w="100" w:type="dxa"/>
              <w:bottom w:w="80" w:type="dxa"/>
              <w:end w:w="100" w:type="dxa"/>
            </w:tcMar>
            <w:vAlign w:val="center"/>
          </w:tcPr>
          <w:p>
            <w:pPr>
              <w:spacing w:after="0" w:before="0"/>
            </w:pPr>
            <w:r>
              <w:rPr>
                <w:rFonts w:ascii="Aptos" w:hAnsi="Aptos"/>
                <w:sz w:val="19"/>
              </w:rPr>
              <w:t>Cushions</w:t>
            </w:r>
          </w:p>
        </w:tc>
        <w:tc>
          <w:tcPr>
            <w:tcW w:type="dxa" w:w="7128"/>
            <w:tcMar>
              <w:top w:w="80" w:type="dxa"/>
              <w:start w:w="100" w:type="dxa"/>
              <w:bottom w:w="80" w:type="dxa"/>
              <w:end w:w="100" w:type="dxa"/>
            </w:tcMar>
            <w:vAlign w:val="center"/>
          </w:tcPr>
          <w:p>
            <w:pPr>
              <w:spacing w:after="0" w:before="0"/>
            </w:pPr>
            <w:r>
              <w:rPr>
                <w:rFonts w:ascii="Aptos" w:hAnsi="Aptos"/>
                <w:sz w:val="19"/>
              </w:rPr>
              <w:t>NC, RE, CE, BE and the advanced codes supported by family.</w:t>
            </w:r>
          </w:p>
        </w:tc>
      </w:tr>
      <w:tr>
        <w:tc>
          <w:tcPr>
            <w:tcW w:type="dxa" w:w="2232"/>
            <w:tcMar>
              <w:top w:w="80" w:type="dxa"/>
              <w:start w:w="100" w:type="dxa"/>
              <w:bottom w:w="80" w:type="dxa"/>
              <w:end w:w="100" w:type="dxa"/>
            </w:tcMar>
            <w:vAlign w:val="center"/>
          </w:tcPr>
          <w:p>
            <w:pPr>
              <w:spacing w:after="0" w:before="0"/>
            </w:pPr>
            <w:r>
              <w:rPr>
                <w:rFonts w:ascii="Aptos" w:hAnsi="Aptos"/>
                <w:sz w:val="19"/>
              </w:rPr>
              <w:t>DRE</w:t>
            </w:r>
          </w:p>
        </w:tc>
        <w:tc>
          <w:tcPr>
            <w:tcW w:type="dxa" w:w="7128"/>
            <w:tcMar>
              <w:top w:w="80" w:type="dxa"/>
              <w:start w:w="100" w:type="dxa"/>
              <w:bottom w:w="80" w:type="dxa"/>
              <w:end w:w="100" w:type="dxa"/>
            </w:tcMar>
            <w:vAlign w:val="center"/>
          </w:tcPr>
          <w:p>
            <w:pPr>
              <w:spacing w:after="0" w:before="0"/>
            </w:pPr>
            <w:r>
              <w:rPr>
                <w:rFonts w:ascii="Aptos" w:hAnsi="Aptos"/>
                <w:sz w:val="19"/>
              </w:rPr>
              <w:t>Same cylinder with/without DRE; verify surcharge is exactly 65% of base only.</w:t>
            </w:r>
          </w:p>
        </w:tc>
      </w:tr>
      <w:tr>
        <w:tc>
          <w:tcPr>
            <w:tcW w:type="dxa" w:w="2232"/>
            <w:tcMar>
              <w:top w:w="80" w:type="dxa"/>
              <w:start w:w="100" w:type="dxa"/>
              <w:bottom w:w="80" w:type="dxa"/>
              <w:end w:w="100" w:type="dxa"/>
            </w:tcMar>
            <w:vAlign w:val="center"/>
          </w:tcPr>
          <w:p>
            <w:pPr>
              <w:spacing w:after="0" w:before="0"/>
            </w:pPr>
            <w:r>
              <w:rPr>
                <w:rFonts w:ascii="Aptos" w:hAnsi="Aptos"/>
                <w:sz w:val="19"/>
              </w:rPr>
              <w:t>Discount</w:t>
            </w:r>
          </w:p>
        </w:tc>
        <w:tc>
          <w:tcPr>
            <w:tcW w:type="dxa" w:w="7128"/>
            <w:tcMar>
              <w:top w:w="80" w:type="dxa"/>
              <w:start w:w="100" w:type="dxa"/>
              <w:bottom w:w="80" w:type="dxa"/>
              <w:end w:w="100" w:type="dxa"/>
            </w:tcMar>
            <w:vAlign w:val="center"/>
          </w:tcPr>
          <w:p>
            <w:pPr>
              <w:spacing w:after="0" w:before="0"/>
            </w:pPr>
            <w:r>
              <w:rPr>
                <w:rFonts w:ascii="Aptos" w:hAnsi="Aptos"/>
                <w:sz w:val="19"/>
              </w:rPr>
              <w:t>0%, ordinary discount, edge cases near 100% validation limits.</w:t>
            </w:r>
          </w:p>
        </w:tc>
      </w:tr>
      <w:tr>
        <w:tc>
          <w:tcPr>
            <w:tcW w:type="dxa" w:w="2232"/>
            <w:tcMar>
              <w:top w:w="80" w:type="dxa"/>
              <w:start w:w="100" w:type="dxa"/>
              <w:bottom w:w="80" w:type="dxa"/>
              <w:end w:w="100" w:type="dxa"/>
            </w:tcMar>
            <w:vAlign w:val="center"/>
          </w:tcPr>
          <w:p>
            <w:pPr>
              <w:spacing w:after="0" w:before="0"/>
            </w:pPr>
            <w:r>
              <w:rPr>
                <w:rFonts w:ascii="Aptos" w:hAnsi="Aptos"/>
                <w:sz w:val="19"/>
              </w:rPr>
              <w:t>W series</w:t>
            </w:r>
          </w:p>
        </w:tc>
        <w:tc>
          <w:tcPr>
            <w:tcW w:type="dxa" w:w="7128"/>
            <w:tcMar>
              <w:top w:w="80" w:type="dxa"/>
              <w:start w:w="100" w:type="dxa"/>
              <w:bottom w:w="80" w:type="dxa"/>
              <w:end w:w="100" w:type="dxa"/>
            </w:tcMar>
            <w:vAlign w:val="center"/>
          </w:tcPr>
          <w:p>
            <w:pPr>
              <w:spacing w:after="0" w:before="0"/>
            </w:pPr>
            <w:r>
              <w:rPr>
                <w:rFonts w:ascii="Aptos" w:hAnsi="Aptos"/>
                <w:sz w:val="19"/>
              </w:rPr>
              <w:t>Verify separate 15% Quote Form reduction and resulting profit-display discrepancy.</w:t>
            </w:r>
          </w:p>
        </w:tc>
      </w:tr>
      <w:tr>
        <w:tc>
          <w:tcPr>
            <w:tcW w:type="dxa" w:w="2232"/>
            <w:tcMar>
              <w:top w:w="80" w:type="dxa"/>
              <w:start w:w="100" w:type="dxa"/>
              <w:bottom w:w="80" w:type="dxa"/>
              <w:end w:w="100" w:type="dxa"/>
            </w:tcMar>
            <w:vAlign w:val="center"/>
          </w:tcPr>
          <w:p>
            <w:pPr>
              <w:spacing w:after="0" w:before="0"/>
            </w:pPr>
            <w:r>
              <w:rPr>
                <w:rFonts w:ascii="Aptos" w:hAnsi="Aptos"/>
                <w:sz w:val="19"/>
              </w:rPr>
              <w:t>Options</w:t>
            </w:r>
          </w:p>
        </w:tc>
        <w:tc>
          <w:tcPr>
            <w:tcW w:type="dxa" w:w="7128"/>
            <w:tcMar>
              <w:top w:w="80" w:type="dxa"/>
              <w:start w:w="100" w:type="dxa"/>
              <w:bottom w:w="80" w:type="dxa"/>
              <w:end w:w="100" w:type="dxa"/>
            </w:tcMar>
            <w:vAlign w:val="center"/>
          </w:tcPr>
          <w:p>
            <w:pPr>
              <w:spacing w:after="0" w:before="0"/>
            </w:pPr>
            <w:r>
              <w:rPr>
                <w:rFonts w:ascii="Aptos" w:hAnsi="Aptos"/>
                <w:sz w:val="19"/>
              </w:rPr>
              <w:t>Each accessory family, free-form special option, common modification, PH and VA option at least once.</w:t>
            </w:r>
          </w:p>
        </w:tc>
      </w:tr>
      <w:tr>
        <w:tc>
          <w:tcPr>
            <w:tcW w:type="dxa" w:w="2232"/>
            <w:tcMar>
              <w:top w:w="80" w:type="dxa"/>
              <w:start w:w="100" w:type="dxa"/>
              <w:bottom w:w="80" w:type="dxa"/>
              <w:end w:w="100" w:type="dxa"/>
            </w:tcMar>
            <w:vAlign w:val="center"/>
          </w:tcPr>
          <w:p>
            <w:pPr>
              <w:spacing w:after="0" w:before="0"/>
            </w:pPr>
            <w:r>
              <w:rPr>
                <w:rFonts w:ascii="Aptos" w:hAnsi="Aptos"/>
                <w:sz w:val="19"/>
              </w:rPr>
              <w:t>Pricing tiers</w:t>
            </w:r>
          </w:p>
        </w:tc>
        <w:tc>
          <w:tcPr>
            <w:tcW w:type="dxa" w:w="7128"/>
            <w:tcMar>
              <w:top w:w="80" w:type="dxa"/>
              <w:start w:w="100" w:type="dxa"/>
              <w:bottom w:w="80" w:type="dxa"/>
              <w:end w:w="100" w:type="dxa"/>
            </w:tcMar>
            <w:vAlign w:val="center"/>
          </w:tcPr>
          <w:p>
            <w:pPr>
              <w:spacing w:after="0" w:before="0"/>
            </w:pPr>
            <w:r>
              <w:rPr>
                <w:rFonts w:ascii="Aptos" w:hAnsi="Aptos"/>
                <w:sz w:val="19"/>
              </w:rPr>
              <w:t>Net Each below, equal to, and above $1,000 for expedited logic.</w:t>
            </w:r>
          </w:p>
        </w:tc>
      </w:tr>
      <w:tr>
        <w:tc>
          <w:tcPr>
            <w:tcW w:type="dxa" w:w="2232"/>
            <w:tcMar>
              <w:top w:w="80" w:type="dxa"/>
              <w:start w:w="100" w:type="dxa"/>
              <w:bottom w:w="80" w:type="dxa"/>
              <w:end w:w="100" w:type="dxa"/>
            </w:tcMar>
            <w:vAlign w:val="center"/>
          </w:tcPr>
          <w:p>
            <w:pPr>
              <w:spacing w:after="0" w:before="0"/>
            </w:pPr>
            <w:r>
              <w:rPr>
                <w:rFonts w:ascii="Aptos" w:hAnsi="Aptos"/>
                <w:sz w:val="19"/>
              </w:rPr>
              <w:t>Regression set</w:t>
            </w:r>
          </w:p>
        </w:tc>
        <w:tc>
          <w:tcPr>
            <w:tcW w:type="dxa" w:w="7128"/>
            <w:tcMar>
              <w:top w:w="80" w:type="dxa"/>
              <w:start w:w="100" w:type="dxa"/>
              <w:bottom w:w="80" w:type="dxa"/>
              <w:end w:w="100" w:type="dxa"/>
            </w:tcMar>
            <w:vAlign w:val="center"/>
          </w:tcPr>
          <w:p>
            <w:pPr>
              <w:spacing w:after="0" w:before="0"/>
            </w:pPr>
            <w:r>
              <w:rPr>
                <w:rFonts w:ascii="Aptos" w:hAnsi="Aptos"/>
                <w:sz w:val="19"/>
              </w:rPr>
              <w:t>A fixed library of real historical quotes whose model code and all final prices must match Excel exactly.</w:t>
            </w:r>
          </w:p>
        </w:tc>
      </w:tr>
    </w:tbl>
    <w:p>
      <w:pPr>
        <w:spacing w:after="40"/>
      </w:pPr>
    </w:p>
    <w:p>
      <w:r>
        <w:t>Acceptance criterion for the pricing engine: every approved regression quote must match the workbook outputs for model code, Net Each, List, Expedited and Emergency. Any intentional difference must be documented and approved as a business-rule change, not silently introduced during conversion.</w:t>
      </w:r>
    </w:p>
    <w:p>
      <w:pPr>
        <w:pStyle w:val="Heading1"/>
      </w:pPr>
      <w:r>
        <w:t>11. Known Legacy Issues / Decisions Before Go-Live</w:t>
      </w:r>
    </w:p>
    <w:tbl>
      <w:tblPr>
        <w:tblStyle w:val="TableGrid"/>
        <w:tblW w:type="auto" w:w="0"/>
        <w:jc w:val="center"/>
        <w:tblLook w:firstColumn="1" w:firstRow="1" w:lastColumn="0" w:lastRow="0" w:noHBand="0" w:noVBand="1" w:val="04A0"/>
      </w:tblPr>
      <w:tblGrid>
        <w:gridCol w:w="3389"/>
        <w:gridCol w:w="3389"/>
        <w:gridCol w:w="3389"/>
      </w:tblGrid>
      <w:tr>
        <w:tc>
          <w:tcPr>
            <w:tcW w:type="dxa" w:w="1944"/>
            <w:tcMar>
              <w:top w:w="80" w:type="dxa"/>
              <w:start w:w="100" w:type="dxa"/>
              <w:bottom w:w="80" w:type="dxa"/>
              <w:end w:w="100" w:type="dxa"/>
            </w:tcMar>
            <w:vAlign w:val="center"/>
            <w:shd w:fill="1F4E78"/>
          </w:tcPr>
          <w:p>
            <w:pPr>
              <w:spacing w:after="0" w:before="0"/>
            </w:pPr>
            <w:r>
              <w:rPr>
                <w:rFonts w:ascii="Aptos" w:hAnsi="Aptos"/>
                <w:b/>
                <w:color w:val="FFFFFF"/>
                <w:sz w:val="19"/>
              </w:rPr>
              <w:t>Issue</w:t>
            </w:r>
          </w:p>
        </w:tc>
        <w:tc>
          <w:tcPr>
            <w:tcW w:type="dxa" w:w="3960"/>
            <w:tcMar>
              <w:top w:w="80" w:type="dxa"/>
              <w:start w:w="100" w:type="dxa"/>
              <w:bottom w:w="80" w:type="dxa"/>
              <w:end w:w="100" w:type="dxa"/>
            </w:tcMar>
            <w:vAlign w:val="center"/>
            <w:shd w:fill="1F4E78"/>
          </w:tcPr>
          <w:p>
            <w:pPr>
              <w:spacing w:after="0" w:before="0"/>
            </w:pPr>
            <w:r>
              <w:rPr>
                <w:rFonts w:ascii="Aptos" w:hAnsi="Aptos"/>
                <w:b/>
                <w:color w:val="FFFFFF"/>
                <w:sz w:val="19"/>
              </w:rPr>
              <w:t>Current understanding</w:t>
            </w:r>
          </w:p>
        </w:tc>
        <w:tc>
          <w:tcPr>
            <w:tcW w:type="dxa" w:w="4896"/>
            <w:tcMar>
              <w:top w:w="80" w:type="dxa"/>
              <w:start w:w="100" w:type="dxa"/>
              <w:bottom w:w="80" w:type="dxa"/>
              <w:end w:w="100" w:type="dxa"/>
            </w:tcMar>
            <w:vAlign w:val="center"/>
            <w:shd w:fill="1F4E78"/>
          </w:tcPr>
          <w:p>
            <w:pPr>
              <w:spacing w:after="0" w:before="0"/>
            </w:pPr>
            <w:r>
              <w:rPr>
                <w:rFonts w:ascii="Aptos" w:hAnsi="Aptos"/>
                <w:b/>
                <w:color w:val="FFFFFF"/>
                <w:sz w:val="19"/>
              </w:rPr>
              <w:t>Build treatment</w:t>
            </w:r>
          </w:p>
        </w:tc>
      </w:tr>
      <w:tr>
        <w:tc>
          <w:tcPr>
            <w:tcW w:type="dxa" w:w="1944"/>
            <w:tcMar>
              <w:top w:w="80" w:type="dxa"/>
              <w:start w:w="100" w:type="dxa"/>
              <w:bottom w:w="80" w:type="dxa"/>
              <w:end w:w="100" w:type="dxa"/>
            </w:tcMar>
            <w:vAlign w:val="center"/>
          </w:tcPr>
          <w:p>
            <w:pPr>
              <w:spacing w:after="0" w:before="0"/>
            </w:pPr>
            <w:r>
              <w:rPr>
                <w:rFonts w:ascii="Aptos" w:hAnsi="Aptos"/>
                <w:sz w:val="19"/>
              </w:rPr>
              <w:t>Stroke ROUNDUP expression</w:t>
            </w:r>
          </w:p>
        </w:tc>
        <w:tc>
          <w:tcPr>
            <w:tcW w:type="dxa" w:w="3960"/>
            <w:tcMar>
              <w:top w:w="80" w:type="dxa"/>
              <w:start w:w="100" w:type="dxa"/>
              <w:bottom w:w="80" w:type="dxa"/>
              <w:end w:w="100" w:type="dxa"/>
            </w:tcMar>
            <w:vAlign w:val="center"/>
          </w:tcPr>
          <w:p>
            <w:pPr>
              <w:spacing w:after="0" w:before="0"/>
            </w:pPr>
            <w:r>
              <w:rPr>
                <w:rFonts w:ascii="Aptos" w:hAnsi="Aptos"/>
                <w:sz w:val="19"/>
              </w:rPr>
              <w:t>Workbook uses ROUNDUP(Data!B8,0.1), an unusual expression.</w:t>
            </w:r>
          </w:p>
        </w:tc>
        <w:tc>
          <w:tcPr>
            <w:tcW w:type="dxa" w:w="4896"/>
            <w:tcMar>
              <w:top w:w="80" w:type="dxa"/>
              <w:start w:w="100" w:type="dxa"/>
              <w:bottom w:w="80" w:type="dxa"/>
              <w:end w:w="100" w:type="dxa"/>
            </w:tcMar>
            <w:vAlign w:val="center"/>
          </w:tcPr>
          <w:p>
            <w:pPr>
              <w:spacing w:after="0" w:before="0"/>
            </w:pPr>
            <w:r>
              <w:rPr>
                <w:rFonts w:ascii="Aptos" w:hAnsi="Aptos"/>
                <w:sz w:val="19"/>
              </w:rPr>
              <w:t>Create targeted Excel test cases and duplicate observed behavior exactly before simplifying.</w:t>
            </w:r>
          </w:p>
        </w:tc>
      </w:tr>
      <w:tr>
        <w:tc>
          <w:tcPr>
            <w:tcW w:type="dxa" w:w="1944"/>
            <w:tcMar>
              <w:top w:w="80" w:type="dxa"/>
              <w:start w:w="100" w:type="dxa"/>
              <w:bottom w:w="80" w:type="dxa"/>
              <w:end w:w="100" w:type="dxa"/>
            </w:tcMar>
            <w:vAlign w:val="center"/>
          </w:tcPr>
          <w:p>
            <w:pPr>
              <w:spacing w:after="0" w:before="0"/>
            </w:pPr>
            <w:r>
              <w:rPr>
                <w:rFonts w:ascii="Aptos" w:hAnsi="Aptos"/>
                <w:sz w:val="19"/>
              </w:rPr>
              <w:t>W-series presentation rule</w:t>
            </w:r>
          </w:p>
        </w:tc>
        <w:tc>
          <w:tcPr>
            <w:tcW w:type="dxa" w:w="3960"/>
            <w:tcMar>
              <w:top w:w="80" w:type="dxa"/>
              <w:start w:w="100" w:type="dxa"/>
              <w:bottom w:w="80" w:type="dxa"/>
              <w:end w:w="100" w:type="dxa"/>
            </w:tcMar>
            <w:vAlign w:val="center"/>
          </w:tcPr>
          <w:p>
            <w:pPr>
              <w:spacing w:after="0" w:before="0"/>
            </w:pPr>
            <w:r>
              <w:rPr>
                <w:rFonts w:ascii="Aptos" w:hAnsi="Aptos"/>
                <w:sz w:val="19"/>
              </w:rPr>
              <w:t>Quote Form reduces list by 15%; OrderEntry profit can differ from Quote Form profit.</w:t>
            </w:r>
          </w:p>
        </w:tc>
        <w:tc>
          <w:tcPr>
            <w:tcW w:type="dxa" w:w="4896"/>
            <w:tcMar>
              <w:top w:w="80" w:type="dxa"/>
              <w:start w:w="100" w:type="dxa"/>
              <w:bottom w:w="80" w:type="dxa"/>
              <w:end w:w="100" w:type="dxa"/>
            </w:tcMar>
            <w:vAlign w:val="center"/>
          </w:tcPr>
          <w:p>
            <w:pPr>
              <w:spacing w:after="0" w:before="0"/>
            </w:pPr>
            <w:r>
              <w:rPr>
                <w:rFonts w:ascii="Aptos" w:hAnsi="Aptos"/>
                <w:sz w:val="19"/>
              </w:rPr>
              <w:t>Preserve price behavior; decide which profit display should be authoritative in new internal UI.</w:t>
            </w:r>
          </w:p>
        </w:tc>
      </w:tr>
      <w:tr>
        <w:tc>
          <w:tcPr>
            <w:tcW w:type="dxa" w:w="1944"/>
            <w:tcMar>
              <w:top w:w="80" w:type="dxa"/>
              <w:start w:w="100" w:type="dxa"/>
              <w:bottom w:w="80" w:type="dxa"/>
              <w:end w:w="100" w:type="dxa"/>
            </w:tcMar>
            <w:vAlign w:val="center"/>
          </w:tcPr>
          <w:p>
            <w:pPr>
              <w:spacing w:after="0" w:before="0"/>
            </w:pPr>
            <w:r>
              <w:rPr>
                <w:rFonts w:ascii="Aptos" w:hAnsi="Aptos"/>
                <w:sz w:val="19"/>
              </w:rPr>
              <w:t>Reserved blank paths</w:t>
            </w:r>
          </w:p>
        </w:tc>
        <w:tc>
          <w:tcPr>
            <w:tcW w:type="dxa" w:w="3960"/>
            <w:tcMar>
              <w:top w:w="80" w:type="dxa"/>
              <w:start w:w="100" w:type="dxa"/>
              <w:bottom w:w="80" w:type="dxa"/>
              <w:end w:w="100" w:type="dxa"/>
            </w:tcMar>
            <w:vAlign w:val="center"/>
          </w:tcPr>
          <w:p>
            <w:pPr>
              <w:spacing w:after="0" w:before="0"/>
            </w:pPr>
            <w:r>
              <w:rPr>
                <w:rFonts w:ascii="Aptos" w:hAnsi="Aptos"/>
                <w:sz w:val="19"/>
              </w:rPr>
              <w:t>Data!C10, Data!H24, A4!O55 are referenced but blank.</w:t>
            </w:r>
          </w:p>
        </w:tc>
        <w:tc>
          <w:tcPr>
            <w:tcW w:type="dxa" w:w="4896"/>
            <w:tcMar>
              <w:top w:w="80" w:type="dxa"/>
              <w:start w:w="100" w:type="dxa"/>
              <w:bottom w:w="80" w:type="dxa"/>
              <w:end w:w="100" w:type="dxa"/>
            </w:tcMar>
            <w:vAlign w:val="center"/>
          </w:tcPr>
          <w:p>
            <w:pPr>
              <w:spacing w:after="0" w:before="0"/>
            </w:pPr>
            <w:r>
              <w:rPr>
                <w:rFonts w:ascii="Aptos" w:hAnsi="Aptos"/>
                <w:sz w:val="19"/>
              </w:rPr>
              <w:t>Keep reserved compatibility fields; do not price them until defined.</w:t>
            </w:r>
          </w:p>
        </w:tc>
      </w:tr>
      <w:tr>
        <w:tc>
          <w:tcPr>
            <w:tcW w:type="dxa" w:w="1944"/>
            <w:tcMar>
              <w:top w:w="80" w:type="dxa"/>
              <w:start w:w="100" w:type="dxa"/>
              <w:bottom w:w="80" w:type="dxa"/>
              <w:end w:w="100" w:type="dxa"/>
            </w:tcMar>
            <w:vAlign w:val="center"/>
          </w:tcPr>
          <w:p>
            <w:pPr>
              <w:spacing w:after="0" w:before="0"/>
            </w:pPr>
            <w:r>
              <w:rPr>
                <w:rFonts w:ascii="Aptos" w:hAnsi="Aptos"/>
                <w:sz w:val="19"/>
              </w:rPr>
              <w:t>Rod Style vs Extra Thread</w:t>
            </w:r>
          </w:p>
        </w:tc>
        <w:tc>
          <w:tcPr>
            <w:tcW w:type="dxa" w:w="3960"/>
            <w:tcMar>
              <w:top w:w="80" w:type="dxa"/>
              <w:start w:w="100" w:type="dxa"/>
              <w:bottom w:w="80" w:type="dxa"/>
              <w:end w:w="100" w:type="dxa"/>
            </w:tcMar>
            <w:vAlign w:val="center"/>
          </w:tcPr>
          <w:p>
            <w:pPr>
              <w:spacing w:after="0" w:before="0"/>
            </w:pPr>
            <w:r>
              <w:rPr>
                <w:rFonts w:ascii="Aptos" w:hAnsi="Aptos"/>
                <w:sz w:val="19"/>
              </w:rPr>
              <w:t>Special Threads description and priced Extra Thread input are separate proven paths.</w:t>
            </w:r>
          </w:p>
        </w:tc>
        <w:tc>
          <w:tcPr>
            <w:tcW w:type="dxa" w:w="4896"/>
            <w:tcMar>
              <w:top w:w="80" w:type="dxa"/>
              <w:start w:w="100" w:type="dxa"/>
              <w:bottom w:w="80" w:type="dxa"/>
              <w:end w:w="100" w:type="dxa"/>
            </w:tcMar>
            <w:vAlign w:val="center"/>
          </w:tcPr>
          <w:p>
            <w:pPr>
              <w:spacing w:after="0" w:before="0"/>
            </w:pPr>
            <w:r>
              <w:rPr>
                <w:rFonts w:ascii="Aptos" w:hAnsi="Aptos"/>
                <w:sz w:val="19"/>
              </w:rPr>
              <w:t>Keep separate fields/rules unless the business explicitly joins them.</w:t>
            </w:r>
          </w:p>
        </w:tc>
      </w:tr>
      <w:tr>
        <w:tc>
          <w:tcPr>
            <w:tcW w:type="dxa" w:w="1944"/>
            <w:tcMar>
              <w:top w:w="80" w:type="dxa"/>
              <w:start w:w="100" w:type="dxa"/>
              <w:bottom w:w="80" w:type="dxa"/>
              <w:end w:w="100" w:type="dxa"/>
            </w:tcMar>
            <w:vAlign w:val="center"/>
          </w:tcPr>
          <w:p>
            <w:pPr>
              <w:spacing w:after="0" w:before="0"/>
            </w:pPr>
            <w:r>
              <w:rPr>
                <w:rFonts w:ascii="Aptos" w:hAnsi="Aptos"/>
                <w:sz w:val="19"/>
              </w:rPr>
              <w:t>ControlSource flags in old report</w:t>
            </w:r>
          </w:p>
        </w:tc>
        <w:tc>
          <w:tcPr>
            <w:tcW w:type="dxa" w:w="3960"/>
            <w:tcMar>
              <w:top w:w="80" w:type="dxa"/>
              <w:start w:w="100" w:type="dxa"/>
              <w:bottom w:w="80" w:type="dxa"/>
              <w:end w:w="100" w:type="dxa"/>
            </w:tcMar>
            <w:vAlign w:val="center"/>
          </w:tcPr>
          <w:p>
            <w:pPr>
              <w:spacing w:after="0" w:before="0"/>
            </w:pPr>
            <w:r>
              <w:rPr>
                <w:rFonts w:ascii="Aptos" w:hAnsi="Aptos"/>
                <w:sz w:val="19"/>
              </w:rPr>
              <w:t>Stroke, DRE, Discount and special-option quantities were initially inferred.</w:t>
            </w:r>
          </w:p>
        </w:tc>
        <w:tc>
          <w:tcPr>
            <w:tcW w:type="dxa" w:w="4896"/>
            <w:tcMar>
              <w:top w:w="80" w:type="dxa"/>
              <w:start w:w="100" w:type="dxa"/>
              <w:bottom w:w="80" w:type="dxa"/>
              <w:end w:w="100" w:type="dxa"/>
            </w:tcMar>
            <w:vAlign w:val="center"/>
          </w:tcPr>
          <w:p>
            <w:pPr>
              <w:spacing w:after="0" w:before="0"/>
            </w:pPr>
            <w:r>
              <w:rPr>
                <w:rFonts w:ascii="Aptos" w:hAnsi="Aptos"/>
                <w:sz w:val="19"/>
              </w:rPr>
              <w:t>Treat as VERIFIED based on the later embedded UserForm ControlSource review; correct the consolidated master map before implementation.</w:t>
            </w:r>
          </w:p>
        </w:tc>
      </w:tr>
      <w:tr>
        <w:tc>
          <w:tcPr>
            <w:tcW w:type="dxa" w:w="1944"/>
            <w:tcMar>
              <w:top w:w="80" w:type="dxa"/>
              <w:start w:w="100" w:type="dxa"/>
              <w:bottom w:w="80" w:type="dxa"/>
              <w:end w:w="100" w:type="dxa"/>
            </w:tcMar>
            <w:vAlign w:val="center"/>
          </w:tcPr>
          <w:p>
            <w:pPr>
              <w:spacing w:after="0" w:before="0"/>
            </w:pPr>
            <w:r>
              <w:rPr>
                <w:rFonts w:ascii="Aptos" w:hAnsi="Aptos"/>
                <w:sz w:val="19"/>
              </w:rPr>
              <w:t>Quote numbering</w:t>
            </w:r>
          </w:p>
        </w:tc>
        <w:tc>
          <w:tcPr>
            <w:tcW w:type="dxa" w:w="3960"/>
            <w:tcMar>
              <w:top w:w="80" w:type="dxa"/>
              <w:start w:w="100" w:type="dxa"/>
              <w:bottom w:w="80" w:type="dxa"/>
              <w:end w:w="100" w:type="dxa"/>
            </w:tcMar>
            <w:vAlign w:val="center"/>
          </w:tcPr>
          <w:p>
            <w:pPr>
              <w:spacing w:after="0" w:before="0"/>
            </w:pPr>
            <w:r>
              <w:rPr>
                <w:rFonts w:ascii="Aptos" w:hAnsi="Aptos"/>
                <w:sz w:val="19"/>
              </w:rPr>
              <w:t>No safe VBA quote-number generator found.</w:t>
            </w:r>
          </w:p>
        </w:tc>
        <w:tc>
          <w:tcPr>
            <w:tcW w:type="dxa" w:w="4896"/>
            <w:tcMar>
              <w:top w:w="80" w:type="dxa"/>
              <w:start w:w="100" w:type="dxa"/>
              <w:bottom w:w="80" w:type="dxa"/>
              <w:end w:w="100" w:type="dxa"/>
            </w:tcMar>
            <w:vAlign w:val="center"/>
          </w:tcPr>
          <w:p>
            <w:pPr>
              <w:spacing w:after="0" w:before="0"/>
            </w:pPr>
            <w:r>
              <w:rPr>
                <w:rFonts w:ascii="Aptos" w:hAnsi="Aptos"/>
                <w:sz w:val="19"/>
              </w:rPr>
              <w:t>Generate in database transaction.</w:t>
            </w:r>
          </w:p>
        </w:tc>
      </w:tr>
      <w:tr>
        <w:tc>
          <w:tcPr>
            <w:tcW w:type="dxa" w:w="1944"/>
            <w:tcMar>
              <w:top w:w="80" w:type="dxa"/>
              <w:start w:w="100" w:type="dxa"/>
              <w:bottom w:w="80" w:type="dxa"/>
              <w:end w:w="100" w:type="dxa"/>
            </w:tcMar>
            <w:vAlign w:val="center"/>
          </w:tcPr>
          <w:p>
            <w:pPr>
              <w:spacing w:after="0" w:before="0"/>
            </w:pPr>
            <w:r>
              <w:rPr>
                <w:rFonts w:ascii="Aptos" w:hAnsi="Aptos"/>
                <w:sz w:val="19"/>
              </w:rPr>
              <w:t>External contacts/history</w:t>
            </w:r>
          </w:p>
        </w:tc>
        <w:tc>
          <w:tcPr>
            <w:tcW w:type="dxa" w:w="3960"/>
            <w:tcMar>
              <w:top w:w="80" w:type="dxa"/>
              <w:start w:w="100" w:type="dxa"/>
              <w:bottom w:w="80" w:type="dxa"/>
              <w:end w:w="100" w:type="dxa"/>
            </w:tcMar>
            <w:vAlign w:val="center"/>
          </w:tcPr>
          <w:p>
            <w:pPr>
              <w:spacing w:after="0" w:before="0"/>
            </w:pPr>
            <w:r>
              <w:rPr>
                <w:rFonts w:ascii="Aptos" w:hAnsi="Aptos"/>
                <w:sz w:val="19"/>
              </w:rPr>
              <w:t>S: drive workbooks are single-file dependencies.</w:t>
            </w:r>
          </w:p>
        </w:tc>
        <w:tc>
          <w:tcPr>
            <w:tcW w:type="dxa" w:w="4896"/>
            <w:tcMar>
              <w:top w:w="80" w:type="dxa"/>
              <w:start w:w="100" w:type="dxa"/>
              <w:bottom w:w="80" w:type="dxa"/>
              <w:end w:w="100" w:type="dxa"/>
            </w:tcMar>
            <w:vAlign w:val="center"/>
          </w:tcPr>
          <w:p>
            <w:pPr>
              <w:spacing w:after="0" w:before="0"/>
            </w:pPr>
            <w:r>
              <w:rPr>
                <w:rFonts w:ascii="Aptos" w:hAnsi="Aptos"/>
                <w:sz w:val="19"/>
              </w:rPr>
              <w:t>Import/migrate required records, then retire runtime dependence on those shared workbooks.</w:t>
            </w:r>
          </w:p>
        </w:tc>
      </w:tr>
    </w:tbl>
    <w:p>
      <w:pPr>
        <w:spacing w:after="40"/>
      </w:pPr>
    </w:p>
    <w:p>
      <w:pPr>
        <w:pStyle w:val="Heading1"/>
      </w:pPr>
      <w:r>
        <w:t>12. Recommended Build Sequence</w:t>
      </w:r>
    </w:p>
    <w:tbl>
      <w:tblPr>
        <w:tblStyle w:val="TableGrid"/>
        <w:tblW w:type="auto" w:w="0"/>
        <w:jc w:val="center"/>
        <w:tblLook w:firstColumn="1" w:firstRow="1" w:lastColumn="0" w:lastRow="0" w:noHBand="0" w:noVBand="1" w:val="04A0"/>
      </w:tblPr>
      <w:tblGrid>
        <w:gridCol w:w="3389"/>
        <w:gridCol w:w="3389"/>
        <w:gridCol w:w="3389"/>
      </w:tblGrid>
      <w:tr>
        <w:tc>
          <w:tcPr>
            <w:tcW w:type="dxa" w:w="1872"/>
            <w:tcMar>
              <w:top w:w="80" w:type="dxa"/>
              <w:start w:w="100" w:type="dxa"/>
              <w:bottom w:w="80" w:type="dxa"/>
              <w:end w:w="100" w:type="dxa"/>
            </w:tcMar>
            <w:vAlign w:val="center"/>
            <w:shd w:fill="1F4E78"/>
          </w:tcPr>
          <w:p>
            <w:pPr>
              <w:spacing w:after="0" w:before="0"/>
            </w:pPr>
            <w:r>
              <w:rPr>
                <w:rFonts w:ascii="Aptos" w:hAnsi="Aptos"/>
                <w:b/>
                <w:color w:val="FFFFFF"/>
                <w:sz w:val="19"/>
              </w:rPr>
              <w:t>Phase</w:t>
            </w:r>
          </w:p>
        </w:tc>
        <w:tc>
          <w:tcPr>
            <w:tcW w:type="dxa" w:w="4896"/>
            <w:tcMar>
              <w:top w:w="80" w:type="dxa"/>
              <w:start w:w="100" w:type="dxa"/>
              <w:bottom w:w="80" w:type="dxa"/>
              <w:end w:w="100" w:type="dxa"/>
            </w:tcMar>
            <w:vAlign w:val="center"/>
            <w:shd w:fill="1F4E78"/>
          </w:tcPr>
          <w:p>
            <w:pPr>
              <w:spacing w:after="0" w:before="0"/>
            </w:pPr>
            <w:r>
              <w:rPr>
                <w:rFonts w:ascii="Aptos" w:hAnsi="Aptos"/>
                <w:b/>
                <w:color w:val="FFFFFF"/>
                <w:sz w:val="19"/>
              </w:rPr>
              <w:t>Deliverable</w:t>
            </w:r>
          </w:p>
        </w:tc>
        <w:tc>
          <w:tcPr>
            <w:tcW w:type="dxa" w:w="4032"/>
            <w:tcMar>
              <w:top w:w="80" w:type="dxa"/>
              <w:start w:w="100" w:type="dxa"/>
              <w:bottom w:w="80" w:type="dxa"/>
              <w:end w:w="100" w:type="dxa"/>
            </w:tcMar>
            <w:vAlign w:val="center"/>
            <w:shd w:fill="1F4E78"/>
          </w:tcPr>
          <w:p>
            <w:pPr>
              <w:spacing w:after="0" w:before="0"/>
            </w:pPr>
            <w:r>
              <w:rPr>
                <w:rFonts w:ascii="Aptos" w:hAnsi="Aptos"/>
                <w:b/>
                <w:color w:val="FFFFFF"/>
                <w:sz w:val="19"/>
              </w:rPr>
              <w:t>Exit criterion</w:t>
            </w:r>
          </w:p>
        </w:tc>
      </w:tr>
      <w:tr>
        <w:tc>
          <w:tcPr>
            <w:tcW w:type="dxa" w:w="1872"/>
            <w:tcMar>
              <w:top w:w="80" w:type="dxa"/>
              <w:start w:w="100" w:type="dxa"/>
              <w:bottom w:w="80" w:type="dxa"/>
              <w:end w:w="100" w:type="dxa"/>
            </w:tcMar>
            <w:vAlign w:val="center"/>
          </w:tcPr>
          <w:p>
            <w:pPr>
              <w:spacing w:after="0" w:before="0"/>
            </w:pPr>
            <w:r>
              <w:rPr>
                <w:rFonts w:ascii="Aptos" w:hAnsi="Aptos"/>
                <w:sz w:val="19"/>
              </w:rPr>
              <w:t>A - Data extraction</w:t>
            </w:r>
          </w:p>
        </w:tc>
        <w:tc>
          <w:tcPr>
            <w:tcW w:type="dxa" w:w="4896"/>
            <w:tcMar>
              <w:top w:w="80" w:type="dxa"/>
              <w:start w:w="100" w:type="dxa"/>
              <w:bottom w:w="80" w:type="dxa"/>
              <w:end w:w="100" w:type="dxa"/>
            </w:tcMar>
            <w:vAlign w:val="center"/>
          </w:tcPr>
          <w:p>
            <w:pPr>
              <w:spacing w:after="0" w:before="0"/>
            </w:pPr>
            <w:r>
              <w:rPr>
                <w:rFonts w:ascii="Aptos" w:hAnsi="Aptos"/>
                <w:sz w:val="19"/>
              </w:rPr>
              <w:t>Export authoritative price/lookup tables from Excel into structured CSV/database seed files.</w:t>
            </w:r>
          </w:p>
        </w:tc>
        <w:tc>
          <w:tcPr>
            <w:tcW w:type="dxa" w:w="4032"/>
            <w:tcMar>
              <w:top w:w="80" w:type="dxa"/>
              <w:start w:w="100" w:type="dxa"/>
              <w:bottom w:w="80" w:type="dxa"/>
              <w:end w:w="100" w:type="dxa"/>
            </w:tcMar>
            <w:vAlign w:val="center"/>
          </w:tcPr>
          <w:p>
            <w:pPr>
              <w:spacing w:after="0" w:before="0"/>
            </w:pPr>
            <w:r>
              <w:rPr>
                <w:rFonts w:ascii="Aptos" w:hAnsi="Aptos"/>
                <w:sz w:val="19"/>
              </w:rPr>
              <w:t>Every price record has a source workbook location and count/reconciliation check.</w:t>
            </w:r>
          </w:p>
        </w:tc>
      </w:tr>
      <w:tr>
        <w:tc>
          <w:tcPr>
            <w:tcW w:type="dxa" w:w="1872"/>
            <w:tcMar>
              <w:top w:w="80" w:type="dxa"/>
              <w:start w:w="100" w:type="dxa"/>
              <w:bottom w:w="80" w:type="dxa"/>
              <w:end w:w="100" w:type="dxa"/>
            </w:tcMar>
            <w:vAlign w:val="center"/>
          </w:tcPr>
          <w:p>
            <w:pPr>
              <w:spacing w:after="0" w:before="0"/>
            </w:pPr>
            <w:r>
              <w:rPr>
                <w:rFonts w:ascii="Aptos" w:hAnsi="Aptos"/>
                <w:sz w:val="19"/>
              </w:rPr>
              <w:t>B - Calculation engine</w:t>
            </w:r>
          </w:p>
        </w:tc>
        <w:tc>
          <w:tcPr>
            <w:tcW w:type="dxa" w:w="4896"/>
            <w:tcMar>
              <w:top w:w="80" w:type="dxa"/>
              <w:start w:w="100" w:type="dxa"/>
              <w:bottom w:w="80" w:type="dxa"/>
              <w:end w:w="100" w:type="dxa"/>
            </w:tcMar>
            <w:vAlign w:val="center"/>
          </w:tcPr>
          <w:p>
            <w:pPr>
              <w:spacing w:after="0" w:before="0"/>
            </w:pPr>
            <w:r>
              <w:rPr>
                <w:rFonts w:ascii="Aptos" w:hAnsi="Aptos"/>
                <w:sz w:val="19"/>
              </w:rPr>
              <w:t>Pure Python calculator with no HTML dependency.</w:t>
            </w:r>
          </w:p>
        </w:tc>
        <w:tc>
          <w:tcPr>
            <w:tcW w:type="dxa" w:w="4032"/>
            <w:tcMar>
              <w:top w:w="80" w:type="dxa"/>
              <w:start w:w="100" w:type="dxa"/>
              <w:bottom w:w="80" w:type="dxa"/>
              <w:end w:w="100" w:type="dxa"/>
            </w:tcMar>
            <w:vAlign w:val="center"/>
          </w:tcPr>
          <w:p>
            <w:pPr>
              <w:spacing w:after="0" w:before="0"/>
            </w:pPr>
            <w:r>
              <w:rPr>
                <w:rFonts w:ascii="Aptos" w:hAnsi="Aptos"/>
                <w:sz w:val="19"/>
              </w:rPr>
              <w:t>Regression test set matches Excel.</w:t>
            </w:r>
          </w:p>
        </w:tc>
      </w:tr>
      <w:tr>
        <w:tc>
          <w:tcPr>
            <w:tcW w:type="dxa" w:w="1872"/>
            <w:tcMar>
              <w:top w:w="80" w:type="dxa"/>
              <w:start w:w="100" w:type="dxa"/>
              <w:bottom w:w="80" w:type="dxa"/>
              <w:end w:w="100" w:type="dxa"/>
            </w:tcMar>
            <w:vAlign w:val="center"/>
          </w:tcPr>
          <w:p>
            <w:pPr>
              <w:spacing w:after="0" w:before="0"/>
            </w:pPr>
            <w:r>
              <w:rPr>
                <w:rFonts w:ascii="Aptos" w:hAnsi="Aptos"/>
                <w:sz w:val="19"/>
              </w:rPr>
              <w:t>C - Web quote entry</w:t>
            </w:r>
          </w:p>
        </w:tc>
        <w:tc>
          <w:tcPr>
            <w:tcW w:type="dxa" w:w="4896"/>
            <w:tcMar>
              <w:top w:w="80" w:type="dxa"/>
              <w:start w:w="100" w:type="dxa"/>
              <w:bottom w:w="80" w:type="dxa"/>
              <w:end w:w="100" w:type="dxa"/>
            </w:tcMar>
            <w:vAlign w:val="center"/>
          </w:tcPr>
          <w:p>
            <w:pPr>
              <w:spacing w:after="0" w:before="0"/>
            </w:pPr>
            <w:r>
              <w:rPr>
                <w:rFonts w:ascii="Aptos" w:hAnsi="Aptos"/>
                <w:sz w:val="19"/>
              </w:rPr>
              <w:t>OrderEntry-equivalent browser form wired to server calculator.</w:t>
            </w:r>
          </w:p>
        </w:tc>
        <w:tc>
          <w:tcPr>
            <w:tcW w:type="dxa" w:w="4032"/>
            <w:tcMar>
              <w:top w:w="80" w:type="dxa"/>
              <w:start w:w="100" w:type="dxa"/>
              <w:bottom w:w="80" w:type="dxa"/>
              <w:end w:w="100" w:type="dxa"/>
            </w:tcMar>
            <w:vAlign w:val="center"/>
          </w:tcPr>
          <w:p>
            <w:pPr>
              <w:spacing w:after="0" w:before="0"/>
            </w:pPr>
            <w:r>
              <w:rPr>
                <w:rFonts w:ascii="Aptos" w:hAnsi="Aptos"/>
                <w:sz w:val="19"/>
              </w:rPr>
              <w:t>Two users can create independent unsaved drafts simultaneously.</w:t>
            </w:r>
          </w:p>
        </w:tc>
      </w:tr>
      <w:tr>
        <w:tc>
          <w:tcPr>
            <w:tcW w:type="dxa" w:w="1872"/>
            <w:tcMar>
              <w:top w:w="80" w:type="dxa"/>
              <w:start w:w="100" w:type="dxa"/>
              <w:bottom w:w="80" w:type="dxa"/>
              <w:end w:w="100" w:type="dxa"/>
            </w:tcMar>
            <w:vAlign w:val="center"/>
          </w:tcPr>
          <w:p>
            <w:pPr>
              <w:spacing w:after="0" w:before="0"/>
            </w:pPr>
            <w:r>
              <w:rPr>
                <w:rFonts w:ascii="Aptos" w:hAnsi="Aptos"/>
                <w:sz w:val="19"/>
              </w:rPr>
              <w:t>D - Persistence</w:t>
            </w:r>
          </w:p>
        </w:tc>
        <w:tc>
          <w:tcPr>
            <w:tcW w:type="dxa" w:w="4896"/>
            <w:tcMar>
              <w:top w:w="80" w:type="dxa"/>
              <w:start w:w="100" w:type="dxa"/>
              <w:bottom w:w="80" w:type="dxa"/>
              <w:end w:w="100" w:type="dxa"/>
            </w:tcMar>
            <w:vAlign w:val="center"/>
          </w:tcPr>
          <w:p>
            <w:pPr>
              <w:spacing w:after="0" w:before="0"/>
            </w:pPr>
            <w:r>
              <w:rPr>
                <w:rFonts w:ascii="Aptos" w:hAnsi="Aptos"/>
                <w:sz w:val="19"/>
              </w:rPr>
              <w:t>Customers, quotes, quote lines, options, atomic quote numbering/history.</w:t>
            </w:r>
          </w:p>
        </w:tc>
        <w:tc>
          <w:tcPr>
            <w:tcW w:type="dxa" w:w="4032"/>
            <w:tcMar>
              <w:top w:w="80" w:type="dxa"/>
              <w:start w:w="100" w:type="dxa"/>
              <w:bottom w:w="80" w:type="dxa"/>
              <w:end w:w="100" w:type="dxa"/>
            </w:tcMar>
            <w:vAlign w:val="center"/>
          </w:tcPr>
          <w:p>
            <w:pPr>
              <w:spacing w:after="0" w:before="0"/>
            </w:pPr>
            <w:r>
              <w:rPr>
                <w:rFonts w:ascii="Aptos" w:hAnsi="Aptos"/>
                <w:sz w:val="19"/>
              </w:rPr>
              <w:t>Concurrent save test produces unique quotes with no lock errors.</w:t>
            </w:r>
          </w:p>
        </w:tc>
      </w:tr>
      <w:tr>
        <w:tc>
          <w:tcPr>
            <w:tcW w:type="dxa" w:w="1872"/>
            <w:tcMar>
              <w:top w:w="80" w:type="dxa"/>
              <w:start w:w="100" w:type="dxa"/>
              <w:bottom w:w="80" w:type="dxa"/>
              <w:end w:w="100" w:type="dxa"/>
            </w:tcMar>
            <w:vAlign w:val="center"/>
          </w:tcPr>
          <w:p>
            <w:pPr>
              <w:spacing w:after="0" w:before="0"/>
            </w:pPr>
            <w:r>
              <w:rPr>
                <w:rFonts w:ascii="Aptos" w:hAnsi="Aptos"/>
                <w:sz w:val="19"/>
              </w:rPr>
              <w:t>E - Quote output</w:t>
            </w:r>
          </w:p>
        </w:tc>
        <w:tc>
          <w:tcPr>
            <w:tcW w:type="dxa" w:w="4896"/>
            <w:tcMar>
              <w:top w:w="80" w:type="dxa"/>
              <w:start w:w="100" w:type="dxa"/>
              <w:bottom w:w="80" w:type="dxa"/>
              <w:end w:w="100" w:type="dxa"/>
            </w:tcMar>
            <w:vAlign w:val="center"/>
          </w:tcPr>
          <w:p>
            <w:pPr>
              <w:spacing w:after="0" w:before="0"/>
            </w:pPr>
            <w:r>
              <w:rPr>
                <w:rFonts w:ascii="Aptos" w:hAnsi="Aptos"/>
                <w:sz w:val="19"/>
              </w:rPr>
              <w:t>Customer preview and PDF generation.</w:t>
            </w:r>
          </w:p>
        </w:tc>
        <w:tc>
          <w:tcPr>
            <w:tcW w:type="dxa" w:w="4032"/>
            <w:tcMar>
              <w:top w:w="80" w:type="dxa"/>
              <w:start w:w="100" w:type="dxa"/>
              <w:bottom w:w="80" w:type="dxa"/>
              <w:end w:w="100" w:type="dxa"/>
            </w:tcMar>
            <w:vAlign w:val="center"/>
          </w:tcPr>
          <w:p>
            <w:pPr>
              <w:spacing w:after="0" w:before="0"/>
            </w:pPr>
            <w:r>
              <w:rPr>
                <w:rFonts w:ascii="Aptos" w:hAnsi="Aptos"/>
                <w:sz w:val="19"/>
              </w:rPr>
              <w:t>PDF contains the same business content as the approved Quote Form output.</w:t>
            </w:r>
          </w:p>
        </w:tc>
      </w:tr>
      <w:tr>
        <w:tc>
          <w:tcPr>
            <w:tcW w:type="dxa" w:w="1872"/>
            <w:tcMar>
              <w:top w:w="80" w:type="dxa"/>
              <w:start w:w="100" w:type="dxa"/>
              <w:bottom w:w="80" w:type="dxa"/>
              <w:end w:w="100" w:type="dxa"/>
            </w:tcMar>
            <w:vAlign w:val="center"/>
          </w:tcPr>
          <w:p>
            <w:pPr>
              <w:spacing w:after="0" w:before="0"/>
            </w:pPr>
            <w:r>
              <w:rPr>
                <w:rFonts w:ascii="Aptos" w:hAnsi="Aptos"/>
                <w:sz w:val="19"/>
              </w:rPr>
              <w:t>F - Admin/versioning</w:t>
            </w:r>
          </w:p>
        </w:tc>
        <w:tc>
          <w:tcPr>
            <w:tcW w:type="dxa" w:w="4896"/>
            <w:tcMar>
              <w:top w:w="80" w:type="dxa"/>
              <w:start w:w="100" w:type="dxa"/>
              <w:bottom w:w="80" w:type="dxa"/>
              <w:end w:w="100" w:type="dxa"/>
            </w:tcMar>
            <w:vAlign w:val="center"/>
          </w:tcPr>
          <w:p>
            <w:pPr>
              <w:spacing w:after="0" w:before="0"/>
            </w:pPr>
            <w:r>
              <w:rPr>
                <w:rFonts w:ascii="Aptos" w:hAnsi="Aptos"/>
                <w:sz w:val="19"/>
              </w:rPr>
              <w:t>Price-book publishing and audit controls.</w:t>
            </w:r>
          </w:p>
        </w:tc>
        <w:tc>
          <w:tcPr>
            <w:tcW w:type="dxa" w:w="4032"/>
            <w:tcMar>
              <w:top w:w="80" w:type="dxa"/>
              <w:start w:w="100" w:type="dxa"/>
              <w:bottom w:w="80" w:type="dxa"/>
              <w:end w:w="100" w:type="dxa"/>
            </w:tcMar>
            <w:vAlign w:val="center"/>
          </w:tcPr>
          <w:p>
            <w:pPr>
              <w:spacing w:after="0" w:before="0"/>
            </w:pPr>
            <w:r>
              <w:rPr>
                <w:rFonts w:ascii="Aptos" w:hAnsi="Aptos"/>
                <w:sz w:val="19"/>
              </w:rPr>
              <w:t>New pricing version can be activated without changing old saved quotes.</w:t>
            </w:r>
          </w:p>
        </w:tc>
      </w:tr>
      <w:tr>
        <w:tc>
          <w:tcPr>
            <w:tcW w:type="dxa" w:w="1872"/>
            <w:tcMar>
              <w:top w:w="80" w:type="dxa"/>
              <w:start w:w="100" w:type="dxa"/>
              <w:bottom w:w="80" w:type="dxa"/>
              <w:end w:w="100" w:type="dxa"/>
            </w:tcMar>
            <w:vAlign w:val="center"/>
          </w:tcPr>
          <w:p>
            <w:pPr>
              <w:spacing w:after="0" w:before="0"/>
            </w:pPr>
            <w:r>
              <w:rPr>
                <w:rFonts w:ascii="Aptos" w:hAnsi="Aptos"/>
                <w:sz w:val="19"/>
              </w:rPr>
              <w:t>G - Parallel validation</w:t>
            </w:r>
          </w:p>
        </w:tc>
        <w:tc>
          <w:tcPr>
            <w:tcW w:type="dxa" w:w="4896"/>
            <w:tcMar>
              <w:top w:w="80" w:type="dxa"/>
              <w:start w:w="100" w:type="dxa"/>
              <w:bottom w:w="80" w:type="dxa"/>
              <w:end w:w="100" w:type="dxa"/>
            </w:tcMar>
            <w:vAlign w:val="center"/>
          </w:tcPr>
          <w:p>
            <w:pPr>
              <w:spacing w:after="0" w:before="0"/>
            </w:pPr>
            <w:r>
              <w:rPr>
                <w:rFonts w:ascii="Aptos" w:hAnsi="Aptos"/>
                <w:sz w:val="19"/>
              </w:rPr>
              <w:t>Run Excel and web system side-by-side on real quotes.</w:t>
            </w:r>
          </w:p>
        </w:tc>
        <w:tc>
          <w:tcPr>
            <w:tcW w:type="dxa" w:w="4032"/>
            <w:tcMar>
              <w:top w:w="80" w:type="dxa"/>
              <w:start w:w="100" w:type="dxa"/>
              <w:bottom w:w="80" w:type="dxa"/>
              <w:end w:w="100" w:type="dxa"/>
            </w:tcMar>
            <w:vAlign w:val="center"/>
          </w:tcPr>
          <w:p>
            <w:pPr>
              <w:spacing w:after="0" w:before="0"/>
            </w:pPr>
            <w:r>
              <w:rPr>
                <w:rFonts w:ascii="Aptos" w:hAnsi="Aptos"/>
                <w:sz w:val="19"/>
              </w:rPr>
              <w:t>Approved parity set passes; business signs off before retiring Excel as primary calculator.</w:t>
            </w:r>
          </w:p>
        </w:tc>
      </w:tr>
    </w:tbl>
    <w:p>
      <w:pPr>
        <w:spacing w:after="40"/>
      </w:pPr>
    </w:p>
    <w:p>
      <w:pPr>
        <w:pStyle w:val="Heading1"/>
      </w:pPr>
      <w:r>
        <w:t>13. Proposed Application Project Structure</w:t>
      </w:r>
    </w:p>
    <w:p>
      <w:r>
        <w:rPr>
          <w:b/>
        </w:rPr>
        <w:t>jit_quote_web/</w:t>
        <w:br/>
      </w:r>
      <w:r>
        <w:rPr>
          <w:rFonts w:ascii="Consolas" w:hAnsi="Consolas"/>
          <w:sz w:val="19"/>
        </w:rPr>
        <w:t xml:space="preserve">  app.py                         # Flask application entry point</w:t>
        <w:br/>
      </w:r>
      <w:r>
        <w:rPr>
          <w:rFonts w:ascii="Consolas" w:hAnsi="Consolas"/>
          <w:sz w:val="19"/>
        </w:rPr>
        <w:t xml:space="preserve">  config.py                      # Environment/database configuration</w:t>
        <w:br/>
      </w:r>
      <w:r>
        <w:rPr>
          <w:rFonts w:ascii="Consolas" w:hAnsi="Consolas"/>
          <w:sz w:val="19"/>
        </w:rPr>
        <w:t xml:space="preserve">  calculator/                    # Pure pricing engine - no web code</w:t>
        <w:br/>
      </w:r>
      <w:r>
        <w:rPr>
          <w:rFonts w:ascii="Consolas" w:hAnsi="Consolas"/>
          <w:sz w:val="19"/>
        </w:rPr>
        <w:t xml:space="preserve">    model_builder.py</w:t>
        <w:br/>
      </w:r>
      <w:r>
        <w:rPr>
          <w:rFonts w:ascii="Consolas" w:hAnsi="Consolas"/>
          <w:sz w:val="19"/>
        </w:rPr>
        <w:t xml:space="preserve">    routing.py</w:t>
        <w:br/>
      </w:r>
      <w:r>
        <w:rPr>
          <w:rFonts w:ascii="Consolas" w:hAnsi="Consolas"/>
          <w:sz w:val="19"/>
        </w:rPr>
        <w:t xml:space="preserve">    base_price.py</w:t>
        <w:br/>
      </w:r>
      <w:r>
        <w:rPr>
          <w:rFonts w:ascii="Consolas" w:hAnsi="Consolas"/>
          <w:sz w:val="19"/>
        </w:rPr>
        <w:t xml:space="preserve">    stroke_cushion.py</w:t>
        <w:br/>
      </w:r>
      <w:r>
        <w:rPr>
          <w:rFonts w:ascii="Consolas" w:hAnsi="Consolas"/>
          <w:sz w:val="19"/>
        </w:rPr>
        <w:t xml:space="preserve">    options.py</w:t>
        <w:br/>
      </w:r>
      <w:r>
        <w:rPr>
          <w:rFonts w:ascii="Consolas" w:hAnsi="Consolas"/>
          <w:sz w:val="19"/>
        </w:rPr>
        <w:t xml:space="preserve">    special_rules.py</w:t>
        <w:br/>
      </w:r>
      <w:r>
        <w:rPr>
          <w:rFonts w:ascii="Consolas" w:hAnsi="Consolas"/>
          <w:sz w:val="19"/>
        </w:rPr>
        <w:t xml:space="preserve">    selling_price.py</w:t>
        <w:br/>
      </w:r>
      <w:r>
        <w:rPr>
          <w:rFonts w:ascii="Consolas" w:hAnsi="Consolas"/>
          <w:sz w:val="19"/>
        </w:rPr>
        <w:t xml:space="preserve">    engineering.py</w:t>
        <w:br/>
      </w:r>
      <w:r>
        <w:rPr>
          <w:rFonts w:ascii="Consolas" w:hAnsi="Consolas"/>
          <w:sz w:val="19"/>
        </w:rPr>
        <w:t xml:space="preserve">  models/                        # Database models</w:t>
        <w:br/>
      </w:r>
      <w:r>
        <w:rPr>
          <w:rFonts w:ascii="Consolas" w:hAnsi="Consolas"/>
          <w:sz w:val="19"/>
        </w:rPr>
        <w:t xml:space="preserve">  services/                      # quote save, numbering, PDF, customer services</w:t>
        <w:br/>
      </w:r>
      <w:r>
        <w:rPr>
          <w:rFonts w:ascii="Consolas" w:hAnsi="Consolas"/>
          <w:sz w:val="19"/>
        </w:rPr>
        <w:t xml:space="preserve">  routes/                        # Flask page/API routes</w:t>
        <w:br/>
      </w:r>
      <w:r>
        <w:rPr>
          <w:rFonts w:ascii="Consolas" w:hAnsi="Consolas"/>
          <w:sz w:val="19"/>
        </w:rPr>
        <w:t xml:space="preserve">  templates/                     # HTML templates</w:t>
        <w:br/>
      </w:r>
      <w:r>
        <w:rPr>
          <w:rFonts w:ascii="Consolas" w:hAnsi="Consolas"/>
          <w:sz w:val="19"/>
        </w:rPr>
        <w:t xml:space="preserve">  static/                        # CSS/JavaScript</w:t>
        <w:br/>
      </w:r>
      <w:r>
        <w:rPr>
          <w:rFonts w:ascii="Consolas" w:hAnsi="Consolas"/>
          <w:sz w:val="19"/>
        </w:rPr>
        <w:t xml:space="preserve">  migrations/                    # Database schema migrations</w:t>
        <w:br/>
      </w:r>
      <w:r>
        <w:rPr>
          <w:rFonts w:ascii="Consolas" w:hAnsi="Consolas"/>
          <w:sz w:val="19"/>
        </w:rPr>
        <w:t xml:space="preserve">  seed/                          # Versioned workbook-extracted price data</w:t>
        <w:br/>
      </w:r>
      <w:r>
        <w:rPr>
          <w:rFonts w:ascii="Consolas" w:hAnsi="Consolas"/>
          <w:sz w:val="19"/>
        </w:rPr>
        <w:t xml:space="preserve">  tests/                         # Excel parity and regression tests</w:t>
        <w:br/>
      </w:r>
      <w:r>
        <w:rPr>
          <w:rFonts w:ascii="Consolas" w:hAnsi="Consolas"/>
          <w:sz w:val="19"/>
        </w:rPr>
        <w:t xml:space="preserve">  documents/                     # Generated PDFs or configured document storage</w:t>
        <w:br/>
      </w:r>
    </w:p>
    <w:p>
      <w:pPr>
        <w:pStyle w:val="Heading1"/>
      </w:pPr>
      <w:r>
        <w:t>14. Immediate Next Work Package</w:t>
      </w:r>
    </w:p>
    <w:p>
      <w:r>
        <w:t>The next engineering task should be Phase A: extract the authoritative pricing and engineering lookup data into structured, auditable tables. We should not build the HTML form first. Once the data is extracted, we can write a pure Python calculation engine and compare its results directly against Excel before adding the web interface.</w:t>
      </w:r>
    </w:p>
    <w:p>
      <w:pPr>
        <w:pStyle w:val="ListBullet"/>
      </w:pPr>
      <w:r>
        <w:t>Create a canonical field dictionary for every normalized OrderEntry input and output.</w:t>
      </w:r>
    </w:p>
    <w:p>
      <w:pPr>
        <w:pStyle w:val="ListBullet"/>
      </w:pPr>
      <w:r>
        <w:t>Extract primary base/stroke/cushion rows from H, A, MH, IH and IMH.</w:t>
      </w:r>
    </w:p>
    <w:p>
      <w:pPr>
        <w:pStyle w:val="ListBullet"/>
      </w:pPr>
      <w:r>
        <w:t>Extract mount-code-to-price-bucket mappings.</w:t>
      </w:r>
    </w:p>
    <w:p>
      <w:pPr>
        <w:pStyle w:val="ListBullet"/>
      </w:pPr>
      <w:r>
        <w:t>Extract cushion multipliers and all option/add-on tables from Acc, ShipVia, H2/H3/H4, A2/A3/A4, IH2/IH3/IH4, PH and VA.</w:t>
      </w:r>
    </w:p>
    <w:p>
      <w:pPr>
        <w:pStyle w:val="ListBullet"/>
      </w:pPr>
      <w:r>
        <w:t>Extract engineering/dimension lookup data required by Quote Form.</w:t>
      </w:r>
    </w:p>
    <w:p>
      <w:pPr>
        <w:pStyle w:val="ListBullet"/>
      </w:pPr>
      <w:r>
        <w:t>Attach source sheet/cell metadata to every extracted record for auditability.</w:t>
      </w:r>
    </w:p>
    <w:p>
      <w:pPr>
        <w:pStyle w:val="ListBullet"/>
      </w:pPr>
      <w:r>
        <w:t>Build the first parity test harness around model code, base price, stroke/cushion, DRE, discount, and final standard/expedited/emergency prices.</w:t>
      </w:r>
    </w:p>
    <w:p>
      <w:pPr>
        <w:pStyle w:val="Heading1"/>
      </w:pPr>
      <w:r>
        <w:t>15. Phase 2 Recommendation</w:t>
      </w:r>
    </w:p>
    <w:p>
      <w:r>
        <w:t>Proceed with a server-side Python/Flask calculator backed by versioned structured pricing data and a transactional database. Preserve Excel as the parity reference during development, but do not use Excel at runtime in the final multi-user system. This architecture directly solves the shared-file concurrency problem while keeping the recovered pricing logic auditable and maintainable.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