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Cylinder Quote Calculator</w:t>
        <w:br/>
        <w:t>Phase A2 Normalization Report</w:t>
      </w:r>
    </w:p>
    <w:p>
      <w:pPr>
        <w:jc w:val="center"/>
      </w:pPr>
      <w:r>
        <w:rPr>
          <w:color w:val="666666"/>
          <w:sz w:val="24"/>
        </w:rPr>
        <w:t>Business-rule normalization and engineering lookup extraction</w:t>
      </w:r>
    </w:p>
    <w:p>
      <w:pPr>
        <w:pStyle w:val="Heading1"/>
      </w:pPr>
      <w:r>
        <w:t>1. Phase A2 Objective</w:t>
      </w:r>
    </w:p>
    <w:p>
      <w:r>
        <w:t>Phase A2 converts the raw worksheet constants extracted in Phase A into explicit business-rule tables that can be consumed by the future Python calculation engine. It also normalizes the customer-facing engineering/dimension lookup tables embedded on the Quote Form. Excel source coordinates remain attached to every normalized rate or lookup value for auditability.</w:t>
      </w:r>
    </w:p>
    <w:p>
      <w:pPr>
        <w:pStyle w:val="Heading1"/>
      </w:pPr>
      <w:r>
        <w:t>2. Deliverables Produced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sz w:val="18"/>
              </w:rPr>
              <w:t>Dataset</w:t>
            </w:r>
          </w:p>
        </w:tc>
        <w:tc>
          <w:tcPr>
            <w:tcW w:type="dxa" w:w="3408"/>
            <w:shd w:fill="1F4E78"/>
          </w:tcPr>
          <w:p>
            <w:r>
              <w:rPr>
                <w:b/>
                <w:color w:val="FFFFFF"/>
                <w:sz w:val="18"/>
              </w:rPr>
              <w:t>Records</w:t>
            </w:r>
          </w:p>
        </w:tc>
        <w:tc>
          <w:tcPr>
            <w:tcW w:type="dxa" w:w="3408"/>
            <w:shd w:fill="1F4E78"/>
          </w:tcPr>
          <w:p>
            <w:r>
              <w:rPr>
                <w:b/>
                <w:color w:val="FFFFFF"/>
                <w:sz w:val="18"/>
              </w:rPr>
              <w:t>Purpose</w:t>
            </w:r>
          </w:p>
        </w:tc>
      </w:tr>
      <w:tr>
        <w:tc>
          <w:tcPr>
            <w:tcW w:type="dxa" w:w="3408"/>
            <w:vAlign w:val="center"/>
          </w:tcPr>
          <w:p>
            <w:r>
              <w:rPr>
                <w:sz w:val="17"/>
              </w:rPr>
              <w:t>Modification Rule Definitions</w:t>
            </w:r>
          </w:p>
        </w:tc>
        <w:tc>
          <w:tcPr>
            <w:tcW w:type="dxa" w:w="3408"/>
            <w:vAlign w:val="center"/>
          </w:tcPr>
          <w:p>
            <w:r>
              <w:rPr>
                <w:sz w:val="17"/>
              </w:rPr>
              <w:t>29</w:t>
            </w:r>
          </w:p>
        </w:tc>
        <w:tc>
          <w:tcPr>
            <w:tcW w:type="dxa" w:w="3408"/>
            <w:vAlign w:val="center"/>
          </w:tcPr>
          <w:p>
            <w:r>
              <w:rPr>
                <w:sz w:val="17"/>
              </w:rPr>
              <w:t>Named rules with input cells, triggers and explicit calculation patterns.</w:t>
            </w:r>
          </w:p>
        </w:tc>
      </w:tr>
      <w:tr>
        <w:tc>
          <w:tcPr>
            <w:tcW w:type="dxa" w:w="3408"/>
            <w:vAlign w:val="center"/>
          </w:tcPr>
          <w:p>
            <w:r>
              <w:rPr>
                <w:sz w:val="17"/>
              </w:rPr>
              <w:t>Modification Rate Matrix</w:t>
            </w:r>
          </w:p>
        </w:tc>
        <w:tc>
          <w:tcPr>
            <w:tcW w:type="dxa" w:w="3408"/>
            <w:vAlign w:val="center"/>
          </w:tcPr>
          <w:p>
            <w:r>
              <w:rPr>
                <w:sz w:val="17"/>
              </w:rPr>
              <w:t>2,405</w:t>
            </w:r>
          </w:p>
        </w:tc>
        <w:tc>
          <w:tcPr>
            <w:tcW w:type="dxa" w:w="3408"/>
            <w:vAlign w:val="center"/>
          </w:tcPr>
          <w:p>
            <w:r>
              <w:rPr>
                <w:sz w:val="17"/>
              </w:rPr>
              <w:t>Active bore/rod rates required by those rules; replaces the 2,716-cell raw modification dump.</w:t>
            </w:r>
          </w:p>
        </w:tc>
      </w:tr>
      <w:tr>
        <w:tc>
          <w:tcPr>
            <w:tcW w:type="dxa" w:w="3408"/>
            <w:vAlign w:val="center"/>
          </w:tcPr>
          <w:p>
            <w:r>
              <w:rPr>
                <w:sz w:val="17"/>
              </w:rPr>
              <w:t>Engineering Bore Dimensions</w:t>
            </w:r>
          </w:p>
        </w:tc>
        <w:tc>
          <w:tcPr>
            <w:tcW w:type="dxa" w:w="3408"/>
            <w:vAlign w:val="center"/>
          </w:tcPr>
          <w:p>
            <w:r>
              <w:rPr>
                <w:sz w:val="17"/>
              </w:rPr>
              <w:t>400</w:t>
            </w:r>
          </w:p>
        </w:tc>
        <w:tc>
          <w:tcPr>
            <w:tcW w:type="dxa" w:w="3408"/>
            <w:vAlign w:val="center"/>
          </w:tcPr>
          <w:p>
            <w:r>
              <w:rPr>
                <w:sz w:val="17"/>
              </w:rPr>
              <w:t>H- and A-family bore-keyed dimension constants from Quote Form.</w:t>
            </w:r>
          </w:p>
        </w:tc>
      </w:tr>
      <w:tr>
        <w:tc>
          <w:tcPr>
            <w:tcW w:type="dxa" w:w="3408"/>
            <w:vAlign w:val="center"/>
          </w:tcPr>
          <w:p>
            <w:r>
              <w:rPr>
                <w:sz w:val="17"/>
              </w:rPr>
              <w:t>Engineering Rod Dimensions</w:t>
            </w:r>
          </w:p>
        </w:tc>
        <w:tc>
          <w:tcPr>
            <w:tcW w:type="dxa" w:w="3408"/>
            <w:vAlign w:val="center"/>
          </w:tcPr>
          <w:p>
            <w:r>
              <w:rPr>
                <w:sz w:val="17"/>
              </w:rPr>
              <w:t>30</w:t>
            </w:r>
          </w:p>
        </w:tc>
        <w:tc>
          <w:tcPr>
            <w:tcW w:type="dxa" w:w="3408"/>
            <w:vAlign w:val="center"/>
          </w:tcPr>
          <w:p>
            <w:r>
              <w:rPr>
                <w:sz w:val="17"/>
              </w:rPr>
              <w:t>Rod-keyed A and WF dimension constants.</w:t>
            </w:r>
          </w:p>
        </w:tc>
      </w:tr>
      <w:tr>
        <w:tc>
          <w:tcPr>
            <w:tcW w:type="dxa" w:w="3408"/>
            <w:vAlign w:val="center"/>
          </w:tcPr>
          <w:p>
            <w:r>
              <w:rPr>
                <w:sz w:val="17"/>
              </w:rPr>
              <w:t>Engineering Port Sizes</w:t>
            </w:r>
          </w:p>
        </w:tc>
        <w:tc>
          <w:tcPr>
            <w:tcW w:type="dxa" w:w="3408"/>
            <w:vAlign w:val="center"/>
          </w:tcPr>
          <w:p>
            <w:r>
              <w:rPr>
                <w:sz w:val="17"/>
              </w:rPr>
              <w:t>54</w:t>
            </w:r>
          </w:p>
        </w:tc>
        <w:tc>
          <w:tcPr>
            <w:tcW w:type="dxa" w:w="3408"/>
            <w:vAlign w:val="center"/>
          </w:tcPr>
          <w:p>
            <w:r>
              <w:rPr>
                <w:sz w:val="17"/>
              </w:rPr>
              <w:t>Bore-keyed port-size lookup values.</w:t>
            </w:r>
          </w:p>
        </w:tc>
      </w:tr>
      <w:tr>
        <w:tc>
          <w:tcPr>
            <w:tcW w:type="dxa" w:w="3408"/>
            <w:vAlign w:val="center"/>
          </w:tcPr>
          <w:p>
            <w:r>
              <w:rPr>
                <w:sz w:val="17"/>
              </w:rPr>
              <w:t>Engineering Display Rules</w:t>
            </w:r>
          </w:p>
        </w:tc>
        <w:tc>
          <w:tcPr>
            <w:tcW w:type="dxa" w:w="3408"/>
            <w:vAlign w:val="center"/>
          </w:tcPr>
          <w:p>
            <w:r>
              <w:rPr>
                <w:sz w:val="17"/>
              </w:rPr>
              <w:t>16</w:t>
            </w:r>
          </w:p>
        </w:tc>
        <w:tc>
          <w:tcPr>
            <w:tcW w:type="dxa" w:w="3408"/>
            <w:vAlign w:val="center"/>
          </w:tcPr>
          <w:p>
            <w:r>
              <w:rPr>
                <w:sz w:val="17"/>
              </w:rPr>
              <w:t>Maps mount families and display outputs to the engineering lookup fields.</w:t>
            </w:r>
          </w:p>
        </w:tc>
      </w:tr>
      <w:tr>
        <w:tc>
          <w:tcPr>
            <w:tcW w:type="dxa" w:w="3408"/>
            <w:vAlign w:val="center"/>
          </w:tcPr>
          <w:p>
            <w:r>
              <w:rPr>
                <w:sz w:val="17"/>
              </w:rPr>
              <w:t>A2 Issues</w:t>
            </w:r>
          </w:p>
        </w:tc>
        <w:tc>
          <w:tcPr>
            <w:tcW w:type="dxa" w:w="3408"/>
            <w:vAlign w:val="center"/>
          </w:tcPr>
          <w:p>
            <w:r>
              <w:rPr>
                <w:sz w:val="17"/>
              </w:rPr>
              <w:t>5</w:t>
            </w:r>
          </w:p>
        </w:tc>
        <w:tc>
          <w:tcPr>
            <w:tcW w:type="dxa" w:w="3408"/>
            <w:vAlign w:val="center"/>
          </w:tcPr>
          <w:p>
            <w:r>
              <w:rPr>
                <w:sz w:val="17"/>
              </w:rPr>
              <w:t>Known suspicious, dormant, or dead workbook paths requiring parity/business review.</w:t>
            </w:r>
          </w:p>
        </w:tc>
      </w:tr>
    </w:tbl>
    <w:p>
      <w:pPr>
        <w:pStyle w:val="Heading1"/>
      </w:pPr>
      <w:r>
        <w:t>3. Modification Rule Model</w:t>
      </w:r>
    </w:p>
    <w:p>
      <w:r>
        <w:t>Instead of reproducing formulas row-by-row, the future engine can now evaluate a small set of named rules against the selected series, bore, rod and user inputs. Examples: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sz w:val="18"/>
              </w:rPr>
              <w:t>Rule</w:t>
            </w:r>
          </w:p>
        </w:tc>
        <w:tc>
          <w:tcPr>
            <w:tcW w:type="dxa" w:w="3408"/>
            <w:shd w:fill="1F4E78"/>
          </w:tcPr>
          <w:p>
            <w:r>
              <w:rPr>
                <w:b/>
                <w:color w:val="FFFFFF"/>
                <w:sz w:val="18"/>
              </w:rPr>
              <w:t>Trigger/Input</w:t>
            </w:r>
          </w:p>
        </w:tc>
        <w:tc>
          <w:tcPr>
            <w:tcW w:type="dxa" w:w="3408"/>
            <w:shd w:fill="1F4E78"/>
          </w:tcPr>
          <w:p>
            <w:r>
              <w:rPr>
                <w:b/>
                <w:color w:val="FFFFFF"/>
                <w:sz w:val="18"/>
              </w:rPr>
              <w:t>Calculation</w:t>
            </w:r>
          </w:p>
        </w:tc>
      </w:tr>
      <w:tr>
        <w:tc>
          <w:tcPr>
            <w:tcW w:type="dxa" w:w="3408"/>
            <w:vAlign w:val="center"/>
          </w:tcPr>
          <w:p>
            <w:r>
              <w:rPr>
                <w:sz w:val="17"/>
              </w:rPr>
              <w:t>Rod Extension</w:t>
            </w:r>
          </w:p>
        </w:tc>
        <w:tc>
          <w:tcPr>
            <w:tcW w:type="dxa" w:w="3408"/>
            <w:vAlign w:val="center"/>
          </w:tcPr>
          <w:p>
            <w:r>
              <w:rPr>
                <w:sz w:val="17"/>
              </w:rPr>
              <w:t>Data!B11 &gt; 0</w:t>
            </w:r>
          </w:p>
        </w:tc>
        <w:tc>
          <w:tcPr>
            <w:tcW w:type="dxa" w:w="3408"/>
            <w:vAlign w:val="center"/>
          </w:tcPr>
          <w:p>
            <w:r>
              <w:rPr>
                <w:sz w:val="17"/>
              </w:rPr>
              <w:t>rate per length × entered extension</w:t>
            </w:r>
          </w:p>
        </w:tc>
      </w:tr>
      <w:tr>
        <w:tc>
          <w:tcPr>
            <w:tcW w:type="dxa" w:w="3408"/>
            <w:vAlign w:val="center"/>
          </w:tcPr>
          <w:p>
            <w:r>
              <w:rPr>
                <w:sz w:val="17"/>
              </w:rPr>
              <w:t>Stop Tube</w:t>
            </w:r>
          </w:p>
        </w:tc>
        <w:tc>
          <w:tcPr>
            <w:tcW w:type="dxa" w:w="3408"/>
            <w:vAlign w:val="center"/>
          </w:tcPr>
          <w:p>
            <w:r>
              <w:rPr>
                <w:sz w:val="17"/>
              </w:rPr>
              <w:t>Data!B12 &gt; 0.1</w:t>
            </w:r>
          </w:p>
        </w:tc>
        <w:tc>
          <w:tcPr>
            <w:tcW w:type="dxa" w:w="3408"/>
            <w:vAlign w:val="center"/>
          </w:tcPr>
          <w:p>
            <w:r>
              <w:rPr>
                <w:sz w:val="17"/>
              </w:rPr>
              <w:t>base + per-length rate × stop-tube length</w:t>
            </w:r>
          </w:p>
        </w:tc>
      </w:tr>
      <w:tr>
        <w:tc>
          <w:tcPr>
            <w:tcW w:type="dxa" w:w="3408"/>
            <w:vAlign w:val="center"/>
          </w:tcPr>
          <w:p>
            <w:r>
              <w:rPr>
                <w:sz w:val="17"/>
              </w:rPr>
              <w:t>Stainless Rod</w:t>
            </w:r>
          </w:p>
        </w:tc>
        <w:tc>
          <w:tcPr>
            <w:tcW w:type="dxa" w:w="3408"/>
            <w:vAlign w:val="center"/>
          </w:tcPr>
          <w:p>
            <w:r>
              <w:rPr>
                <w:sz w:val="17"/>
              </w:rPr>
              <w:t>Data!B17 = Y</w:t>
            </w:r>
          </w:p>
        </w:tc>
        <w:tc>
          <w:tcPr>
            <w:tcW w:type="dxa" w:w="3408"/>
            <w:vAlign w:val="center"/>
          </w:tcPr>
          <w:p>
            <w:r>
              <w:rPr>
                <w:sz w:val="17"/>
              </w:rPr>
              <w:t>base + per-stroke rate × stroke</w:t>
            </w:r>
          </w:p>
        </w:tc>
      </w:tr>
      <w:tr>
        <w:tc>
          <w:tcPr>
            <w:tcW w:type="dxa" w:w="3408"/>
            <w:vAlign w:val="center"/>
          </w:tcPr>
          <w:p>
            <w:r>
              <w:rPr>
                <w:sz w:val="17"/>
              </w:rPr>
              <w:t>Chrome Bore</w:t>
            </w:r>
          </w:p>
        </w:tc>
        <w:tc>
          <w:tcPr>
            <w:tcW w:type="dxa" w:w="3408"/>
            <w:vAlign w:val="center"/>
          </w:tcPr>
          <w:p>
            <w:r>
              <w:rPr>
                <w:sz w:val="17"/>
              </w:rPr>
              <w:t>Data!B21 = Y</w:t>
            </w:r>
          </w:p>
        </w:tc>
        <w:tc>
          <w:tcPr>
            <w:tcW w:type="dxa" w:w="3408"/>
            <w:vAlign w:val="center"/>
          </w:tcPr>
          <w:p>
            <w:r>
              <w:rPr>
                <w:sz w:val="17"/>
              </w:rPr>
              <w:t>base + per-stroke rate × stroke</w:t>
            </w:r>
          </w:p>
        </w:tc>
      </w:tr>
      <w:tr>
        <w:tc>
          <w:tcPr>
            <w:tcW w:type="dxa" w:w="3408"/>
            <w:vAlign w:val="center"/>
          </w:tcPr>
          <w:p>
            <w:r>
              <w:rPr>
                <w:sz w:val="17"/>
              </w:rPr>
              <w:t>Extra Thread</w:t>
            </w:r>
          </w:p>
        </w:tc>
        <w:tc>
          <w:tcPr>
            <w:tcW w:type="dxa" w:w="3408"/>
            <w:vAlign w:val="center"/>
          </w:tcPr>
          <w:p>
            <w:r>
              <w:rPr>
                <w:sz w:val="17"/>
              </w:rPr>
              <w:t>Data!B27 &gt; 0</w:t>
            </w:r>
          </w:p>
        </w:tc>
        <w:tc>
          <w:tcPr>
            <w:tcW w:type="dxa" w:w="3408"/>
            <w:vAlign w:val="center"/>
          </w:tcPr>
          <w:p>
            <w:r>
              <w:rPr>
                <w:sz w:val="17"/>
              </w:rPr>
              <w:t>thread-extension rate × quantity/length</w:t>
            </w:r>
          </w:p>
        </w:tc>
      </w:tr>
      <w:tr>
        <w:tc>
          <w:tcPr>
            <w:tcW w:type="dxa" w:w="3408"/>
            <w:vAlign w:val="center"/>
          </w:tcPr>
          <w:p>
            <w:r>
              <w:rPr>
                <w:sz w:val="17"/>
              </w:rPr>
              <w:t>Prox Switch</w:t>
            </w:r>
          </w:p>
        </w:tc>
        <w:tc>
          <w:tcPr>
            <w:tcW w:type="dxa" w:w="3408"/>
            <w:vAlign w:val="center"/>
          </w:tcPr>
          <w:p>
            <w:r>
              <w:rPr>
                <w:sz w:val="17"/>
              </w:rPr>
              <w:t>Data!B19 &gt; 0</w:t>
            </w:r>
          </w:p>
        </w:tc>
        <w:tc>
          <w:tcPr>
            <w:tcW w:type="dxa" w:w="3408"/>
            <w:vAlign w:val="center"/>
          </w:tcPr>
          <w:p>
            <w:r>
              <w:rPr>
                <w:sz w:val="17"/>
              </w:rPr>
              <w:t>per-switch rate × quantity</w:t>
            </w:r>
          </w:p>
        </w:tc>
      </w:tr>
      <w:tr>
        <w:tc>
          <w:tcPr>
            <w:tcW w:type="dxa" w:w="3408"/>
            <w:vAlign w:val="center"/>
          </w:tcPr>
          <w:p>
            <w:r>
              <w:rPr>
                <w:sz w:val="17"/>
              </w:rPr>
              <w:t>UltraOx</w:t>
            </w:r>
          </w:p>
        </w:tc>
        <w:tc>
          <w:tcPr>
            <w:tcW w:type="dxa" w:w="3408"/>
            <w:vAlign w:val="center"/>
          </w:tcPr>
          <w:p>
            <w:r>
              <w:rPr>
                <w:sz w:val="17"/>
              </w:rPr>
              <w:t>Data!B16 = Y</w:t>
            </w:r>
          </w:p>
        </w:tc>
        <w:tc>
          <w:tcPr>
            <w:tcW w:type="dxa" w:w="3408"/>
            <w:vAlign w:val="center"/>
          </w:tcPr>
          <w:p>
            <w:r>
              <w:rPr>
                <w:sz w:val="17"/>
              </w:rPr>
              <w:t>base + per-stroke rate × stroke</w:t>
            </w:r>
          </w:p>
        </w:tc>
      </w:tr>
      <w:tr>
        <w:tc>
          <w:tcPr>
            <w:tcW w:type="dxa" w:w="3408"/>
            <w:vAlign w:val="center"/>
          </w:tcPr>
          <w:p>
            <w:r>
              <w:rPr>
                <w:sz w:val="17"/>
              </w:rPr>
              <w:t>Extra Tie Rod</w:t>
            </w:r>
          </w:p>
        </w:tc>
        <w:tc>
          <w:tcPr>
            <w:tcW w:type="dxa" w:w="3408"/>
            <w:vAlign w:val="center"/>
          </w:tcPr>
          <w:p>
            <w:r>
              <w:rPr>
                <w:sz w:val="17"/>
              </w:rPr>
              <w:t>Data!B25 &gt; 0.1</w:t>
            </w:r>
          </w:p>
        </w:tc>
        <w:tc>
          <w:tcPr>
            <w:tcW w:type="dxa" w:w="3408"/>
            <w:vAlign w:val="center"/>
          </w:tcPr>
          <w:p>
            <w:r>
              <w:rPr>
                <w:sz w:val="17"/>
              </w:rPr>
              <w:t>per-length rate × 4 × entered quantity/length</w:t>
            </w:r>
          </w:p>
        </w:tc>
      </w:tr>
    </w:tbl>
    <w:p>
      <w:pPr>
        <w:pStyle w:val="Heading1"/>
      </w:pPr>
      <w:r>
        <w:t>4. Engineering Lookup Model</w:t>
      </w:r>
    </w:p>
    <w:p>
      <w:r>
        <w:t>The Quote Form support grid has been separated into three lookup tables: bore dimensions, rod dimensions, and port sizes. A fourth display-rule table identifies which dimensions apply to which mount families. The engine can therefore calculate engineering results independently and pass finished values to the HTML/PDF quote renderer.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sz w:val="18"/>
              </w:rPr>
              <w:t>Lookup</w:t>
            </w:r>
          </w:p>
        </w:tc>
        <w:tc>
          <w:tcPr>
            <w:tcW w:type="dxa" w:w="3408"/>
            <w:shd w:fill="1F4E78"/>
          </w:tcPr>
          <w:p>
            <w:r>
              <w:rPr>
                <w:b/>
                <w:color w:val="FFFFFF"/>
                <w:sz w:val="18"/>
              </w:rPr>
              <w:t>Key</w:t>
            </w:r>
          </w:p>
        </w:tc>
        <w:tc>
          <w:tcPr>
            <w:tcW w:type="dxa" w:w="3408"/>
            <w:shd w:fill="1F4E78"/>
          </w:tcPr>
          <w:p>
            <w:r>
              <w:rPr>
                <w:b/>
                <w:color w:val="FFFFFF"/>
                <w:sz w:val="18"/>
              </w:rPr>
              <w:t>Outputs</w:t>
            </w:r>
          </w:p>
        </w:tc>
      </w:tr>
      <w:tr>
        <w:tc>
          <w:tcPr>
            <w:tcW w:type="dxa" w:w="3408"/>
            <w:vAlign w:val="center"/>
          </w:tcPr>
          <w:p>
            <w:r>
              <w:rPr>
                <w:sz w:val="17"/>
              </w:rPr>
              <w:t>Bore Dimensions</w:t>
            </w:r>
          </w:p>
        </w:tc>
        <w:tc>
          <w:tcPr>
            <w:tcW w:type="dxa" w:w="3408"/>
            <w:vAlign w:val="center"/>
          </w:tcPr>
          <w:p>
            <w:r>
              <w:rPr>
                <w:sz w:val="17"/>
              </w:rPr>
              <w:t>Engineering family + bore</w:t>
            </w:r>
          </w:p>
        </w:tc>
        <w:tc>
          <w:tcPr>
            <w:tcW w:type="dxa" w:w="3408"/>
            <w:vAlign w:val="center"/>
          </w:tcPr>
          <w:p>
            <w:r>
              <w:rPr>
                <w:sz w:val="17"/>
              </w:rPr>
              <w:t>S/NPT, E, G, J, LB, CD, CB, L, UM, TM, UT, TD, TL, F, DD</w:t>
            </w:r>
          </w:p>
        </w:tc>
      </w:tr>
      <w:tr>
        <w:tc>
          <w:tcPr>
            <w:tcW w:type="dxa" w:w="3408"/>
            <w:vAlign w:val="center"/>
          </w:tcPr>
          <w:p>
            <w:r>
              <w:rPr>
                <w:sz w:val="17"/>
              </w:rPr>
              <w:t>Rod Dimensions</w:t>
            </w:r>
          </w:p>
        </w:tc>
        <w:tc>
          <w:tcPr>
            <w:tcW w:type="dxa" w:w="3408"/>
            <w:vAlign w:val="center"/>
          </w:tcPr>
          <w:p>
            <w:r>
              <w:rPr>
                <w:sz w:val="17"/>
              </w:rPr>
              <w:t>Rod diameter</w:t>
            </w:r>
          </w:p>
        </w:tc>
        <w:tc>
          <w:tcPr>
            <w:tcW w:type="dxa" w:w="3408"/>
            <w:vAlign w:val="center"/>
          </w:tcPr>
          <w:p>
            <w:r>
              <w:rPr>
                <w:sz w:val="17"/>
              </w:rPr>
              <w:t>A and WF</w:t>
            </w:r>
          </w:p>
        </w:tc>
      </w:tr>
      <w:tr>
        <w:tc>
          <w:tcPr>
            <w:tcW w:type="dxa" w:w="3408"/>
            <w:vAlign w:val="center"/>
          </w:tcPr>
          <w:p>
            <w:r>
              <w:rPr>
                <w:sz w:val="17"/>
              </w:rPr>
              <w:t>Port Sizes</w:t>
            </w:r>
          </w:p>
        </w:tc>
        <w:tc>
          <w:tcPr>
            <w:tcW w:type="dxa" w:w="3408"/>
            <w:vAlign w:val="center"/>
          </w:tcPr>
          <w:p>
            <w:r>
              <w:rPr>
                <w:sz w:val="17"/>
              </w:rPr>
              <w:t>Engineering family + bore + port type</w:t>
            </w:r>
          </w:p>
        </w:tc>
        <w:tc>
          <w:tcPr>
            <w:tcW w:type="dxa" w:w="3408"/>
            <w:vAlign w:val="center"/>
          </w:tcPr>
          <w:p>
            <w:r>
              <w:rPr>
                <w:sz w:val="17"/>
              </w:rPr>
              <w:t>Port size/value</w:t>
            </w:r>
          </w:p>
        </w:tc>
      </w:tr>
      <w:tr>
        <w:tc>
          <w:tcPr>
            <w:tcW w:type="dxa" w:w="3408"/>
            <w:vAlign w:val="center"/>
          </w:tcPr>
          <w:p>
            <w:r>
              <w:rPr>
                <w:sz w:val="17"/>
              </w:rPr>
              <w:t>Display Rules</w:t>
            </w:r>
          </w:p>
        </w:tc>
        <w:tc>
          <w:tcPr>
            <w:tcW w:type="dxa" w:w="3408"/>
            <w:vAlign w:val="center"/>
          </w:tcPr>
          <w:p>
            <w:r>
              <w:rPr>
                <w:sz w:val="17"/>
              </w:rPr>
              <w:t>Mount code/family</w:t>
            </w:r>
          </w:p>
        </w:tc>
        <w:tc>
          <w:tcPr>
            <w:tcW w:type="dxa" w:w="3408"/>
            <w:vAlign w:val="center"/>
          </w:tcPr>
          <w:p>
            <w:r>
              <w:rPr>
                <w:sz w:val="17"/>
              </w:rPr>
              <w:t>Determines which dimension fields are shown</w:t>
            </w:r>
          </w:p>
        </w:tc>
      </w:tr>
    </w:tbl>
    <w:p>
      <w:pPr>
        <w:pStyle w:val="Heading1"/>
      </w:pPr>
      <w:r>
        <w:t>5. Findings That Must Remain Visible</w:t>
      </w:r>
    </w:p>
    <w:p>
      <w:pPr>
        <w:pStyle w:val="ListBullet"/>
      </w:pPr>
      <w:r>
        <w:t>A3 contains a likely dead/typo branch: A3!N tests Data!A10="V" rather than the seal input Data!B10. Current Excel behavior should be matched first; do not silently repair it.</w:t>
      </w:r>
    </w:p>
    <w:p>
      <w:pPr>
        <w:pStyle w:val="ListBullet"/>
      </w:pPr>
      <w:r>
        <w:t>A2/A3/A4 contain 20% helper columns (ROUNDUP(source × 1.2, 0)) that are not included in the active sheet totals. They were excluded from the active normalized rate matrix.</w:t>
      </w:r>
    </w:p>
    <w:p>
      <w:pPr>
        <w:pStyle w:val="ListBullet"/>
      </w:pPr>
      <w:r>
        <w:t>H3 contains a Boss Port rate column, but the active H3 total does not include a Boss Port output. It remains unimplemented until a downstream use is proven.</w:t>
      </w:r>
    </w:p>
    <w:p>
      <w:pPr>
        <w:pStyle w:val="ListBullet"/>
      </w:pPr>
      <w:r>
        <w:t>H4/IH4 Thicker Head pricing multiplies a bore/rod rate by Data!I58. That input is currently blank and is not tied to a verified OrderEntry control, so the rule remains dormant/reserved.</w:t>
      </w:r>
    </w:p>
    <w:p>
      <w:pPr>
        <w:pStyle w:val="ListBullet"/>
      </w:pPr>
      <w:r>
        <w:t>Weight and push/pull force are formula calculations rather than static lookup tables. They should be implemented during engine parity work, not treated as dimension-table rows.</w:t>
      </w:r>
    </w:p>
    <w:p>
      <w:pPr>
        <w:pStyle w:val="Heading1"/>
      </w:pPr>
      <w:r>
        <w:t>6. Phase A2 Result</w:t>
      </w:r>
    </w:p>
    <w:p>
      <w:r>
        <w:t>The pricing data is now organized at the level needed for implementation. The future engine no longer needs to know that H2, H3, H4, A2, A3, A4, IH2, IH3 and IH4 exist as worksheets. It can select the applicable rule, retrieve a bore/rod rate record, evaluate the explicit trigger, and add the result to the quote subtotal.</w:t>
      </w:r>
    </w:p>
    <w:p>
      <w:pPr>
        <w:pStyle w:val="Heading1"/>
      </w:pPr>
      <w:r>
        <w:t>7. Recommended Next Phase</w:t>
      </w:r>
    </w:p>
    <w:p>
      <w:r>
        <w:t>Proceed to the calculation-engine phase. Build a pure Python calculator using the Phase A and A2 datasets, beginning with model-code generation, series routing, base price, stroke/cushion price, modifications, accessories, DRE, discount/list/net pricing, and W-series behavior. Before building the HTML interface, run parity cases against the original Excel workbook and require exact or explicitly explained matches.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