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Cylinder Quote Calculator - Phase A Data Extraction</w:t>
      </w:r>
    </w:p>
    <w:p>
      <w:pPr>
        <w:jc w:val="center"/>
      </w:pPr>
      <w:r>
        <w:rPr>
          <w:b/>
          <w:color w:val="595959"/>
        </w:rPr>
        <w:t>Pricing and rate data prepared for the future multi-user HTML calculation engine</w:t>
      </w:r>
    </w:p>
    <w:p>
      <w:pPr>
        <w:pStyle w:val="Heading1"/>
      </w:pPr>
      <w:r>
        <w:t>1. Phase A Objective</w:t>
      </w:r>
    </w:p>
    <w:p>
      <w:r>
        <w:t>Convert the workbook pricing tables into structured, auditable datasets without changing the current business rules. Excel remains the reference implementation until the new calculation engine passes parity testing.</w:t>
      </w:r>
    </w:p>
    <w:p>
      <w:pPr>
        <w:pStyle w:val="Heading1"/>
      </w:pPr>
      <w:r>
        <w:t>2. Extracted Datasets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t>Dataset</w:t>
            </w:r>
          </w:p>
        </w:tc>
        <w:tc>
          <w:tcPr>
            <w:tcW w:type="dxa" w:w="3408"/>
            <w:vAlign w:val="center"/>
          </w:tcPr>
          <w:p>
            <w:r>
              <w:t>Records</w:t>
            </w:r>
          </w:p>
        </w:tc>
        <w:tc>
          <w:tcPr>
            <w:tcW w:type="dxa" w:w="3408"/>
            <w:vAlign w:val="center"/>
          </w:tcPr>
          <w:p>
            <w: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>
              <w:t>Series Pricing</w:t>
            </w:r>
          </w:p>
        </w:tc>
        <w:tc>
          <w:tcPr>
            <w:tcW w:type="dxa" w:w="3408"/>
            <w:vAlign w:val="center"/>
          </w:tcPr>
          <w:p>
            <w:r>
              <w:t>614</w:t>
            </w:r>
          </w:p>
        </w:tc>
        <w:tc>
          <w:tcPr>
            <w:tcW w:type="dxa" w:w="3408"/>
            <w:vAlign w:val="center"/>
          </w:tcPr>
          <w:p>
            <w:r>
              <w:t>Expanded base prices by series family, bore, rod diameter and mount-code bucket; includes stroke/cushion rates and source cells.</w:t>
            </w:r>
          </w:p>
        </w:tc>
      </w:tr>
      <w:tr>
        <w:tc>
          <w:tcPr>
            <w:tcW w:type="dxa" w:w="3408"/>
            <w:vAlign w:val="center"/>
          </w:tcPr>
          <w:p>
            <w:r>
              <w:t>Series Row Rates</w:t>
            </w:r>
          </w:p>
        </w:tc>
        <w:tc>
          <w:tcPr>
            <w:tcW w:type="dxa" w:w="3408"/>
            <w:vAlign w:val="center"/>
          </w:tcPr>
          <w:p>
            <w:r>
              <w:t>186</w:t>
            </w:r>
          </w:p>
        </w:tc>
        <w:tc>
          <w:tcPr>
            <w:tcW w:type="dxa" w:w="3408"/>
            <w:vAlign w:val="center"/>
          </w:tcPr>
          <w:p>
            <w:r>
              <w:t>One record per bore/rod combination with thread, stroke-rate and cushion-rate information.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VA Base Pricing</w:t>
            </w:r>
          </w:p>
        </w:tc>
        <w:tc>
          <w:tcPr>
            <w:tcW w:type="dxa" w:w="3408"/>
            <w:vAlign w:val="center"/>
          </w:tcPr>
          <w:p>
            <w:r>
              <w:t>14</w:t>
            </w:r>
          </w:p>
        </w:tc>
        <w:tc>
          <w:tcPr>
            <w:tcW w:type="dxa" w:w="3408"/>
            <w:vAlign w:val="center"/>
          </w:tcPr>
          <w:p>
            <w:r>
              <w:t>VA bore pricing, stroke rates, threads and lifting-eye values.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Accessory Mountings</w:t>
            </w:r>
          </w:p>
        </w:tc>
        <w:tc>
          <w:tcPr>
            <w:tcW w:type="dxa" w:w="3408"/>
            <w:vAlign w:val="center"/>
          </w:tcPr>
          <w:p>
            <w:r>
              <w:t>58</w:t>
            </w:r>
          </w:p>
        </w:tc>
        <w:tc>
          <w:tcPr>
            <w:tcW w:type="dxa" w:w="3408"/>
            <w:vAlign w:val="center"/>
          </w:tcPr>
          <w:p>
            <w:r>
              <w:t>Rod clevis, eye bracket, female rod eye, clevis bracket and pivot-pin prices by thread size.</w:t>
            </w:r>
          </w:p>
        </w:tc>
      </w:tr>
      <w:tr>
        <w:tc>
          <w:tcPr>
            <w:tcW w:type="dxa" w:w="3408"/>
            <w:vAlign w:val="center"/>
          </w:tcPr>
          <w:p>
            <w:r>
              <w:t>Special Part Catalog</w:t>
            </w:r>
          </w:p>
        </w:tc>
        <w:tc>
          <w:tcPr>
            <w:tcW w:type="dxa" w:w="3408"/>
            <w:vAlign w:val="center"/>
          </w:tcPr>
          <w:p>
            <w:r>
              <w:t>433</w:t>
            </w:r>
          </w:p>
        </w:tc>
        <w:tc>
          <w:tcPr>
            <w:tcW w:type="dxa" w:w="3408"/>
            <w:vAlign w:val="center"/>
          </w:tcPr>
          <w:p>
            <w:r>
              <w:t>ShipVia part number, description and materialized current price, with source/formula trace.</w:t>
            </w:r>
          </w:p>
        </w:tc>
      </w:tr>
      <w:tr>
        <w:tc>
          <w:tcPr>
            <w:tcW w:type="dxa" w:w="3408"/>
            <w:vAlign w:val="center"/>
          </w:tcPr>
          <w:p>
            <w:r>
              <w:t>Common Modification Rate Cells</w:t>
            </w:r>
          </w:p>
        </w:tc>
        <w:tc>
          <w:tcPr>
            <w:tcW w:type="dxa" w:w="3408"/>
            <w:vAlign w:val="center"/>
          </w:tcPr>
          <w:p>
            <w:r>
              <w:t>2716</w:t>
            </w:r>
          </w:p>
        </w:tc>
        <w:tc>
          <w:tcPr>
            <w:tcW w:type="dxa" w:w="3408"/>
            <w:vAlign w:val="center"/>
          </w:tcPr>
          <w:p>
            <w:r>
              <w:t>Hardcoded rate cells from H2/H3/H4, A2/A3/A4 and IH2/IH3/IH4, keyed by bore/rod and source cell.</w:t>
            </w:r>
          </w:p>
        </w:tc>
      </w:tr>
      <w:tr>
        <w:tc>
          <w:tcPr>
            <w:tcW w:type="dxa" w:w="3408"/>
            <w:vAlign w:val="center"/>
          </w:tcPr>
          <w:p>
            <w:r>
              <w:t>PH Position Sensing</w:t>
            </w:r>
          </w:p>
        </w:tc>
        <w:tc>
          <w:tcPr>
            <w:tcW w:type="dxa" w:w="3408"/>
            <w:vAlign w:val="center"/>
          </w:tcPr>
          <w:p>
            <w:r>
              <w:t>25</w:t>
            </w:r>
          </w:p>
        </w:tc>
        <w:tc>
          <w:tcPr>
            <w:tcW w:type="dxa" w:w="3408"/>
            <w:vAlign w:val="center"/>
          </w:tcPr>
          <w:p>
            <w:r>
              <w:t>Imperial and metric gun-drilling, sensor-cover and valve-manifold rates by bore.</w:t>
            </w:r>
          </w:p>
        </w:tc>
      </w:tr>
      <w:tr>
        <w:tc>
          <w:tcPr>
            <w:tcW w:type="dxa" w:w="3408"/>
            <w:vAlign w:val="center"/>
          </w:tcPr>
          <w:p>
            <w:r>
              <w:t>PH Sensor Bands</w:t>
            </w:r>
          </w:p>
        </w:tc>
        <w:tc>
          <w:tcPr>
            <w:tcW w:type="dxa" w:w="3408"/>
            <w:vAlign w:val="center"/>
          </w:tcPr>
          <w:p>
            <w:r>
              <w:t>18</w:t>
            </w:r>
          </w:p>
        </w:tc>
        <w:tc>
          <w:tcPr>
            <w:tcW w:type="dxa" w:w="3408"/>
            <w:vAlign w:val="center"/>
          </w:tcPr>
          <w:p>
            <w:r>
              <w:t>Stroke-band sensor pricing for imperial and metric configurations.</w:t>
            </w:r>
          </w:p>
        </w:tc>
      </w:tr>
      <w:tr>
        <w:tc>
          <w:tcPr>
            <w:tcW w:type="dxa" w:w="3408"/>
            <w:vAlign w:val="center"/>
          </w:tcPr>
          <w:p>
            <w:r>
              <w:t>VA Modifications</w:t>
            </w:r>
          </w:p>
        </w:tc>
        <w:tc>
          <w:tcPr>
            <w:tcW w:type="dxa" w:w="3408"/>
            <w:vAlign w:val="center"/>
          </w:tcPr>
          <w:p>
            <w:r>
              <w:t>14</w:t>
            </w:r>
          </w:p>
        </w:tc>
        <w:tc>
          <w:tcPr>
            <w:tcW w:type="dxa" w:w="3408"/>
            <w:vAlign w:val="center"/>
          </w:tcPr>
          <w:p>
            <w:r>
              <w:t>Extra thread, rod extension, stainless rod, Viton seals and extra tie-rod rates by bore.</w:t>
            </w:r>
          </w:p>
        </w:tc>
      </w:tr>
    </w:tbl>
    <w:p>
      <w:pPr>
        <w:pStyle w:val="Heading1"/>
      </w:pPr>
      <w:r>
        <w:t>3. Traceability Rule</w:t>
      </w:r>
    </w:p>
    <w:p>
      <w:r>
        <w:t>Every normalized pricing record retains the original worksheet and row/cell location. When a source price is itself produced by an Excel formula, the extracted dataset materializes the workbook's cached numeric value and preserves the source formula text. This lets the future calculator use a stable numeric dataset while still allowing us to audit the number back to Excel.</w:t>
      </w:r>
    </w:p>
    <w:p>
      <w:pPr>
        <w:pStyle w:val="Heading1"/>
      </w:pPr>
      <w:r>
        <w:t>4. Series Pricing Structure</w:t>
      </w:r>
    </w:p>
    <w:p>
      <w:r>
        <w:t>The five primary price-list families are normalized as H (aliases H/HM/W), A (A/LH), MH, IH (IH/IHM), and IMH. Each bore/rod row is expanded by the mount bucket used by the original workbook. The web engine will therefore be able to resolve base price using a direct lookup such as Series + Bore + Rod + Mount Code, rather than reproducing the blank-returning Excel routing formulas.</w:t>
      </w:r>
    </w:p>
    <w:p>
      <w:pPr>
        <w:pStyle w:val="Heading1"/>
      </w:pPr>
      <w:r>
        <w:t>5. Items Flagged for Review</w:t>
      </w:r>
    </w:p>
    <w:p>
      <w:pPr>
        <w:pStyle w:val="ListBullet"/>
      </w:pPr>
      <w:r>
        <w:rPr>
          <w:b/>
        </w:rPr>
        <w:t xml:space="preserve">PH metric sensor cover: </w:t>
      </w:r>
      <w:r>
        <w:t>Several metric cover formulas reference the imperial D-column price instead of the metric O-column value. Keep current Excel behavior during parity testing, then decide whether this is intentional.</w:t>
      </w:r>
    </w:p>
    <w:p>
      <w:pPr>
        <w:pStyle w:val="ListBullet"/>
      </w:pPr>
      <w:r>
        <w:rPr>
          <w:b/>
        </w:rPr>
        <w:t xml:space="preserve">VA extra tie rod: </w:t>
      </w:r>
      <w:r>
        <w:t>The source formula checks Data!B25 but multiplies the rate by Data!B27. Verify the intended quantity before final engine implementation.</w:t>
      </w:r>
    </w:p>
    <w:p>
      <w:pPr>
        <w:pStyle w:val="ListBullet"/>
      </w:pPr>
      <w:r>
        <w:rPr>
          <w:b/>
        </w:rPr>
        <w:t xml:space="preserve">Formula-derived price-list cells: </w:t>
      </w:r>
      <w:r>
        <w:t>Some metric price-list values are generated from prior rows (for example an 8% increase). The dataset stores the current calculated value and the original formula.</w:t>
      </w:r>
    </w:p>
    <w:p>
      <w:pPr>
        <w:pStyle w:val="ListBullet"/>
      </w:pPr>
      <w:r>
        <w:rPr>
          <w:b/>
        </w:rPr>
        <w:t xml:space="preserve">Engineering lookup grid: </w:t>
      </w:r>
      <w:r>
        <w:t>The customer quote engineering/dimension support grid is intentionally deferred to Phase A2. It does not block building the pricing engine datasets.</w:t>
      </w:r>
    </w:p>
    <w:p>
      <w:pPr>
        <w:pStyle w:val="Heading1"/>
      </w:pPr>
      <w:r>
        <w:t>6. Deliverables</w:t>
      </w:r>
    </w:p>
    <w:p>
      <w:r>
        <w:t>The review workbook provides filterable sheets for the extracted datasets. The ZIP package contains CSV versions plus a JSON manifest, which is closer to the format we will eventually load into a database or seed script.</w:t>
      </w:r>
    </w:p>
    <w:p>
      <w:pPr>
        <w:pStyle w:val="Heading1"/>
      </w:pPr>
      <w:r>
        <w:t>7. Recommended Next Step</w:t>
      </w:r>
    </w:p>
    <w:p>
      <w:r>
        <w:t>Phase A2 should normalize the common-modification rate cells into named business-rule tables and extract the Quote Form engineering/dimension lookup data. After that, Phase B can begin: build the pure Python pricing engine and compare its results against known Excel quotes before any HTML user interface is developed.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