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Cylinder Quote Pricing Engine v1.2</w:t>
      </w:r>
    </w:p>
    <w:p>
      <w:pPr>
        <w:jc w:val="center"/>
      </w:pPr>
      <w:r>
        <w:rPr>
          <w:i/>
          <w:sz w:val="22"/>
        </w:rPr>
        <w:t>Accessory Normalization, Regression Validation, and Web-Ready Freeze Checkpoint</w:t>
      </w:r>
    </w:p>
    <w:p>
      <w:pPr>
        <w:pStyle w:val="Heading1"/>
      </w:pPr>
      <w:r>
        <w:t>1. Phase Result</w:t>
      </w:r>
    </w:p>
    <w:p>
      <w:r>
        <w:t>The remaining direct accessories and Standard Rod Boot logic have been normalized into the standalone Python pricing engine. Pricing Engine v1.2 is the recommended freeze checkpoint before Flask/API and HTML work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Validation Gate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Existing core pricing tests</w:t>
            </w:r>
          </w:p>
        </w:tc>
        <w:tc>
          <w:tcPr>
            <w:tcW w:type="dxa" w:w="5112"/>
            <w:vAlign w:val="center"/>
          </w:tcPr>
          <w:p>
            <w:r>
              <w:t>8/8 retained and passing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 automated pytest tests</w:t>
            </w:r>
          </w:p>
        </w:tc>
        <w:tc>
          <w:tcPr>
            <w:tcW w:type="dxa" w:w="5112"/>
            <w:vAlign w:val="center"/>
          </w:tcPr>
          <w:p>
            <w:r>
              <w:t>13/13 passing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Targeted Excel accessory/boot parity</w:t>
            </w:r>
          </w:p>
        </w:tc>
        <w:tc>
          <w:tcPr>
            <w:tcW w:type="dxa" w:w="5112"/>
            <w:vAlign w:val="center"/>
          </w:tcPr>
          <w:p>
            <w:r>
              <w:t>20/20 exact matches at Data!H23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Previous complete quote parity baseline</w:t>
            </w:r>
          </w:p>
        </w:tc>
        <w:tc>
          <w:tcPr>
            <w:tcW w:type="dxa" w:w="5112"/>
            <w:vAlign w:val="center"/>
          </w:tcPr>
          <w:p>
            <w:r>
              <w:t>16/16 complete quotes established in v1.1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 pricing lookup validation</w:t>
            </w:r>
          </w:p>
        </w:tc>
        <w:tc>
          <w:tcPr>
            <w:tcW w:type="dxa" w:w="5112"/>
            <w:vAlign w:val="center"/>
          </w:tcPr>
          <w:p>
            <w:r>
              <w:t>628/628 established before this cleanup</w:t>
            </w:r>
          </w:p>
        </w:tc>
      </w:tr>
    </w:tbl>
    <w:p>
      <w:pPr>
        <w:pStyle w:val="Heading1"/>
      </w:pPr>
      <w:r>
        <w:t>2. What v1.2 Adds</w:t>
      </w:r>
    </w:p>
    <w:p>
      <w:r>
        <w:t>Engine v1.2 now covers all direct accessory input rows Data!G9:G22 plus Standard Rod Boot Data!G25. The normalized dataset preserves part number, price, lookup basis, source row, and source price cell.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Accessory Group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Legacy Lookup Basis</w:t>
            </w:r>
          </w:p>
        </w:tc>
      </w:tr>
      <w:tr>
        <w:tc>
          <w:tcPr>
            <w:tcW w:type="dxa" w:w="5112"/>
            <w:vAlign w:val="center"/>
          </w:tcPr>
          <w:p>
            <w:r>
              <w:t>Rod Clevis / Rod Eye</w:t>
            </w:r>
          </w:p>
        </w:tc>
        <w:tc>
          <w:tcPr>
            <w:tcW w:type="dxa" w:w="5112"/>
            <w:vAlign w:val="center"/>
          </w:tcPr>
          <w:p>
            <w:r>
              <w:t>Rod thread (Data!D9)</w:t>
            </w:r>
          </w:p>
        </w:tc>
      </w:tr>
      <w:tr>
        <w:tc>
          <w:tcPr>
            <w:tcW w:type="dxa" w:w="5112"/>
            <w:vAlign w:val="center"/>
          </w:tcPr>
          <w:p>
            <w:r>
              <w:t>Eye Bracket / Pivot Pin</w:t>
            </w:r>
          </w:p>
        </w:tc>
        <w:tc>
          <w:tcPr>
            <w:tcW w:type="dxa" w:w="5112"/>
            <w:vAlign w:val="center"/>
          </w:tcPr>
          <w:p>
            <w:r>
              <w:t>Grouped rod-thread mapping through Acc!S5:S14</w:t>
            </w:r>
          </w:p>
        </w:tc>
      </w:tr>
      <w:tr>
        <w:tc>
          <w:tcPr>
            <w:tcW w:type="dxa" w:w="5112"/>
            <w:vAlign w:val="center"/>
          </w:tcPr>
          <w:p>
            <w:r>
              <w:t>Self-Aligning Male Eye / SA Clevis / Alignment Coupler / Male Rod Eye</w:t>
            </w:r>
          </w:p>
        </w:tc>
        <w:tc>
          <w:tcPr>
            <w:tcW w:type="dxa" w:w="5112"/>
            <w:vAlign w:val="center"/>
          </w:tcPr>
          <w:p>
            <w:r>
              <w:t>Rod thread (Data!D9)</w:t>
            </w:r>
          </w:p>
        </w:tc>
      </w:tr>
      <w:tr>
        <w:tc>
          <w:tcPr>
            <w:tcW w:type="dxa" w:w="5112"/>
            <w:vAlign w:val="center"/>
          </w:tcPr>
          <w:p>
            <w:r>
              <w:t>Clevis Bracket / SA Pivot Pin</w:t>
            </w:r>
          </w:p>
        </w:tc>
        <w:tc>
          <w:tcPr>
            <w:tcW w:type="dxa" w:w="5112"/>
            <w:vAlign w:val="center"/>
          </w:tcPr>
          <w:p>
            <w:r>
              <w:t>Series + Bore + Mount bucket via Acc!T5:T12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Safety Coupler / Weld Plate</w:t>
            </w:r>
          </w:p>
        </w:tc>
        <w:tc>
          <w:tcPr>
            <w:tcW w:type="dxa" w:w="5112"/>
            <w:vAlign w:val="center"/>
          </w:tcPr>
          <w:p>
            <w:r>
              <w:t>Rod diameter (Data!B6)</w:t>
            </w:r>
          </w:p>
        </w:tc>
      </w:tr>
      <w:tr>
        <w:tc>
          <w:tcPr>
            <w:tcW w:type="dxa" w:w="5112"/>
            <w:vAlign w:val="center"/>
          </w:tcPr>
          <w:p>
            <w:r>
              <w:t>Rod Stud / Jam Nut</w:t>
            </w:r>
          </w:p>
        </w:tc>
        <w:tc>
          <w:tcPr>
            <w:tcW w:type="dxa" w:w="5112"/>
            <w:vAlign w:val="center"/>
          </w:tcPr>
          <w:p>
            <w:r>
              <w:t>Legacy rod-diameter routing in Acc!S/T columns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Rod Boot</w:t>
            </w:r>
          </w:p>
        </w:tc>
        <w:tc>
          <w:tcPr>
            <w:tcW w:type="dxa" w:w="5112"/>
            <w:vAlign w:val="center"/>
          </w:tcPr>
          <w:p>
            <w:r>
              <w:t>Rod diameter + stroke + quantity</w:t>
            </w:r>
          </w:p>
        </w:tc>
      </w:tr>
    </w:tbl>
    <w:p>
      <w:pPr>
        <w:pStyle w:val="Heading1"/>
        <w:pageBreakBefore/>
      </w:pPr>
      <w:r>
        <w:t>3. Legacy Compatibility Rules Preserved</w:t>
      </w:r>
    </w:p>
    <w:p>
      <w:r>
        <w:t>Several accessory formulas are unusual. They are reproduced exactly for migration parity and isolated in code so JIT can later decide whether to correct them as business-rule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Excel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Weld Plate quantity</w:t>
            </w:r>
          </w:p>
        </w:tc>
        <w:tc>
          <w:tcPr>
            <w:tcW w:type="dxa" w:w="5112"/>
            <w:vAlign w:val="center"/>
          </w:tcPr>
          <w:p>
            <w:r>
              <w:t>Quantity &gt; 0 triggers one Weld Plate price; quantity does not multiply price.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Rod Stud selection</w:t>
            </w:r>
          </w:p>
        </w:tc>
        <w:tc>
          <w:tcPr>
            <w:tcW w:type="dxa" w:w="5112"/>
            <w:vAlign w:val="center"/>
          </w:tcPr>
          <w:p>
            <w:r>
              <w:t>Selected by rod diameter Data!B6, not rod thread Data!D9.</w:t>
            </w:r>
          </w:p>
        </w:tc>
      </w:tr>
      <w:tr>
        <w:tc>
          <w:tcPr>
            <w:tcW w:type="dxa" w:w="5112"/>
            <w:vAlign w:val="center"/>
          </w:tcPr>
          <w:p>
            <w:r>
              <w:t>Jam Nut selection</w:t>
            </w:r>
          </w:p>
        </w:tc>
        <w:tc>
          <w:tcPr>
            <w:tcW w:type="dxa" w:w="5112"/>
            <w:vAlign w:val="center"/>
          </w:tcPr>
          <w:p>
            <w:r>
              <w:t>Selected by rod diameter Data!B6, not rod thread Data!D9.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Standard Rod Boot quantity</w:t>
            </w:r>
          </w:p>
        </w:tc>
        <w:tc>
          <w:tcPr>
            <w:tcW w:type="dxa" w:w="5112"/>
            <w:vAlign w:val="center"/>
          </w:tcPr>
          <w:p>
            <w:r>
              <w:t>Base price charged once; quantity multiplies only per-stroke portion.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Clevis Bracket</w:t>
            </w:r>
          </w:p>
        </w:tc>
        <w:tc>
          <w:tcPr>
            <w:tcW w:type="dxa" w:w="5112"/>
            <w:vAlign w:val="center"/>
          </w:tcPr>
          <w:p>
            <w:r>
              <w:t>Price bucket depends on Series+Bore+Mount, not merely rod thread.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 Pivot Pin</w:t>
            </w:r>
          </w:p>
        </w:tc>
        <w:tc>
          <w:tcPr>
            <w:tcW w:type="dxa" w:w="5112"/>
            <w:vAlign w:val="center"/>
          </w:tcPr>
          <w:p>
            <w:r>
              <w:t>Price bucket depends on Series+Bore+Mount.</w:t>
            </w:r>
          </w:p>
        </w:tc>
      </w:tr>
    </w:tbl>
    <w:p>
      <w:pPr>
        <w:pStyle w:val="Heading1"/>
      </w:pPr>
      <w:r>
        <w:t>4. Validation Interpretation</w:t>
      </w:r>
    </w:p>
    <w:p>
      <w:r>
        <w:t>The 20 new scenarios compare Excel Data!H23 against the Python accessory subtotal and match exactly. The earlier full-quote parity phase already proved the downstream D6/List/Net calculations. The core regression suite was rerun after the accessory changes and remains green, showing the cleanup did not disturb the previously verified pricing engine.</w:t>
      </w:r>
    </w:p>
    <w:p>
      <w:pPr>
        <w:pStyle w:val="Heading1"/>
      </w:pPr>
      <w:r>
        <w:t>5. Freeze Recommendation</w:t>
      </w:r>
    </w:p>
    <w:p>
      <w:r>
        <w:t>Freeze Pricing Engine v1.2 as the pricing reference for the first web build. Do not modify legacy compatibility behavior during initial HTML migration. Any pricing-policy cleanup should be versioned and tested separately after the web system can reproduce the workbook reliably.</w:t>
      </w:r>
    </w:p>
    <w:p>
      <w:pPr>
        <w:pStyle w:val="Heading1"/>
      </w:pPr>
      <w:r>
        <w:t>6. Next Phase</w:t>
      </w:r>
    </w:p>
    <w:p>
      <w:r>
        <w:t>Begin the web application foundation: Flask/API service, database schema, per-user quote sessions, and an OrderEntry-style HTML interface wired to Pricing Engine v1.2. The first web milestone should calculate and display a quote without saving it; persistence, quote numbering, customer history, and PDF generation should follow after API parity is proven.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