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Cylinder Quote Calculator Dissection</w:t>
      </w:r>
    </w:p>
    <w:p>
      <w:pPr>
        <w:jc w:val="center"/>
      </w:pPr>
      <w:r>
        <w:rPr>
          <w:b/>
        </w:rPr>
        <w:t>Working Findings &amp; Location Map</w:t>
      </w:r>
    </w:p>
    <w:p>
      <w:r>
        <w:t>Purpose: reverse-engineer the existing Excel pricing engine so the same rules can later be rebuilt as a multi-user HTML/web quoting system with calculation parity.</w:t>
      </w:r>
    </w:p>
    <w:p>
      <w:pPr>
        <w:pStyle w:val="Heading1"/>
      </w:pPr>
      <w:r>
        <w:t>Dissection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Investigation Area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Cylinder Definition / User Inputs</w:t>
            </w:r>
          </w:p>
        </w:tc>
        <w:tc>
          <w:tcPr>
            <w:tcW w:type="dxa" w:w="345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Model-Code Generation</w:t>
            </w:r>
          </w:p>
        </w:tc>
        <w:tc>
          <w:tcPr>
            <w:tcW w:type="dxa" w:w="3456"/>
            <w:vAlign w:val="center"/>
          </w:tcPr>
          <w:p>
            <w:r>
              <w:t>COMPLETE - CORE MODEL PATH VERIFIED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Series Routing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Base-Cylinder Component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Stroke-Related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6</w:t>
            </w:r>
          </w:p>
        </w:tc>
        <w:tc>
          <w:tcPr>
            <w:tcW w:type="dxa" w:w="3456"/>
            <w:vAlign w:val="center"/>
          </w:tcPr>
          <w:p>
            <w:r>
              <w:t>Accessories and Adders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7</w:t>
            </w:r>
          </w:p>
        </w:tc>
        <w:tc>
          <w:tcPr>
            <w:tcW w:type="dxa" w:w="3456"/>
            <w:vAlign w:val="center"/>
          </w:tcPr>
          <w:p>
            <w:r>
              <w:t>Special-Order Pricing Rules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Cost to List Price to Selling Price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9</w:t>
            </w:r>
          </w:p>
        </w:tc>
        <w:tc>
          <w:tcPr>
            <w:tcW w:type="dxa" w:w="3456"/>
            <w:vAlign w:val="center"/>
          </w:tcPr>
          <w:p>
            <w:r>
              <w:t>Quote Presentation Logic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VBA Workflow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Section 1 - Cylinder Definition / User Inputs</w:t>
      </w:r>
    </w:p>
    <w:p>
      <w:r>
        <w:t>Correction to the earlier map: the OrderEntry UserForm is the true user-input layer. The Data sheet is the normalized working record that the form populates. We will therefore trace every quote field as OrderEntry control -&gt; workbook destination -&gt; downstream calculation before moving to Section 2.</w:t>
      </w:r>
    </w:p>
    <w:p>
      <w:r>
        <w:t>A key verified link is OrderEntry ListBox1 &lt;- Data!D6. The form labels this output "Net Each", proving D6 is surfaced directly back to the user during quoting.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Input / Role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Form Control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Workbook Destination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Source / Logic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t>True user-entry point</w:t>
            </w:r>
          </w:p>
        </w:tc>
        <w:tc>
          <w:tcPr>
            <w:tcW w:type="dxa" w:w="2074"/>
            <w:vAlign w:val="center"/>
          </w:tcPr>
          <w:p>
            <w:r>
              <w:t>Form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title is "JIT 2026 Pricing Calculator". User selections are written into workbook cells and those cells drive the downstream formulas.</w:t>
            </w:r>
          </w:p>
        </w:tc>
        <w:tc>
          <w:tcPr>
            <w:tcW w:type="dxa" w:w="2074"/>
            <w:vAlign w:val="center"/>
          </w:tcPr>
          <w:p>
            <w:r>
              <w:t>VERIFIED from recovered OrderEntry VBA and form definition.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Customer</w:t>
            </w:r>
          </w:p>
        </w:tc>
        <w:tc>
          <w:tcPr>
            <w:tcW w:type="dxa" w:w="2074"/>
            <w:vAlign w:val="center"/>
          </w:tcPr>
          <w:p>
            <w:r>
              <w:t>ComboBox2</w:t>
            </w:r>
          </w:p>
        </w:tc>
        <w:tc>
          <w:tcPr>
            <w:tcW w:type="dxa" w:w="2074"/>
            <w:vAlign w:val="center"/>
          </w:tcPr>
          <w:p>
            <w:r>
              <w:t>Customer!B1</w:t>
            </w:r>
          </w:p>
        </w:tc>
        <w:tc>
          <w:tcPr>
            <w:tcW w:type="dxa" w:w="2074"/>
            <w:vAlign w:val="center"/>
          </w:tcPr>
          <w:p>
            <w:r>
              <w:t>ComboBox2_Change writes the selected customer to Customer!B1. RowSource is Customer!B3:G10000.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ComboBox6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Series control. RowSource ShipVia!H2:H12.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Mount</w:t>
            </w:r>
          </w:p>
        </w:tc>
        <w:tc>
          <w:tcPr>
            <w:tcW w:type="dxa" w:w="2074"/>
            <w:vAlign w:val="center"/>
          </w:tcPr>
          <w:p>
            <w:r>
              <w:t>ComboBox5</w:t>
            </w:r>
          </w:p>
        </w:tc>
        <w:tc>
          <w:tcPr>
            <w:tcW w:type="dxa" w:w="2074"/>
            <w:vAlign w:val="center"/>
          </w:tcPr>
          <w:p>
            <w:r>
              <w:t>Data!B5</w:t>
            </w:r>
          </w:p>
        </w:tc>
        <w:tc>
          <w:tcPr>
            <w:tcW w:type="dxa" w:w="2074"/>
            <w:vAlign w:val="center"/>
          </w:tcPr>
          <w:p>
            <w:r>
              <w:t>Mount control. RowSource ShipVia!F2:F27.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ComboBox11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Bore control. RowSource ShipVia!D21:D36.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TextBox22</w:t>
            </w:r>
          </w:p>
        </w:tc>
        <w:tc>
          <w:tcPr>
            <w:tcW w:type="dxa" w:w="2074"/>
            <w:vAlign w:val="center"/>
          </w:tcPr>
          <w:p>
            <w:r>
              <w:t>likely Data!B8</w:t>
            </w:r>
          </w:p>
        </w:tc>
        <w:tc>
          <w:tcPr>
            <w:tcW w:type="dxa" w:w="2074"/>
            <w:vAlign w:val="center"/>
          </w:tcPr>
          <w:p>
            <w:r>
              <w:t>Form label at the TextBox22 position is Stroke. Data!B8 is the workbook stroke input used by model and pricing formulas.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ComboBox7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Rod control. RowSource ShipVia!K1:K6.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 Style / Thread</w:t>
            </w:r>
          </w:p>
        </w:tc>
        <w:tc>
          <w:tcPr>
            <w:tcW w:type="dxa" w:w="2074"/>
            <w:vAlign w:val="center"/>
          </w:tcPr>
          <w:p>
            <w:r>
              <w:t>ComboBox10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Form label is Style. RowSource ShipVia!D12:D16. D15 is used by model-code and rod-thread logic.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ComboBox12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Cushion control. RowSource ShipVia!E18:E24.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ComboBox13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Ports control. RowSource ShipVia!E26:E29.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ComboBox9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Seal control. RowSource ShipVia!D6:D11.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Double Rod End</w:t>
            </w:r>
          </w:p>
        </w:tc>
        <w:tc>
          <w:tcPr>
            <w:tcW w:type="dxa" w:w="2074"/>
            <w:vAlign w:val="center"/>
          </w:tcPr>
          <w:p>
            <w:r>
              <w:t>TextBox8</w:t>
            </w:r>
          </w:p>
        </w:tc>
        <w:tc>
          <w:tcPr>
            <w:tcW w:type="dxa" w:w="2074"/>
            <w:vAlign w:val="center"/>
          </w:tcPr>
          <w:p>
            <w:r>
              <w:t>likely Data!D18</w:t>
            </w:r>
          </w:p>
        </w:tc>
        <w:tc>
          <w:tcPr>
            <w:tcW w:type="dxa" w:w="2074"/>
            <w:vAlign w:val="center"/>
          </w:tcPr>
          <w:p>
            <w:r>
              <w:t>Form label is DRE (Y). Data!D18 is cleared when form initializes and drives the DRE model prefix plus the C5*0.65 pricing rule.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Discount</w:t>
            </w:r>
          </w:p>
        </w:tc>
        <w:tc>
          <w:tcPr>
            <w:tcW w:type="dxa" w:w="2074"/>
            <w:vAlign w:val="center"/>
          </w:tcPr>
          <w:p>
            <w:r>
              <w:t>TextBoxDiscount</w:t>
            </w:r>
          </w:p>
        </w:tc>
        <w:tc>
          <w:tcPr>
            <w:tcW w:type="dxa" w:w="2074"/>
            <w:vAlign w:val="center"/>
          </w:tcPr>
          <w:p>
            <w:r>
              <w:t>likely Data!D4</w:t>
            </w:r>
          </w:p>
        </w:tc>
        <w:tc>
          <w:tcPr>
            <w:tcW w:type="dxa" w:w="2074"/>
            <w:vAlign w:val="center"/>
          </w:tcPr>
          <w:p>
            <w:r>
              <w:t>Form label is Discount. Data!D4 is cleared when form initializes and is the discount/adjustment factor in D6/I13.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Pressure</w:t>
            </w:r>
          </w:p>
        </w:tc>
        <w:tc>
          <w:tcPr>
            <w:tcW w:type="dxa" w:w="2074"/>
            <w:vAlign w:val="center"/>
          </w:tcPr>
          <w:p>
            <w:r>
              <w:t>ComboBox20</w:t>
            </w:r>
          </w:p>
        </w:tc>
        <w:tc>
          <w:tcPr>
            <w:tcW w:type="dxa" w:w="2074"/>
            <w:vAlign w:val="center"/>
          </w:tcPr>
          <w:p>
            <w:r>
              <w:t>Data!I16</w:t>
            </w:r>
          </w:p>
        </w:tc>
        <w:tc>
          <w:tcPr>
            <w:tcW w:type="dxa" w:w="2074"/>
            <w:vAlign w:val="center"/>
          </w:tcPr>
          <w:p>
            <w:r>
              <w:t>Pressure selection; RowSource Data!I22:I34.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Special parts 1-6</w:t>
            </w:r>
          </w:p>
        </w:tc>
        <w:tc>
          <w:tcPr>
            <w:tcW w:type="dxa" w:w="2074"/>
            <w:vAlign w:val="center"/>
          </w:tcPr>
          <w:p>
            <w:r>
              <w:t>ComboBox14:19</w:t>
            </w:r>
          </w:p>
        </w:tc>
        <w:tc>
          <w:tcPr>
            <w:tcW w:type="dxa" w:w="2074"/>
            <w:vAlign w:val="center"/>
          </w:tcPr>
          <w:p>
            <w:r>
              <w:t>Data!F26:F31</w:t>
            </w:r>
          </w:p>
        </w:tc>
        <w:tc>
          <w:tcPr>
            <w:tcW w:type="dxa" w:w="2074"/>
            <w:vAlign w:val="center"/>
          </w:tcPr>
          <w:p>
            <w:r>
              <w:t>Each ComboBox writes its selected part into the matching F26:F31 row; RowSource ShipVia!A40:A500. Quantities appear adjacent on the form and Data G26:G31 is cleared on initialization.</w:t>
            </w:r>
          </w:p>
        </w:tc>
        <w:tc>
          <w:tcPr>
            <w:tcW w:type="dxa" w:w="2074"/>
            <w:vAlign w:val="center"/>
          </w:tcPr>
          <w:p>
            <w:r>
              <w:t>PART selection VERIFIED; quantity mapping inferred.</w:t>
            </w:r>
          </w:p>
        </w:tc>
      </w:tr>
      <w:tr>
        <w:tc>
          <w:tcPr>
            <w:tcW w:type="dxa" w:w="2074"/>
            <w:vAlign w:val="center"/>
          </w:tcPr>
          <w:p>
            <w:r>
              <w:t>Tie Rod Set</w:t>
            </w:r>
          </w:p>
        </w:tc>
        <w:tc>
          <w:tcPr>
            <w:tcW w:type="dxa" w:w="2074"/>
            <w:vAlign w:val="center"/>
          </w:tcPr>
          <w:p>
            <w:r>
              <w:t>ComboBox26</w:t>
            </w:r>
          </w:p>
        </w:tc>
        <w:tc>
          <w:tcPr>
            <w:tcW w:type="dxa" w:w="2074"/>
            <w:vAlign w:val="center"/>
          </w:tcPr>
          <w:p>
            <w:r>
              <w:t>Data!L59</w:t>
            </w:r>
          </w:p>
        </w:tc>
        <w:tc>
          <w:tcPr>
            <w:tcW w:type="dxa" w:w="2074"/>
            <w:vAlign w:val="center"/>
          </w:tcPr>
          <w:p>
            <w:r>
              <w:t>Tie Rod Set selection; RowSource Data!L60:L69.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Form reset behavior</w:t>
            </w:r>
          </w:p>
        </w:tc>
        <w:tc>
          <w:tcPr>
            <w:tcW w:type="dxa" w:w="2074"/>
            <w:vAlign w:val="center"/>
          </w:tcPr>
          <w:p>
            <w:r>
              <w:t>UserForm_Initialize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Initialization clears Data B2:B29, D2, D4, D15, D18, G9:G25, F26:G32 and other working ranges before a new quote.</w:t>
            </w:r>
          </w:p>
        </w:tc>
        <w:tc>
          <w:tcPr>
            <w:tcW w:type="dxa" w:w="2074"/>
            <w:vAlign w:val="center"/>
          </w:tcPr>
          <w:p>
            <w:r>
              <w:t>VERIFIED; confirms Data is the working record populated from OrderEntry.</w:t>
            </w:r>
          </w:p>
        </w:tc>
      </w:tr>
      <w:tr>
        <w:tc>
          <w:tcPr>
            <w:tcW w:type="dxa" w:w="2074"/>
            <w:vAlign w:val="center"/>
          </w:tcPr>
          <w:p>
            <w:r>
              <w:t>Net Each display</w:t>
            </w:r>
          </w:p>
        </w:tc>
        <w:tc>
          <w:tcPr>
            <w:tcW w:type="dxa" w:w="2074"/>
            <w:vAlign w:val="center"/>
          </w:tcPr>
          <w:p>
            <w:r>
              <w:t>ListBox1 &lt;- Data!D6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reads Data!D6 into ListBox1, labeled Net Each. This directly links the form to the central calculated cost/net value.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</w:tbl>
    <w:p>
      <w:pPr>
        <w:pStyle w:val="Heading1"/>
      </w:pPr>
      <w:r>
        <w:t>Verified Pricing Spine Already Located</w:t>
      </w:r>
    </w:p>
    <w:p>
      <w:pPr>
        <w:pStyle w:val="ListBullet"/>
      </w:pPr>
      <w:r>
        <w:t>Data!C5 is the base/fixed cost convergence from H, A, MH, PH, IH and IMH.</w:t>
      </w:r>
    </w:p>
    <w:p>
      <w:pPr>
        <w:pStyle w:val="ListBullet"/>
      </w:pPr>
      <w:r>
        <w:t>Data!C8 is the stroke/length cost convergence from the same major series calculators.</w:t>
      </w:r>
    </w:p>
    <w:p>
      <w:pPr>
        <w:pStyle w:val="ListBullet"/>
      </w:pPr>
      <w:r>
        <w:t>Data!D6 is the central pricing convergence formula.</w:t>
      </w:r>
    </w:p>
    <w:p>
      <w:pPr>
        <w:pStyle w:val="ListBullet"/>
      </w:pPr>
      <w:r>
        <w:t>Data!I13 derives list price from D6 and D4.</w:t>
      </w:r>
    </w:p>
    <w:p>
      <w:pPr>
        <w:pStyle w:val="ListBullet"/>
      </w:pPr>
      <w:r>
        <w:t>Quote Form then presents list, standard, expedited, and emergency prices.</w:t>
      </w:r>
    </w:p>
    <w:p>
      <w:pPr>
        <w:pStyle w:val="Heading1"/>
      </w:pPr>
      <w:r>
        <w:t>Working Location Map</w:t>
      </w:r>
    </w:p>
    <w:p>
      <w:r>
        <w:t>The companion Excel file contains the detailed one-sheet map. Verified items and inferred items are deliberately distinguished so we do not accidentally turn an assumption into a rule.</w:t>
      </w:r>
    </w:p>
    <w:p>
      <w:pPr>
        <w:pStyle w:val="Heading1"/>
      </w:pPr>
      <w:r>
        <w:t>Next Investigation Step</w:t>
      </w:r>
    </w:p>
    <w:p>
      <w:r>
        <w:t>Section 2 complete for the core model-code path. Next: Section 3 - Series Routing, tracing Data!B3 into the series-specific calculation sheets and proving which series sheet becomes active for each selection.</w:t>
      </w:r>
    </w:p>
    <w:p>
      <w:r>
        <w:rPr>
          <w:b/>
          <w:sz w:val="32"/>
        </w:rPr>
        <w:t>Section 2 - Model-Code Generation</w:t>
      </w:r>
    </w:p>
    <w:p>
      <w:r>
        <w:t>Core finding: the cylinder model number is assembled in Data!A1 from the normalized OrderEntry inputs. Quote Form!B12 displays Data!A1 directly, so this is the authoritative model-code output path.</w:t>
      </w:r>
    </w:p>
    <w:p>
      <w:r>
        <w:rPr>
          <w:b/>
        </w:rPr>
        <w:t xml:space="preserve">Authoritative formula: </w:t>
      </w:r>
      <w:r>
        <w:t>Data!A1 = CONCATENATE(B3,B1,E5,B1,B4,C1,B8,C1,B6,B1,D15,B1,B7,B1,D2,B1,B10,B1,"S")</w:t>
      </w:r>
    </w:p>
    <w:p>
      <w:r>
        <w:rPr>
          <w:b/>
        </w:rPr>
        <w:t xml:space="preserve">Readable pattern: </w:t>
      </w:r>
      <w:r>
        <w:t>Series - Mount - Bore x Stroke x Rod - RodStyle - Cushion - Ports - Seal -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Step</w:t>
            </w:r>
          </w:p>
        </w:tc>
        <w:tc>
          <w:tcPr>
            <w:tcW w:type="dxa" w:w="2074"/>
          </w:tcPr>
          <w:p>
            <w:r>
              <w:t>Segment</w:t>
            </w:r>
          </w:p>
        </w:tc>
        <w:tc>
          <w:tcPr>
            <w:tcW w:type="dxa" w:w="2074"/>
          </w:tcPr>
          <w:p>
            <w:r>
              <w:t>Location</w:t>
            </w:r>
          </w:p>
        </w:tc>
        <w:tc>
          <w:tcPr>
            <w:tcW w:type="dxa" w:w="2074"/>
          </w:tcPr>
          <w:p>
            <w:r>
              <w:t>Source / Rule</w:t>
            </w:r>
          </w:p>
        </w:tc>
        <w:tc>
          <w:tcPr>
            <w:tcW w:type="dxa" w:w="2074"/>
          </w:tcPr>
          <w:p>
            <w:r>
              <w:t>Meaning</w:t>
            </w:r>
          </w:p>
        </w:tc>
      </w:tr>
      <w:tr>
        <w:tc>
          <w:tcPr>
            <w:tcW w:type="dxa" w:w="2074"/>
            <w:vAlign w:val="center"/>
          </w:tcPr>
          <w:p>
            <w:r>
              <w:t>1</w:t>
            </w:r>
          </w:p>
        </w:tc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OrderEntry Series</w:t>
            </w:r>
          </w:p>
        </w:tc>
        <w:tc>
          <w:tcPr>
            <w:tcW w:type="dxa" w:w="2074"/>
            <w:vAlign w:val="center"/>
          </w:tcPr>
          <w:p>
            <w:r>
              <w:t>First model segment</w:t>
            </w:r>
          </w:p>
        </w:tc>
      </w:tr>
      <w:tr>
        <w:tc>
          <w:tcPr>
            <w:tcW w:type="dxa" w:w="2074"/>
            <w:vAlign w:val="center"/>
          </w:tcPr>
          <w:p>
            <w:r>
              <w:t>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3</w:t>
            </w:r>
          </w:p>
        </w:tc>
        <w:tc>
          <w:tcPr>
            <w:tcW w:type="dxa" w:w="2074"/>
            <w:vAlign w:val="center"/>
          </w:tcPr>
          <w:p>
            <w:r>
              <w:t>Mount / DRE Mount</w:t>
            </w:r>
          </w:p>
        </w:tc>
        <w:tc>
          <w:tcPr>
            <w:tcW w:type="dxa" w:w="2074"/>
            <w:vAlign w:val="center"/>
          </w:tcPr>
          <w:p>
            <w:r>
              <w:t>Data!E5</w:t>
            </w:r>
          </w:p>
        </w:tc>
        <w:tc>
          <w:tcPr>
            <w:tcW w:type="dxa" w:w="2074"/>
            <w:vAlign w:val="center"/>
          </w:tcPr>
          <w:p>
            <w:r>
              <w:t>IF(Data!D18="",Data!B5,"DRE/" &amp; Data!B5)</w:t>
            </w:r>
          </w:p>
        </w:tc>
        <w:tc>
          <w:tcPr>
            <w:tcW w:type="dxa" w:w="2074"/>
            <w:vAlign w:val="center"/>
          </w:tcPr>
          <w:p>
            <w:r>
              <w:t>Normal mount or DRE/&lt;mount&gt;</w:t>
            </w:r>
          </w:p>
        </w:tc>
      </w:tr>
      <w:tr>
        <w:tc>
          <w:tcPr>
            <w:tcW w:type="dxa" w:w="2074"/>
            <w:vAlign w:val="center"/>
          </w:tcPr>
          <w:p>
            <w:r>
              <w:t>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5</w:t>
            </w:r>
          </w:p>
        </w:tc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OrderEntry Bore</w:t>
            </w:r>
          </w:p>
        </w:tc>
        <w:tc>
          <w:tcPr>
            <w:tcW w:type="dxa" w:w="2074"/>
            <w:vAlign w:val="center"/>
          </w:tcPr>
          <w:p>
            <w:r>
              <w:t>Bore 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7</w:t>
            </w:r>
          </w:p>
        </w:tc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Data!B8</w:t>
            </w:r>
          </w:p>
        </w:tc>
        <w:tc>
          <w:tcPr>
            <w:tcW w:type="dxa" w:w="2074"/>
            <w:vAlign w:val="center"/>
          </w:tcPr>
          <w:p>
            <w:r>
              <w:t>OrderEntry Stroke</w:t>
            </w:r>
          </w:p>
        </w:tc>
        <w:tc>
          <w:tcPr>
            <w:tcW w:type="dxa" w:w="2074"/>
            <w:vAlign w:val="center"/>
          </w:tcPr>
          <w:p>
            <w:r>
              <w:t>Stroke length</w:t>
            </w:r>
          </w:p>
        </w:tc>
      </w:tr>
      <w:tr>
        <w:tc>
          <w:tcPr>
            <w:tcW w:type="dxa" w:w="2074"/>
            <w:vAlign w:val="center"/>
          </w:tcPr>
          <w:p>
            <w:r>
              <w:t>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9</w:t>
            </w:r>
          </w:p>
        </w:tc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OrderEntry Rod</w:t>
            </w:r>
          </w:p>
        </w:tc>
        <w:tc>
          <w:tcPr>
            <w:tcW w:type="dxa" w:w="2074"/>
            <w:vAlign w:val="center"/>
          </w:tcPr>
          <w:p>
            <w:r>
              <w:t>Rod diameter/size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10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11</w:t>
            </w:r>
          </w:p>
        </w:tc>
        <w:tc>
          <w:tcPr>
            <w:tcW w:type="dxa" w:w="2074"/>
            <w:vAlign w:val="center"/>
          </w:tcPr>
          <w:p>
            <w:r>
              <w:t>Rod Style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OrderEntry Style</w:t>
            </w:r>
          </w:p>
        </w:tc>
        <w:tc>
          <w:tcPr>
            <w:tcW w:type="dxa" w:w="2074"/>
            <w:vAlign w:val="center"/>
          </w:tcPr>
          <w:p>
            <w:r>
              <w:t>Numeric/style code is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13</w:t>
            </w:r>
          </w:p>
        </w:tc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OrderEntry Cushion</w:t>
            </w:r>
          </w:p>
        </w:tc>
        <w:tc>
          <w:tcPr>
            <w:tcW w:type="dxa" w:w="2074"/>
            <w:vAlign w:val="center"/>
          </w:tcPr>
          <w:p>
            <w:r>
              <w:t>Cushion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15</w:t>
            </w:r>
          </w:p>
        </w:tc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OrderEntry Ports</w:t>
            </w:r>
          </w:p>
        </w:tc>
        <w:tc>
          <w:tcPr>
            <w:tcW w:type="dxa" w:w="2074"/>
            <w:vAlign w:val="center"/>
          </w:tcPr>
          <w:p>
            <w:r>
              <w:t>Port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17</w:t>
            </w:r>
          </w:p>
        </w:tc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OrderEntry Seal</w:t>
            </w:r>
          </w:p>
        </w:tc>
        <w:tc>
          <w:tcPr>
            <w:tcW w:type="dxa" w:w="2074"/>
            <w:vAlign w:val="center"/>
          </w:tcPr>
          <w:p>
            <w:r>
              <w:t>Seal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19</w:t>
            </w:r>
          </w:p>
        </w:tc>
        <w:tc>
          <w:tcPr>
            <w:tcW w:type="dxa" w:w="2074"/>
            <w:vAlign w:val="center"/>
          </w:tcPr>
          <w:p>
            <w:r>
              <w:t>Suffix</w:t>
            </w:r>
          </w:p>
        </w:tc>
        <w:tc>
          <w:tcPr>
            <w:tcW w:type="dxa" w:w="2074"/>
            <w:vAlign w:val="center"/>
          </w:tcPr>
          <w:p>
            <w:r>
              <w:t>literal in A1</w:t>
            </w:r>
          </w:p>
        </w:tc>
        <w:tc>
          <w:tcPr>
            <w:tcW w:type="dxa" w:w="2074"/>
            <w:vAlign w:val="center"/>
          </w:tcPr>
          <w:p>
            <w:r>
              <w:t>Static "S"</w:t>
            </w:r>
          </w:p>
        </w:tc>
        <w:tc>
          <w:tcPr>
            <w:tcW w:type="dxa" w:w="2074"/>
            <w:vAlign w:val="center"/>
          </w:tcPr>
          <w:p>
            <w:r>
              <w:t>Fixed final suffix</w:t>
            </w:r>
          </w:p>
        </w:tc>
      </w:tr>
    </w:tbl>
    <w:p>
      <w:r>
        <w:rPr>
          <w:b/>
        </w:rPr>
        <w:t xml:space="preserve">Special branch - Double Rod End: </w:t>
      </w:r>
      <w:r>
        <w:t>Data!E5 = IF(D18="",B5,CONCATENATE("DRE/",B5)). D18 does not become a separate model segment; instead it changes the mount segment. This is the same D18 condition that later affects pricing, so DRE is both a model-code rule and a pricing rule.</w:t>
      </w:r>
    </w:p>
    <w:p>
      <w:r>
        <w:rPr>
          <w:b/>
        </w:rPr>
        <w:t xml:space="preserve">Display destination: </w:t>
      </w:r>
      <w:r>
        <w:t>Quote Form!B12 = Data!A1. No additional model transformation occurs between Data!A1 and the quote form.</w:t>
      </w:r>
    </w:p>
    <w:p>
      <w:r>
        <w:rPr>
          <w:b/>
        </w:rPr>
        <w:t xml:space="preserve">Important boundary: </w:t>
      </w:r>
      <w:r>
        <w:t>Data!D23, D28, and D30 create human-readable descriptions for rod style, cushion, and seal selections, but they are not used in Data!A1. The model code uses the compact codes in D15, B7, D2, and B10 directly.</w:t>
      </w:r>
    </w:p>
    <w:p>
      <w:r>
        <w:rPr>
          <w:b/>
        </w:rPr>
        <w:t xml:space="preserve">HTML migration implication: </w:t>
      </w:r>
      <w:r>
        <w:t>The model-number builder can be implemented as one deterministic formatting function after the user selections are normalized. It does not require the pricing sheets to build the model number.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