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Cylinder Quote Calculator Dissection</w:t>
      </w:r>
    </w:p>
    <w:p>
      <w:pPr>
        <w:jc w:val="center"/>
      </w:pPr>
      <w:r>
        <w:rPr>
          <w:b/>
        </w:rPr>
        <w:t>Working Findings &amp; Location Map</w:t>
      </w:r>
    </w:p>
    <w:p>
      <w:r>
        <w:t>Purpose: reverse-engineer the existing Excel pricing engine so the same rules can later be rebuilt as a multi-user HTML/web quoting system with calculation parity.</w:t>
      </w:r>
    </w:p>
    <w:p>
      <w:pPr>
        <w:pStyle w:val="Heading1"/>
      </w:pPr>
      <w:r>
        <w:t>Dissection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Investigation Area</w:t>
            </w:r>
          </w:p>
        </w:tc>
        <w:tc>
          <w:tcPr>
            <w:tcW w:type="dxa" w:w="3456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456"/>
            <w:vAlign w:val="center"/>
          </w:tcPr>
          <w:p>
            <w:r>
              <w:t>1</w:t>
            </w:r>
          </w:p>
        </w:tc>
        <w:tc>
          <w:tcPr>
            <w:tcW w:type="dxa" w:w="3456"/>
            <w:vAlign w:val="center"/>
          </w:tcPr>
          <w:p>
            <w:r>
              <w:t>Cylinder Definition / User Inputs</w:t>
            </w:r>
          </w:p>
        </w:tc>
        <w:tc>
          <w:tcPr>
            <w:tcW w:type="dxa" w:w="3456"/>
            <w:vAlign w:val="center"/>
          </w:tcPr>
          <w:p>
            <w:r>
              <w:t>IN PROGRESS</w:t>
            </w:r>
          </w:p>
        </w:tc>
      </w:tr>
      <w:tr>
        <w:tc>
          <w:tcPr>
            <w:tcW w:type="dxa" w:w="3456"/>
            <w:vAlign w:val="center"/>
          </w:tcPr>
          <w:p>
            <w:r>
              <w:t>2</w:t>
            </w:r>
          </w:p>
        </w:tc>
        <w:tc>
          <w:tcPr>
            <w:tcW w:type="dxa" w:w="3456"/>
            <w:vAlign w:val="center"/>
          </w:tcPr>
          <w:p>
            <w:r>
              <w:t>Model-Code Generation</w:t>
            </w:r>
          </w:p>
        </w:tc>
        <w:tc>
          <w:tcPr>
            <w:tcW w:type="dxa" w:w="3456"/>
            <w:vAlign w:val="center"/>
          </w:tcPr>
          <w:p>
            <w:r>
              <w:t>COMPLETE - CORE MODEL PATH VERIFIED</w:t>
            </w:r>
          </w:p>
        </w:tc>
      </w:tr>
      <w:tr>
        <w:tc>
          <w:tcPr>
            <w:tcW w:type="dxa" w:w="3456"/>
            <w:vAlign w:val="center"/>
          </w:tcPr>
          <w:p>
            <w:r>
              <w:t>3</w:t>
            </w:r>
          </w:p>
        </w:tc>
        <w:tc>
          <w:tcPr>
            <w:tcW w:type="dxa" w:w="3456"/>
            <w:vAlign w:val="center"/>
          </w:tcPr>
          <w:p>
            <w:r>
              <w:t>Series Routing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4</w:t>
            </w:r>
          </w:p>
        </w:tc>
        <w:tc>
          <w:tcPr>
            <w:tcW w:type="dxa" w:w="3456"/>
            <w:vAlign w:val="center"/>
          </w:tcPr>
          <w:p>
            <w:r>
              <w:t>Base-Cylinder Component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5</w:t>
            </w:r>
          </w:p>
        </w:tc>
        <w:tc>
          <w:tcPr>
            <w:tcW w:type="dxa" w:w="3456"/>
            <w:vAlign w:val="center"/>
          </w:tcPr>
          <w:p>
            <w:r>
              <w:t>Stroke-Related Cost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6</w:t>
            </w:r>
          </w:p>
        </w:tc>
        <w:tc>
          <w:tcPr>
            <w:tcW w:type="dxa" w:w="3456"/>
            <w:vAlign w:val="center"/>
          </w:tcPr>
          <w:p>
            <w:r>
              <w:t>Accessories and Adders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7</w:t>
            </w:r>
          </w:p>
        </w:tc>
        <w:tc>
          <w:tcPr>
            <w:tcW w:type="dxa" w:w="3456"/>
            <w:vAlign w:val="center"/>
          </w:tcPr>
          <w:p>
            <w:r>
              <w:t>Special-Order Pricing Rules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8</w:t>
            </w:r>
          </w:p>
        </w:tc>
        <w:tc>
          <w:tcPr>
            <w:tcW w:type="dxa" w:w="3456"/>
            <w:vAlign w:val="center"/>
          </w:tcPr>
          <w:p>
            <w:r>
              <w:t>Cost to List Price to Selling Price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9</w:t>
            </w:r>
          </w:p>
        </w:tc>
        <w:tc>
          <w:tcPr>
            <w:tcW w:type="dxa" w:w="3456"/>
            <w:vAlign w:val="center"/>
          </w:tcPr>
          <w:p>
            <w:r>
              <w:t>Quote Presentation Logic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  <w:tr>
        <w:tc>
          <w:tcPr>
            <w:tcW w:type="dxa" w:w="3456"/>
            <w:vAlign w:val="center"/>
          </w:tcPr>
          <w:p>
            <w:r>
              <w:t>10</w:t>
            </w:r>
          </w:p>
        </w:tc>
        <w:tc>
          <w:tcPr>
            <w:tcW w:type="dxa" w:w="3456"/>
            <w:vAlign w:val="center"/>
          </w:tcPr>
          <w:p>
            <w:r>
              <w:t>VBA Workflow</w:t>
            </w:r>
          </w:p>
        </w:tc>
        <w:tc>
          <w:tcPr>
            <w:tcW w:type="dxa" w:w="3456"/>
            <w:vAlign w:val="center"/>
          </w:tcPr>
          <w:p>
            <w:r>
              <w:t>PENDING</w:t>
            </w:r>
          </w:p>
        </w:tc>
      </w:tr>
    </w:tbl>
    <w:p>
      <w:pPr>
        <w:pStyle w:val="Heading1"/>
      </w:pPr>
      <w:r>
        <w:t>Section 1 - Cylinder Definition / User Inputs</w:t>
      </w:r>
    </w:p>
    <w:p>
      <w:r>
        <w:t>Correction to the earlier map: the OrderEntry UserForm is the true user-input layer. The Data sheet is the normalized working record that the form populates. We will therefore trace every quote field as OrderEntry control -&gt; workbook destination -&gt; downstream calculation before moving to Section 2.</w:t>
      </w:r>
    </w:p>
    <w:p>
      <w:r>
        <w:t>A key verified link is OrderEntry ListBox1 &lt;- Data!D6. The form labels this output "Net Each", proving D6 is surfaced directly back to the user during quoting.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Input / Role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Form Control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Workbook Destination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Source / Logic</w:t>
            </w:r>
          </w:p>
        </w:tc>
        <w:tc>
          <w:tcPr>
            <w:tcW w:type="dxa" w:w="2074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74"/>
            <w:vAlign w:val="center"/>
          </w:tcPr>
          <w:p>
            <w:r>
              <w:t>True user-entry point</w:t>
            </w:r>
          </w:p>
        </w:tc>
        <w:tc>
          <w:tcPr>
            <w:tcW w:type="dxa" w:w="2074"/>
            <w:vAlign w:val="center"/>
          </w:tcPr>
          <w:p>
            <w:r>
              <w:t>Form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title is "JIT 2026 Pricing Calculator". User selections are written into workbook cells and those cells drive the downstream formulas.</w:t>
            </w:r>
          </w:p>
        </w:tc>
        <w:tc>
          <w:tcPr>
            <w:tcW w:type="dxa" w:w="2074"/>
            <w:vAlign w:val="center"/>
          </w:tcPr>
          <w:p>
            <w:r>
              <w:t>VERIFIED from recovered OrderEntry VBA and form definition.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Customer</w:t>
            </w:r>
          </w:p>
        </w:tc>
        <w:tc>
          <w:tcPr>
            <w:tcW w:type="dxa" w:w="2074"/>
            <w:vAlign w:val="center"/>
          </w:tcPr>
          <w:p>
            <w:r>
              <w:t>ComboBox2</w:t>
            </w:r>
          </w:p>
        </w:tc>
        <w:tc>
          <w:tcPr>
            <w:tcW w:type="dxa" w:w="2074"/>
            <w:vAlign w:val="center"/>
          </w:tcPr>
          <w:p>
            <w:r>
              <w:t>Customer!B1</w:t>
            </w:r>
          </w:p>
        </w:tc>
        <w:tc>
          <w:tcPr>
            <w:tcW w:type="dxa" w:w="2074"/>
            <w:vAlign w:val="center"/>
          </w:tcPr>
          <w:p>
            <w:r>
              <w:t>ComboBox2_Change writes the selected customer to Customer!B1. RowSource is Customer!B3:G10000.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ComboBox6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Series control. RowSource ShipVia!H2:H12.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Mount</w:t>
            </w:r>
          </w:p>
        </w:tc>
        <w:tc>
          <w:tcPr>
            <w:tcW w:type="dxa" w:w="2074"/>
            <w:vAlign w:val="center"/>
          </w:tcPr>
          <w:p>
            <w:r>
              <w:t>ComboBox5</w:t>
            </w:r>
          </w:p>
        </w:tc>
        <w:tc>
          <w:tcPr>
            <w:tcW w:type="dxa" w:w="2074"/>
            <w:vAlign w:val="center"/>
          </w:tcPr>
          <w:p>
            <w:r>
              <w:t>Data!B5</w:t>
            </w:r>
          </w:p>
        </w:tc>
        <w:tc>
          <w:tcPr>
            <w:tcW w:type="dxa" w:w="2074"/>
            <w:vAlign w:val="center"/>
          </w:tcPr>
          <w:p>
            <w:r>
              <w:t>Mount control. RowSource ShipVia!F2:F27.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ComboBox11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Bore control. RowSource ShipVia!D21:D36.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TextBox22</w:t>
            </w:r>
          </w:p>
        </w:tc>
        <w:tc>
          <w:tcPr>
            <w:tcW w:type="dxa" w:w="2074"/>
            <w:vAlign w:val="center"/>
          </w:tcPr>
          <w:p>
            <w:r>
              <w:t>likely Data!B8</w:t>
            </w:r>
          </w:p>
        </w:tc>
        <w:tc>
          <w:tcPr>
            <w:tcW w:type="dxa" w:w="2074"/>
            <w:vAlign w:val="center"/>
          </w:tcPr>
          <w:p>
            <w:r>
              <w:t>Form label at the TextBox22 position is Stroke. Data!B8 is the workbook stroke input used by model and pricing formulas.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ComboBox7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Rod control. RowSource ShipVia!K1:K6.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Rod Style / Thread</w:t>
            </w:r>
          </w:p>
        </w:tc>
        <w:tc>
          <w:tcPr>
            <w:tcW w:type="dxa" w:w="2074"/>
            <w:vAlign w:val="center"/>
          </w:tcPr>
          <w:p>
            <w:r>
              <w:t>ComboBox10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Form label is Style. RowSource ShipVia!D12:D16. D15 is used by model-code and rod-thread logic.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ComboBox12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Cushion control. RowSource ShipVia!E18:E24.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ComboBox13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Ports control. RowSource ShipVia!E26:E29.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ComboBox9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Seal control. RowSource ShipVia!D6:D11.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Double Rod End</w:t>
            </w:r>
          </w:p>
        </w:tc>
        <w:tc>
          <w:tcPr>
            <w:tcW w:type="dxa" w:w="2074"/>
            <w:vAlign w:val="center"/>
          </w:tcPr>
          <w:p>
            <w:r>
              <w:t>TextBox8</w:t>
            </w:r>
          </w:p>
        </w:tc>
        <w:tc>
          <w:tcPr>
            <w:tcW w:type="dxa" w:w="2074"/>
            <w:vAlign w:val="center"/>
          </w:tcPr>
          <w:p>
            <w:r>
              <w:t>likely Data!D18</w:t>
            </w:r>
          </w:p>
        </w:tc>
        <w:tc>
          <w:tcPr>
            <w:tcW w:type="dxa" w:w="2074"/>
            <w:vAlign w:val="center"/>
          </w:tcPr>
          <w:p>
            <w:r>
              <w:t>Form label is DRE (Y). Data!D18 is cleared when form initializes and drives the DRE model prefix plus the C5*0.65 pricing rule.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Discount</w:t>
            </w:r>
          </w:p>
        </w:tc>
        <w:tc>
          <w:tcPr>
            <w:tcW w:type="dxa" w:w="2074"/>
            <w:vAlign w:val="center"/>
          </w:tcPr>
          <w:p>
            <w:r>
              <w:t>TextBoxDiscount</w:t>
            </w:r>
          </w:p>
        </w:tc>
        <w:tc>
          <w:tcPr>
            <w:tcW w:type="dxa" w:w="2074"/>
            <w:vAlign w:val="center"/>
          </w:tcPr>
          <w:p>
            <w:r>
              <w:t>likely Data!D4</w:t>
            </w:r>
          </w:p>
        </w:tc>
        <w:tc>
          <w:tcPr>
            <w:tcW w:type="dxa" w:w="2074"/>
            <w:vAlign w:val="center"/>
          </w:tcPr>
          <w:p>
            <w:r>
              <w:t>Form label is Discount. Data!D4 is cleared when form initializes and is the discount/adjustment factor in D6/I13.</w:t>
            </w:r>
          </w:p>
        </w:tc>
        <w:tc>
          <w:tcPr>
            <w:tcW w:type="dxa" w:w="2074"/>
            <w:vAlign w:val="center"/>
          </w:tcPr>
          <w:p>
            <w:r>
              <w:t>STRONGLY INFERRED; direct ControlSource still to verify.</w:t>
            </w:r>
          </w:p>
        </w:tc>
      </w:tr>
      <w:tr>
        <w:tc>
          <w:tcPr>
            <w:tcW w:type="dxa" w:w="2074"/>
            <w:vAlign w:val="center"/>
          </w:tcPr>
          <w:p>
            <w:r>
              <w:t>Pressure</w:t>
            </w:r>
          </w:p>
        </w:tc>
        <w:tc>
          <w:tcPr>
            <w:tcW w:type="dxa" w:w="2074"/>
            <w:vAlign w:val="center"/>
          </w:tcPr>
          <w:p>
            <w:r>
              <w:t>ComboBox20</w:t>
            </w:r>
          </w:p>
        </w:tc>
        <w:tc>
          <w:tcPr>
            <w:tcW w:type="dxa" w:w="2074"/>
            <w:vAlign w:val="center"/>
          </w:tcPr>
          <w:p>
            <w:r>
              <w:t>Data!I16</w:t>
            </w:r>
          </w:p>
        </w:tc>
        <w:tc>
          <w:tcPr>
            <w:tcW w:type="dxa" w:w="2074"/>
            <w:vAlign w:val="center"/>
          </w:tcPr>
          <w:p>
            <w:r>
              <w:t>Pressure selection; RowSource Data!I22:I34.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Special parts 1-6</w:t>
            </w:r>
          </w:p>
        </w:tc>
        <w:tc>
          <w:tcPr>
            <w:tcW w:type="dxa" w:w="2074"/>
            <w:vAlign w:val="center"/>
          </w:tcPr>
          <w:p>
            <w:r>
              <w:t>ComboBox14:19</w:t>
            </w:r>
          </w:p>
        </w:tc>
        <w:tc>
          <w:tcPr>
            <w:tcW w:type="dxa" w:w="2074"/>
            <w:vAlign w:val="center"/>
          </w:tcPr>
          <w:p>
            <w:r>
              <w:t>Data!F26:F31</w:t>
            </w:r>
          </w:p>
        </w:tc>
        <w:tc>
          <w:tcPr>
            <w:tcW w:type="dxa" w:w="2074"/>
            <w:vAlign w:val="center"/>
          </w:tcPr>
          <w:p>
            <w:r>
              <w:t>Each ComboBox writes its selected part into the matching F26:F31 row; RowSource ShipVia!A40:A500. Quantities appear adjacent on the form and Data G26:G31 is cleared on initialization.</w:t>
            </w:r>
          </w:p>
        </w:tc>
        <w:tc>
          <w:tcPr>
            <w:tcW w:type="dxa" w:w="2074"/>
            <w:vAlign w:val="center"/>
          </w:tcPr>
          <w:p>
            <w:r>
              <w:t>PART selection VERIFIED; quantity mapping inferred.</w:t>
            </w:r>
          </w:p>
        </w:tc>
      </w:tr>
      <w:tr>
        <w:tc>
          <w:tcPr>
            <w:tcW w:type="dxa" w:w="2074"/>
            <w:vAlign w:val="center"/>
          </w:tcPr>
          <w:p>
            <w:r>
              <w:t>Tie Rod Set</w:t>
            </w:r>
          </w:p>
        </w:tc>
        <w:tc>
          <w:tcPr>
            <w:tcW w:type="dxa" w:w="2074"/>
            <w:vAlign w:val="center"/>
          </w:tcPr>
          <w:p>
            <w:r>
              <w:t>ComboBox26</w:t>
            </w:r>
          </w:p>
        </w:tc>
        <w:tc>
          <w:tcPr>
            <w:tcW w:type="dxa" w:w="2074"/>
            <w:vAlign w:val="center"/>
          </w:tcPr>
          <w:p>
            <w:r>
              <w:t>Data!L59</w:t>
            </w:r>
          </w:p>
        </w:tc>
        <w:tc>
          <w:tcPr>
            <w:tcW w:type="dxa" w:w="2074"/>
            <w:vAlign w:val="center"/>
          </w:tcPr>
          <w:p>
            <w:r>
              <w:t>Tie Rod Set selection; RowSource Data!L60:L69.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74"/>
            <w:vAlign w:val="center"/>
          </w:tcPr>
          <w:p>
            <w:r>
              <w:t>Form reset behavior</w:t>
            </w:r>
          </w:p>
        </w:tc>
        <w:tc>
          <w:tcPr>
            <w:tcW w:type="dxa" w:w="2074"/>
            <w:vAlign w:val="center"/>
          </w:tcPr>
          <w:p>
            <w:r>
              <w:t>UserForm_Initialize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Initialization clears Data B2:B29, D2, D4, D15, D18, G9:G25, F26:G32 and other working ranges before a new quote.</w:t>
            </w:r>
          </w:p>
        </w:tc>
        <w:tc>
          <w:tcPr>
            <w:tcW w:type="dxa" w:w="2074"/>
            <w:vAlign w:val="center"/>
          </w:tcPr>
          <w:p>
            <w:r>
              <w:t>VERIFIED; confirms Data is the working record populated from OrderEntry.</w:t>
            </w:r>
          </w:p>
        </w:tc>
      </w:tr>
      <w:tr>
        <w:tc>
          <w:tcPr>
            <w:tcW w:type="dxa" w:w="2074"/>
            <w:vAlign w:val="center"/>
          </w:tcPr>
          <w:p>
            <w:r>
              <w:t>Net Each display</w:t>
            </w:r>
          </w:p>
        </w:tc>
        <w:tc>
          <w:tcPr>
            <w:tcW w:type="dxa" w:w="2074"/>
            <w:vAlign w:val="center"/>
          </w:tcPr>
          <w:p>
            <w:r>
              <w:t>ListBox1 &lt;- Data!D6</w:t>
            </w:r>
          </w:p>
        </w:tc>
        <w:tc>
          <w:tcPr>
            <w:tcW w:type="dxa" w:w="2074"/>
            <w:vAlign w:val="center"/>
          </w:tcPr>
          <w:p>
            <w:r/>
          </w:p>
        </w:tc>
        <w:tc>
          <w:tcPr>
            <w:tcW w:type="dxa" w:w="2074"/>
            <w:vAlign w:val="center"/>
          </w:tcPr>
          <w:p>
            <w:r>
              <w:t>The form reads Data!D6 into ListBox1, labeled Net Each. This directly links the form to the central calculated cost/net value.</w:t>
            </w:r>
          </w:p>
        </w:tc>
        <w:tc>
          <w:tcPr>
            <w:tcW w:type="dxa" w:w="2074"/>
            <w:vAlign w:val="center"/>
          </w:tcPr>
          <w:p>
            <w:r>
              <w:t>VERIFIED</w:t>
            </w:r>
          </w:p>
        </w:tc>
      </w:tr>
    </w:tbl>
    <w:p>
      <w:pPr>
        <w:pStyle w:val="Heading1"/>
      </w:pPr>
      <w:r>
        <w:t>Verified Pricing Spine Already Located</w:t>
      </w:r>
    </w:p>
    <w:p>
      <w:pPr>
        <w:pStyle w:val="ListBullet"/>
      </w:pPr>
      <w:r>
        <w:t>Data!C5 is the base/fixed cost convergence from H, A, MH, PH, IH and IMH.</w:t>
      </w:r>
    </w:p>
    <w:p>
      <w:pPr>
        <w:pStyle w:val="ListBullet"/>
      </w:pPr>
      <w:r>
        <w:t>Data!C8 is the stroke/length cost convergence from the same major series calculators.</w:t>
      </w:r>
    </w:p>
    <w:p>
      <w:pPr>
        <w:pStyle w:val="ListBullet"/>
      </w:pPr>
      <w:r>
        <w:t>Data!D6 is the central pricing convergence formula.</w:t>
      </w:r>
    </w:p>
    <w:p>
      <w:pPr>
        <w:pStyle w:val="ListBullet"/>
      </w:pPr>
      <w:r>
        <w:t>Data!I13 derives list price from D6 and D4.</w:t>
      </w:r>
    </w:p>
    <w:p>
      <w:pPr>
        <w:pStyle w:val="ListBullet"/>
      </w:pPr>
      <w:r>
        <w:t>Quote Form then presents list, standard, expedited, and emergency prices.</w:t>
      </w:r>
    </w:p>
    <w:p>
      <w:pPr>
        <w:pStyle w:val="Heading1"/>
      </w:pPr>
      <w:r>
        <w:t>Working Location Map</w:t>
      </w:r>
    </w:p>
    <w:p>
      <w:r>
        <w:t>The companion Excel file contains the detailed one-sheet map. Verified items and inferred items are deliberately distinguished so we do not accidentally turn an assumption into a rule.</w:t>
      </w:r>
    </w:p>
    <w:p>
      <w:pPr>
        <w:pStyle w:val="Heading1"/>
      </w:pPr>
      <w:r>
        <w:t>Next Investigation Step</w:t>
      </w:r>
    </w:p>
    <w:p>
      <w:r>
        <w:t>Section 2 complete for the core model-code path. Next: Section 3 - Series Routing, tracing Data!B3 into the series-specific calculation sheets and proving which series sheet becomes active for each selection.</w:t>
      </w:r>
    </w:p>
    <w:p>
      <w:r>
        <w:rPr>
          <w:b/>
          <w:sz w:val="32"/>
        </w:rPr>
        <w:t>Section 2 - Model-Code Generation</w:t>
      </w:r>
    </w:p>
    <w:p>
      <w:r>
        <w:t>Core finding: the cylinder model number is assembled in Data!A1 from the normalized OrderEntry inputs. Quote Form!B12 displays Data!A1 directly, so this is the authoritative model-code output path.</w:t>
      </w:r>
    </w:p>
    <w:p>
      <w:r>
        <w:rPr>
          <w:b/>
        </w:rPr>
        <w:t xml:space="preserve">Authoritative formula: </w:t>
      </w:r>
      <w:r>
        <w:t>Data!A1 = CONCATENATE(B3,B1,E5,B1,B4,C1,B8,C1,B6,B1,D15,B1,B7,B1,D2,B1,B10,B1,"S")</w:t>
      </w:r>
    </w:p>
    <w:p>
      <w:r>
        <w:rPr>
          <w:b/>
        </w:rPr>
        <w:t xml:space="preserve">Readable pattern: </w:t>
      </w:r>
      <w:r>
        <w:t>Series - Mount - Bore x Stroke x Rod - RodStyle - Cushion - Ports - Seal - 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Step</w:t>
            </w:r>
          </w:p>
        </w:tc>
        <w:tc>
          <w:tcPr>
            <w:tcW w:type="dxa" w:w="2074"/>
          </w:tcPr>
          <w:p>
            <w:r>
              <w:t>Segment</w:t>
            </w:r>
          </w:p>
        </w:tc>
        <w:tc>
          <w:tcPr>
            <w:tcW w:type="dxa" w:w="2074"/>
          </w:tcPr>
          <w:p>
            <w:r>
              <w:t>Location</w:t>
            </w:r>
          </w:p>
        </w:tc>
        <w:tc>
          <w:tcPr>
            <w:tcW w:type="dxa" w:w="2074"/>
          </w:tcPr>
          <w:p>
            <w:r>
              <w:t>Source / Rule</w:t>
            </w:r>
          </w:p>
        </w:tc>
        <w:tc>
          <w:tcPr>
            <w:tcW w:type="dxa" w:w="2074"/>
          </w:tcPr>
          <w:p>
            <w:r>
              <w:t>Meaning</w:t>
            </w:r>
          </w:p>
        </w:tc>
      </w:tr>
      <w:tr>
        <w:tc>
          <w:tcPr>
            <w:tcW w:type="dxa" w:w="2074"/>
            <w:vAlign w:val="center"/>
          </w:tcPr>
          <w:p>
            <w:r>
              <w:t>1</w:t>
            </w:r>
          </w:p>
        </w:tc>
        <w:tc>
          <w:tcPr>
            <w:tcW w:type="dxa" w:w="2074"/>
            <w:vAlign w:val="center"/>
          </w:tcPr>
          <w:p>
            <w:r>
              <w:t>Series</w:t>
            </w:r>
          </w:p>
        </w:tc>
        <w:tc>
          <w:tcPr>
            <w:tcW w:type="dxa" w:w="2074"/>
            <w:vAlign w:val="center"/>
          </w:tcPr>
          <w:p>
            <w:r>
              <w:t>Data!B3</w:t>
            </w:r>
          </w:p>
        </w:tc>
        <w:tc>
          <w:tcPr>
            <w:tcW w:type="dxa" w:w="2074"/>
            <w:vAlign w:val="center"/>
          </w:tcPr>
          <w:p>
            <w:r>
              <w:t>OrderEntry Series</w:t>
            </w:r>
          </w:p>
        </w:tc>
        <w:tc>
          <w:tcPr>
            <w:tcW w:type="dxa" w:w="2074"/>
            <w:vAlign w:val="center"/>
          </w:tcPr>
          <w:p>
            <w:r>
              <w:t>First model segment</w:t>
            </w:r>
          </w:p>
        </w:tc>
      </w:tr>
      <w:tr>
        <w:tc>
          <w:tcPr>
            <w:tcW w:type="dxa" w:w="2074"/>
            <w:vAlign w:val="center"/>
          </w:tcPr>
          <w:p>
            <w:r>
              <w:t>2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3</w:t>
            </w:r>
          </w:p>
        </w:tc>
        <w:tc>
          <w:tcPr>
            <w:tcW w:type="dxa" w:w="2074"/>
            <w:vAlign w:val="center"/>
          </w:tcPr>
          <w:p>
            <w:r>
              <w:t>Mount / DRE Mount</w:t>
            </w:r>
          </w:p>
        </w:tc>
        <w:tc>
          <w:tcPr>
            <w:tcW w:type="dxa" w:w="2074"/>
            <w:vAlign w:val="center"/>
          </w:tcPr>
          <w:p>
            <w:r>
              <w:t>Data!E5</w:t>
            </w:r>
          </w:p>
        </w:tc>
        <w:tc>
          <w:tcPr>
            <w:tcW w:type="dxa" w:w="2074"/>
            <w:vAlign w:val="center"/>
          </w:tcPr>
          <w:p>
            <w:r>
              <w:t>IF(Data!D18="",Data!B5,"DRE/" &amp; Data!B5)</w:t>
            </w:r>
          </w:p>
        </w:tc>
        <w:tc>
          <w:tcPr>
            <w:tcW w:type="dxa" w:w="2074"/>
            <w:vAlign w:val="center"/>
          </w:tcPr>
          <w:p>
            <w:r>
              <w:t>Normal mount or DRE/&lt;mount&gt;</w:t>
            </w:r>
          </w:p>
        </w:tc>
      </w:tr>
      <w:tr>
        <w:tc>
          <w:tcPr>
            <w:tcW w:type="dxa" w:w="2074"/>
            <w:vAlign w:val="center"/>
          </w:tcPr>
          <w:p>
            <w:r>
              <w:t>4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5</w:t>
            </w:r>
          </w:p>
        </w:tc>
        <w:tc>
          <w:tcPr>
            <w:tcW w:type="dxa" w:w="2074"/>
            <w:vAlign w:val="center"/>
          </w:tcPr>
          <w:p>
            <w:r>
              <w:t>Bore</w:t>
            </w:r>
          </w:p>
        </w:tc>
        <w:tc>
          <w:tcPr>
            <w:tcW w:type="dxa" w:w="2074"/>
            <w:vAlign w:val="center"/>
          </w:tcPr>
          <w:p>
            <w:r>
              <w:t>Data!B4</w:t>
            </w:r>
          </w:p>
        </w:tc>
        <w:tc>
          <w:tcPr>
            <w:tcW w:type="dxa" w:w="2074"/>
            <w:vAlign w:val="center"/>
          </w:tcPr>
          <w:p>
            <w:r>
              <w:t>OrderEntry Bore</w:t>
            </w:r>
          </w:p>
        </w:tc>
        <w:tc>
          <w:tcPr>
            <w:tcW w:type="dxa" w:w="2074"/>
            <w:vAlign w:val="center"/>
          </w:tcPr>
          <w:p>
            <w:r>
              <w:t>Bore size</w:t>
            </w:r>
          </w:p>
        </w:tc>
      </w:tr>
      <w:tr>
        <w:tc>
          <w:tcPr>
            <w:tcW w:type="dxa" w:w="2074"/>
            <w:vAlign w:val="center"/>
          </w:tcPr>
          <w:p>
            <w:r>
              <w:t>6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Data!C1</w:t>
            </w:r>
          </w:p>
        </w:tc>
        <w:tc>
          <w:tcPr>
            <w:tcW w:type="dxa" w:w="2074"/>
            <w:vAlign w:val="center"/>
          </w:tcPr>
          <w:p>
            <w: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t>Dimension separator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7</w:t>
            </w:r>
          </w:p>
        </w:tc>
        <w:tc>
          <w:tcPr>
            <w:tcW w:type="dxa" w:w="2074"/>
            <w:vAlign w:val="center"/>
          </w:tcPr>
          <w:p>
            <w:r>
              <w:t>Stroke</w:t>
            </w:r>
          </w:p>
        </w:tc>
        <w:tc>
          <w:tcPr>
            <w:tcW w:type="dxa" w:w="2074"/>
            <w:vAlign w:val="center"/>
          </w:tcPr>
          <w:p>
            <w:r>
              <w:t>Data!B8</w:t>
            </w:r>
          </w:p>
        </w:tc>
        <w:tc>
          <w:tcPr>
            <w:tcW w:type="dxa" w:w="2074"/>
            <w:vAlign w:val="center"/>
          </w:tcPr>
          <w:p>
            <w:r>
              <w:t>OrderEntry Stroke</w:t>
            </w:r>
          </w:p>
        </w:tc>
        <w:tc>
          <w:tcPr>
            <w:tcW w:type="dxa" w:w="2074"/>
            <w:vAlign w:val="center"/>
          </w:tcPr>
          <w:p>
            <w:r>
              <w:t>Stroke length</w:t>
            </w:r>
          </w:p>
        </w:tc>
      </w:tr>
      <w:tr>
        <w:tc>
          <w:tcPr>
            <w:tcW w:type="dxa" w:w="2074"/>
            <w:vAlign w:val="center"/>
          </w:tcPr>
          <w:p>
            <w:r>
              <w:t>8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Data!C1</w:t>
            </w:r>
          </w:p>
        </w:tc>
        <w:tc>
          <w:tcPr>
            <w:tcW w:type="dxa" w:w="2074"/>
            <w:vAlign w:val="center"/>
          </w:tcPr>
          <w:p>
            <w:r>
              <w:t>Static "x"</w:t>
            </w:r>
          </w:p>
        </w:tc>
        <w:tc>
          <w:tcPr>
            <w:tcW w:type="dxa" w:w="2074"/>
            <w:vAlign w:val="center"/>
          </w:tcPr>
          <w:p>
            <w:r>
              <w:t>Dimension separator</w:t>
            </w:r>
          </w:p>
        </w:tc>
      </w:tr>
      <w:tr>
        <w:tc>
          <w:tcPr>
            <w:tcW w:type="dxa" w:w="2074"/>
            <w:vAlign w:val="center"/>
          </w:tcPr>
          <w:p>
            <w:r>
              <w:t>9</w:t>
            </w:r>
          </w:p>
        </w:tc>
        <w:tc>
          <w:tcPr>
            <w:tcW w:type="dxa" w:w="2074"/>
            <w:vAlign w:val="center"/>
          </w:tcPr>
          <w:p>
            <w:r>
              <w:t>Rod</w:t>
            </w:r>
          </w:p>
        </w:tc>
        <w:tc>
          <w:tcPr>
            <w:tcW w:type="dxa" w:w="2074"/>
            <w:vAlign w:val="center"/>
          </w:tcPr>
          <w:p>
            <w:r>
              <w:t>Data!B6</w:t>
            </w:r>
          </w:p>
        </w:tc>
        <w:tc>
          <w:tcPr>
            <w:tcW w:type="dxa" w:w="2074"/>
            <w:vAlign w:val="center"/>
          </w:tcPr>
          <w:p>
            <w:r>
              <w:t>OrderEntry Rod</w:t>
            </w:r>
          </w:p>
        </w:tc>
        <w:tc>
          <w:tcPr>
            <w:tcW w:type="dxa" w:w="2074"/>
            <w:vAlign w:val="center"/>
          </w:tcPr>
          <w:p>
            <w:r>
              <w:t>Rod diameter/size</w:t>
            </w:r>
          </w:p>
        </w:tc>
      </w:tr>
      <w:tr>
        <w:tc>
          <w:tcPr>
            <w:tcW w:type="dxa" w:w="2074"/>
            <w:vAlign w:val="center"/>
          </w:tcPr>
          <w:p>
            <w:r>
              <w:t>10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11</w:t>
            </w:r>
          </w:p>
        </w:tc>
        <w:tc>
          <w:tcPr>
            <w:tcW w:type="dxa" w:w="2074"/>
            <w:vAlign w:val="center"/>
          </w:tcPr>
          <w:p>
            <w:r>
              <w:t>Rod Style</w:t>
            </w:r>
          </w:p>
        </w:tc>
        <w:tc>
          <w:tcPr>
            <w:tcW w:type="dxa" w:w="2074"/>
            <w:vAlign w:val="center"/>
          </w:tcPr>
          <w:p>
            <w:r>
              <w:t>Data!D15</w:t>
            </w:r>
          </w:p>
        </w:tc>
        <w:tc>
          <w:tcPr>
            <w:tcW w:type="dxa" w:w="2074"/>
            <w:vAlign w:val="center"/>
          </w:tcPr>
          <w:p>
            <w:r>
              <w:t>OrderEntry Style</w:t>
            </w:r>
          </w:p>
        </w:tc>
        <w:tc>
          <w:tcPr>
            <w:tcW w:type="dxa" w:w="2074"/>
            <w:vAlign w:val="center"/>
          </w:tcPr>
          <w:p>
            <w:r>
              <w:t>Numeric/style code is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12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13</w:t>
            </w:r>
          </w:p>
        </w:tc>
        <w:tc>
          <w:tcPr>
            <w:tcW w:type="dxa" w:w="2074"/>
            <w:vAlign w:val="center"/>
          </w:tcPr>
          <w:p>
            <w:r>
              <w:t>Cushion</w:t>
            </w:r>
          </w:p>
        </w:tc>
        <w:tc>
          <w:tcPr>
            <w:tcW w:type="dxa" w:w="2074"/>
            <w:vAlign w:val="center"/>
          </w:tcPr>
          <w:p>
            <w:r>
              <w:t>Data!B7</w:t>
            </w:r>
          </w:p>
        </w:tc>
        <w:tc>
          <w:tcPr>
            <w:tcW w:type="dxa" w:w="2074"/>
            <w:vAlign w:val="center"/>
          </w:tcPr>
          <w:p>
            <w:r>
              <w:t>OrderEntry Cushion</w:t>
            </w:r>
          </w:p>
        </w:tc>
        <w:tc>
          <w:tcPr>
            <w:tcW w:type="dxa" w:w="2074"/>
            <w:vAlign w:val="center"/>
          </w:tcPr>
          <w:p>
            <w:r>
              <w:t>Cushion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14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15</w:t>
            </w:r>
          </w:p>
        </w:tc>
        <w:tc>
          <w:tcPr>
            <w:tcW w:type="dxa" w:w="2074"/>
            <w:vAlign w:val="center"/>
          </w:tcPr>
          <w:p>
            <w:r>
              <w:t>Ports</w:t>
            </w:r>
          </w:p>
        </w:tc>
        <w:tc>
          <w:tcPr>
            <w:tcW w:type="dxa" w:w="2074"/>
            <w:vAlign w:val="center"/>
          </w:tcPr>
          <w:p>
            <w:r>
              <w:t>Data!D2</w:t>
            </w:r>
          </w:p>
        </w:tc>
        <w:tc>
          <w:tcPr>
            <w:tcW w:type="dxa" w:w="2074"/>
            <w:vAlign w:val="center"/>
          </w:tcPr>
          <w:p>
            <w:r>
              <w:t>OrderEntry Ports</w:t>
            </w:r>
          </w:p>
        </w:tc>
        <w:tc>
          <w:tcPr>
            <w:tcW w:type="dxa" w:w="2074"/>
            <w:vAlign w:val="center"/>
          </w:tcPr>
          <w:p>
            <w:r>
              <w:t>Port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16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17</w:t>
            </w:r>
          </w:p>
        </w:tc>
        <w:tc>
          <w:tcPr>
            <w:tcW w:type="dxa" w:w="2074"/>
            <w:vAlign w:val="center"/>
          </w:tcPr>
          <w:p>
            <w:r>
              <w:t>Seal</w:t>
            </w:r>
          </w:p>
        </w:tc>
        <w:tc>
          <w:tcPr>
            <w:tcW w:type="dxa" w:w="2074"/>
            <w:vAlign w:val="center"/>
          </w:tcPr>
          <w:p>
            <w:r>
              <w:t>Data!B10</w:t>
            </w:r>
          </w:p>
        </w:tc>
        <w:tc>
          <w:tcPr>
            <w:tcW w:type="dxa" w:w="2074"/>
            <w:vAlign w:val="center"/>
          </w:tcPr>
          <w:p>
            <w:r>
              <w:t>OrderEntry Seal</w:t>
            </w:r>
          </w:p>
        </w:tc>
        <w:tc>
          <w:tcPr>
            <w:tcW w:type="dxa" w:w="2074"/>
            <w:vAlign w:val="center"/>
          </w:tcPr>
          <w:p>
            <w:r>
              <w:t>Seal code inserted directly</w:t>
            </w:r>
          </w:p>
        </w:tc>
      </w:tr>
      <w:tr>
        <w:tc>
          <w:tcPr>
            <w:tcW w:type="dxa" w:w="2074"/>
            <w:vAlign w:val="center"/>
          </w:tcPr>
          <w:p>
            <w:r>
              <w:t>18</w:t>
            </w:r>
          </w:p>
        </w:tc>
        <w:tc>
          <w:tcPr>
            <w:tcW w:type="dxa" w:w="2074"/>
            <w:vAlign w:val="center"/>
          </w:tcPr>
          <w:p>
            <w:r>
              <w:t>Separator</w:t>
            </w:r>
          </w:p>
        </w:tc>
        <w:tc>
          <w:tcPr>
            <w:tcW w:type="dxa" w:w="2074"/>
            <w:vAlign w:val="center"/>
          </w:tcPr>
          <w:p>
            <w:r>
              <w:t>Data!B1</w:t>
            </w:r>
          </w:p>
        </w:tc>
        <w:tc>
          <w:tcPr>
            <w:tcW w:type="dxa" w:w="2074"/>
            <w:vAlign w:val="center"/>
          </w:tcPr>
          <w:p>
            <w:r>
              <w:t>Static "-"</w:t>
            </w:r>
          </w:p>
        </w:tc>
        <w:tc>
          <w:tcPr>
            <w:tcW w:type="dxa" w:w="2074"/>
            <w:vAlign w:val="center"/>
          </w:tcPr>
          <w:p>
            <w:r>
              <w:t>Hyphen</w:t>
            </w:r>
          </w:p>
        </w:tc>
      </w:tr>
      <w:tr>
        <w:tc>
          <w:tcPr>
            <w:tcW w:type="dxa" w:w="2074"/>
            <w:vAlign w:val="center"/>
          </w:tcPr>
          <w:p>
            <w:r>
              <w:t>19</w:t>
            </w:r>
          </w:p>
        </w:tc>
        <w:tc>
          <w:tcPr>
            <w:tcW w:type="dxa" w:w="2074"/>
            <w:vAlign w:val="center"/>
          </w:tcPr>
          <w:p>
            <w:r>
              <w:t>Suffix</w:t>
            </w:r>
          </w:p>
        </w:tc>
        <w:tc>
          <w:tcPr>
            <w:tcW w:type="dxa" w:w="2074"/>
            <w:vAlign w:val="center"/>
          </w:tcPr>
          <w:p>
            <w:r>
              <w:t>literal in A1</w:t>
            </w:r>
          </w:p>
        </w:tc>
        <w:tc>
          <w:tcPr>
            <w:tcW w:type="dxa" w:w="2074"/>
            <w:vAlign w:val="center"/>
          </w:tcPr>
          <w:p>
            <w:r>
              <w:t>Static "S"</w:t>
            </w:r>
          </w:p>
        </w:tc>
        <w:tc>
          <w:tcPr>
            <w:tcW w:type="dxa" w:w="2074"/>
            <w:vAlign w:val="center"/>
          </w:tcPr>
          <w:p>
            <w:r>
              <w:t>Fixed final suffix</w:t>
            </w:r>
          </w:p>
        </w:tc>
      </w:tr>
    </w:tbl>
    <w:p>
      <w:r>
        <w:rPr>
          <w:b/>
        </w:rPr>
        <w:t xml:space="preserve">Special branch - Double Rod End: </w:t>
      </w:r>
      <w:r>
        <w:t>Data!E5 = IF(D18="",B5,CONCATENATE("DRE/",B5)). D18 does not become a separate model segment; instead it changes the mount segment. This is the same D18 condition that later affects pricing, so DRE is both a model-code rule and a pricing rule.</w:t>
      </w:r>
    </w:p>
    <w:p>
      <w:r>
        <w:rPr>
          <w:b/>
        </w:rPr>
        <w:t xml:space="preserve">Display destination: </w:t>
      </w:r>
      <w:r>
        <w:t>Quote Form!B12 = Data!A1. No additional model transformation occurs between Data!A1 and the quote form.</w:t>
      </w:r>
    </w:p>
    <w:p>
      <w:r>
        <w:rPr>
          <w:b/>
        </w:rPr>
        <w:t xml:space="preserve">Important boundary: </w:t>
      </w:r>
      <w:r>
        <w:t>Data!D23, D28, and D30 create human-readable descriptions for rod style, cushion, and seal selections, but they are not used in Data!A1. The model code uses the compact codes in D15, B7, D2, and B10 directly.</w:t>
      </w:r>
    </w:p>
    <w:p>
      <w:r>
        <w:rPr>
          <w:b/>
        </w:rPr>
        <w:t xml:space="preserve">HTML migration implication: </w:t>
      </w:r>
      <w:r>
        <w:t>The model-number builder can be implemented as one deterministic formatting function after the user selections are normalized. It does not require the pricing sheets to build the model number.</w:t>
      </w:r>
    </w:p>
    <w:p>
      <w:r>
        <w:br w:type="page"/>
      </w:r>
    </w:p>
    <w:p>
      <w:pPr>
        <w:pStyle w:val="Heading1"/>
      </w:pPr>
      <w:r>
        <w:t>Section 3 - Series Routing</w:t>
      </w:r>
    </w:p>
    <w:p>
      <w:r>
        <w:rPr>
          <w:b/>
        </w:rPr>
        <w:t xml:space="preserve">Core finding: </w:t>
      </w:r>
      <w:r>
        <w:t>Data!B3 is the master series-routing value. The workbook does not switch worksheets with VBA. Instead, the calculation sheets remain formula-driven and each candidate row checks Data!B3. A matching series returns a value; nonmatching series return blank or zero. Data then sums the outputs from all candidate sheets, so only the active route contributes.</w:t>
      </w:r>
    </w:p>
    <w:p>
      <w:r>
        <w:rPr>
          <w:b/>
        </w:rPr>
        <w:t xml:space="preserve">Primary base-cost routing: </w:t>
      </w:r>
      <w:r>
        <w:t>H/HM/W -&gt; H sheet; A/LH -&gt; A sheet; MH -&gt; MH sheet; IMH -&gt; IMH sheet; IH/IHM -&gt; IH sheet; VA -&gt; VA sheet.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 code(s)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Primary sheet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Key output path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Verified routing behavior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H, HM, 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Q7:Q51 -&gt; Q52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Example Q7 gates on H/HM/W, then matches Bore Data!B4 and Rod Data!B6. Q52 sums Q7:Q51.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A, LH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Q6:Q52 -&gt; Q53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Q-row formulas gate on A/LH, then match Bore and Rod. Q53 is the base total.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O7:O51 -&gt; O52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O-row formulas gate specifically on MH, then match Bore and Rod.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O7:O26 -&gt; O27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O-row formulas gate specifically on IMH, then match Bore and Rod.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IH, IHM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Q7:Q35 -&gt; Q36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Q-row formulas gate on IH/IHM, then match Bore and Rod.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series-specific rows + K20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VA formulas explicitly require Data!B3="VA"; K20 is one of the VA totals used by Data!D6.</w:t>
            </w:r>
          </w:p>
        </w:tc>
      </w:tr>
    </w:tbl>
    <w:p>
      <w:r>
        <w:rPr>
          <w:b/>
        </w:rPr>
        <w:t xml:space="preserve">How Data receives the routed values: </w:t>
      </w:r>
      <w:r>
        <w:t>Data!C5 sums the primary base outputs H!Q52 + A!Q53 + MH!O52 + PH!J34 + IH!Q36 + IMH!O27. Data!C8 similarly sums the related stroke/length outputs H!W52 + A!W53 + MH!S52 + PH!N34 + IH!W36 + IMH!S27. Because the series sheets gate themselves, Data can sum all of them without an outer IF selecting a single sheet.</w:t>
      </w:r>
    </w:p>
    <w:p>
      <w:r>
        <w:rPr>
          <w:b/>
        </w:rPr>
        <w:t xml:space="preserve">Shared option routing: </w:t>
      </w:r>
      <w:r>
        <w:t>The numbered sheets are secondary calculation routes, not separate cylinder series. H2/H3/H4 accept H/MH/HM/W; A2/A3/A4 accept A/LH; IH2/IH3/IH4 accept IH/IHM/IMH. Their totals are added directly inside Data!D6 when the corresponding option inputs are active.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Secondary sheet(s)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Series accepted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Output / area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Role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H2 / H3 / H4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H, MH, HM, W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H2!R53; H3!T53; H4!R53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H-family option/add-on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A2 / A3 / A4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A, LH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A2!O55; A3!Q55; A4 option total area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A/LH option/add-on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IH2 / IH3 / IH4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IH, IHM, IMH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IH2!R37; IH3!U37; IH4!S37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Shared metric/IH-family option/add-on calculations.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PH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Cross-series modification sheet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PH!A33 and internal totals</w:t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>
              <w:rPr>
                <w:sz w:val="18"/>
              </w:rPr>
              <w:t>Position-sensing/modification logic; not a normal primary series sheet. Some formulas explicitly exclude IH/IHM from the imperial sensor schedule and use the metric-side schedule for IH/IMH/IHM.</w:t>
            </w:r>
          </w:p>
        </w:tc>
      </w:tr>
    </w:tbl>
    <w:p>
      <w:r>
        <w:rPr>
          <w:b/>
        </w:rPr>
        <w:t xml:space="preserve">Important caution: </w:t>
      </w:r>
      <w:r>
        <w:t>Sheet names are not perfect one-to-one series labels. The H and IH sheets contain additional shared/reference formulas for other families, so routing must be documented from the actual gated output formulas rather than inferred from the sheet name alone.</w:t>
      </w:r>
    </w:p>
    <w:p>
      <w:r>
        <w:rPr>
          <w:b/>
        </w:rPr>
        <w:t xml:space="preserve">HTML migration implication: </w:t>
      </w:r>
      <w:r>
        <w:t>The web calculator should replace the spreadsheet's "all sheets calculate, only one returns a value" pattern with an explicit series router. The router can choose one primary base-cost calculator plus the appropriate shared option calculators. This will make the logic easier to test and maintain while preserving the workbook results.</w:t>
      </w:r>
    </w:p>
    <w:p>
      <w:r>
        <w:rPr>
          <w:b/>
        </w:rPr>
        <w:t xml:space="preserve">Section 3 status: </w:t>
      </w:r>
      <w:r>
        <w:t>Core series routing is VERIFIED. Detailed cost composition inside each routed sheet is intentionally deferred to Sections 4 and 5, where we will dissect base-cylinder component cost and stroke-related cost in the agreed order.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