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Cylinder Quote Calculator Dissection</w:t>
      </w:r>
    </w:p>
    <w:p>
      <w:pPr>
        <w:jc w:val="center"/>
      </w:pPr>
      <w:r>
        <w:rPr>
          <w:b/>
        </w:rPr>
        <w:t>Working Findings &amp; Location Map</w:t>
      </w:r>
    </w:p>
    <w:p>
      <w:r>
        <w:t>Purpose: reverse-engineer the existing Excel pricing engine so the same rules can later be rebuilt as a multi-user HTML/web quoting system with calculation parity.</w:t>
      </w:r>
    </w:p>
    <w:p>
      <w:pPr>
        <w:pStyle w:val="Heading1"/>
      </w:pPr>
      <w:r>
        <w:t>Dissection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456"/>
            <w:shd w:fill="1F4E78"/>
            <w:vAlign w:val="center"/>
          </w:tcPr>
          <w:p>
            <w:r>
              <w:rPr>
                <w:b/>
                <w:color w:val="FFFFFF"/>
              </w:rPr>
              <w:t>Investigation Area</w:t>
            </w:r>
          </w:p>
        </w:tc>
        <w:tc>
          <w:tcPr>
            <w:tcW w:type="dxa" w:w="3456"/>
            <w:shd w:fill="1F4E78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r>
              <w:t>1</w:t>
            </w:r>
          </w:p>
        </w:tc>
        <w:tc>
          <w:tcPr>
            <w:tcW w:type="dxa" w:w="3456"/>
            <w:vAlign w:val="center"/>
          </w:tcPr>
          <w:p>
            <w:r>
              <w:t>Cylinder Definition / User Inputs</w:t>
            </w:r>
          </w:p>
        </w:tc>
        <w:tc>
          <w:tcPr>
            <w:tcW w:type="dxa" w:w="3456"/>
            <w:vAlign w:val="center"/>
          </w:tcPr>
          <w:p>
            <w:r>
              <w:t>IN PROGRESS</w:t>
            </w:r>
          </w:p>
        </w:tc>
      </w:tr>
      <w:tr>
        <w:tc>
          <w:tcPr>
            <w:tcW w:type="dxa" w:w="3456"/>
            <w:vAlign w:val="center"/>
          </w:tcPr>
          <w:p>
            <w:r>
              <w:t>2</w:t>
            </w:r>
          </w:p>
        </w:tc>
        <w:tc>
          <w:tcPr>
            <w:tcW w:type="dxa" w:w="3456"/>
            <w:vAlign w:val="center"/>
          </w:tcPr>
          <w:p>
            <w:r>
              <w:t>Model-Code Generation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3</w:t>
            </w:r>
          </w:p>
        </w:tc>
        <w:tc>
          <w:tcPr>
            <w:tcW w:type="dxa" w:w="3456"/>
            <w:vAlign w:val="center"/>
          </w:tcPr>
          <w:p>
            <w:r>
              <w:t>Series Routing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4</w:t>
            </w:r>
          </w:p>
        </w:tc>
        <w:tc>
          <w:tcPr>
            <w:tcW w:type="dxa" w:w="3456"/>
            <w:vAlign w:val="center"/>
          </w:tcPr>
          <w:p>
            <w:r>
              <w:t>Base-Cylinder Component Cost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5</w:t>
            </w:r>
          </w:p>
        </w:tc>
        <w:tc>
          <w:tcPr>
            <w:tcW w:type="dxa" w:w="3456"/>
            <w:vAlign w:val="center"/>
          </w:tcPr>
          <w:p>
            <w:r>
              <w:t>Stroke-Related Cost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6</w:t>
            </w:r>
          </w:p>
        </w:tc>
        <w:tc>
          <w:tcPr>
            <w:tcW w:type="dxa" w:w="3456"/>
            <w:vAlign w:val="center"/>
          </w:tcPr>
          <w:p>
            <w:r>
              <w:t>Accessories and Adders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7</w:t>
            </w:r>
          </w:p>
        </w:tc>
        <w:tc>
          <w:tcPr>
            <w:tcW w:type="dxa" w:w="3456"/>
            <w:vAlign w:val="center"/>
          </w:tcPr>
          <w:p>
            <w:r>
              <w:t>Special-Order Pricing Rules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8</w:t>
            </w:r>
          </w:p>
        </w:tc>
        <w:tc>
          <w:tcPr>
            <w:tcW w:type="dxa" w:w="3456"/>
            <w:vAlign w:val="center"/>
          </w:tcPr>
          <w:p>
            <w:r>
              <w:t>Cost to List Price to Selling Price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9</w:t>
            </w:r>
          </w:p>
        </w:tc>
        <w:tc>
          <w:tcPr>
            <w:tcW w:type="dxa" w:w="3456"/>
            <w:vAlign w:val="center"/>
          </w:tcPr>
          <w:p>
            <w:r>
              <w:t>Quote Presentation Logic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10</w:t>
            </w:r>
          </w:p>
        </w:tc>
        <w:tc>
          <w:tcPr>
            <w:tcW w:type="dxa" w:w="3456"/>
            <w:vAlign w:val="center"/>
          </w:tcPr>
          <w:p>
            <w:r>
              <w:t>VBA Workflow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</w:tbl>
    <w:p>
      <w:pPr>
        <w:pStyle w:val="Heading1"/>
      </w:pPr>
      <w:r>
        <w:t>Section 1 - Cylinder Definition / User Inputs</w:t>
      </w:r>
    </w:p>
    <w:p>
      <w:r>
        <w:t>Correction to the earlier map: the OrderEntry UserForm is the true user-input layer. The Data sheet is the normalized working record that the form populates. We will therefore trace every quote field as OrderEntry control -&gt; workbook destination -&gt; downstream calculation before moving to Section 2.</w:t>
      </w:r>
    </w:p>
    <w:p>
      <w:r>
        <w:t>A key verified link is OrderEntry ListBox1 &lt;- Data!D6. The form labels this output "Net Each", proving D6 is surfaced directly back to the user during quoting.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Input / Role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Form Control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Workbook Destination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Source / Logic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74"/>
            <w:vAlign w:val="center"/>
          </w:tcPr>
          <w:p>
            <w:r>
              <w:t>True user-entry point</w:t>
            </w:r>
          </w:p>
        </w:tc>
        <w:tc>
          <w:tcPr>
            <w:tcW w:type="dxa" w:w="2074"/>
            <w:vAlign w:val="center"/>
          </w:tcPr>
          <w:p>
            <w:r>
              <w:t>Form</w:t>
            </w:r>
          </w:p>
        </w:tc>
        <w:tc>
          <w:tcPr>
            <w:tcW w:type="dxa" w:w="2074"/>
            <w:vAlign w:val="center"/>
          </w:tcPr>
          <w:p>
            <w:r/>
          </w:p>
        </w:tc>
        <w:tc>
          <w:tcPr>
            <w:tcW w:type="dxa" w:w="2074"/>
            <w:vAlign w:val="center"/>
          </w:tcPr>
          <w:p>
            <w:r>
              <w:t>The form title is "JIT 2026 Pricing Calculator". User selections are written into workbook cells and those cells drive the downstream formulas.</w:t>
            </w:r>
          </w:p>
        </w:tc>
        <w:tc>
          <w:tcPr>
            <w:tcW w:type="dxa" w:w="2074"/>
            <w:vAlign w:val="center"/>
          </w:tcPr>
          <w:p>
            <w:r>
              <w:t>VERIFIED from recovered OrderEntry VBA and form definition.</w:t>
            </w:r>
          </w:p>
        </w:tc>
      </w:tr>
      <w:tr>
        <w:tc>
          <w:tcPr>
            <w:tcW w:type="dxa" w:w="2074"/>
            <w:vAlign w:val="center"/>
          </w:tcPr>
          <w:p>
            <w:r>
              <w:t>Customer</w:t>
            </w:r>
          </w:p>
        </w:tc>
        <w:tc>
          <w:tcPr>
            <w:tcW w:type="dxa" w:w="2074"/>
            <w:vAlign w:val="center"/>
          </w:tcPr>
          <w:p>
            <w:r>
              <w:t>ComboBox2</w:t>
            </w:r>
          </w:p>
        </w:tc>
        <w:tc>
          <w:tcPr>
            <w:tcW w:type="dxa" w:w="2074"/>
            <w:vAlign w:val="center"/>
          </w:tcPr>
          <w:p>
            <w:r>
              <w:t>Customer!B1</w:t>
            </w:r>
          </w:p>
        </w:tc>
        <w:tc>
          <w:tcPr>
            <w:tcW w:type="dxa" w:w="2074"/>
            <w:vAlign w:val="center"/>
          </w:tcPr>
          <w:p>
            <w:r>
              <w:t>ComboBox2_Change writes the selected customer to Customer!B1. RowSource is Customer!B3:G10000.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Series</w:t>
            </w:r>
          </w:p>
        </w:tc>
        <w:tc>
          <w:tcPr>
            <w:tcW w:type="dxa" w:w="2074"/>
            <w:vAlign w:val="center"/>
          </w:tcPr>
          <w:p>
            <w:r>
              <w:t>ComboBox6</w:t>
            </w:r>
          </w:p>
        </w:tc>
        <w:tc>
          <w:tcPr>
            <w:tcW w:type="dxa" w:w="2074"/>
            <w:vAlign w:val="center"/>
          </w:tcPr>
          <w:p>
            <w:r>
              <w:t>Data!B3</w:t>
            </w:r>
          </w:p>
        </w:tc>
        <w:tc>
          <w:tcPr>
            <w:tcW w:type="dxa" w:w="2074"/>
            <w:vAlign w:val="center"/>
          </w:tcPr>
          <w:p>
            <w:r>
              <w:t>Series control. RowSource ShipVia!H2:H12.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Mount</w:t>
            </w:r>
          </w:p>
        </w:tc>
        <w:tc>
          <w:tcPr>
            <w:tcW w:type="dxa" w:w="2074"/>
            <w:vAlign w:val="center"/>
          </w:tcPr>
          <w:p>
            <w:r>
              <w:t>ComboBox5</w:t>
            </w:r>
          </w:p>
        </w:tc>
        <w:tc>
          <w:tcPr>
            <w:tcW w:type="dxa" w:w="2074"/>
            <w:vAlign w:val="center"/>
          </w:tcPr>
          <w:p>
            <w:r>
              <w:t>Data!B5</w:t>
            </w:r>
          </w:p>
        </w:tc>
        <w:tc>
          <w:tcPr>
            <w:tcW w:type="dxa" w:w="2074"/>
            <w:vAlign w:val="center"/>
          </w:tcPr>
          <w:p>
            <w:r>
              <w:t>Mount control. RowSource ShipVia!F2:F27.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Bore</w:t>
            </w:r>
          </w:p>
        </w:tc>
        <w:tc>
          <w:tcPr>
            <w:tcW w:type="dxa" w:w="2074"/>
            <w:vAlign w:val="center"/>
          </w:tcPr>
          <w:p>
            <w:r>
              <w:t>ComboBox11</w:t>
            </w:r>
          </w:p>
        </w:tc>
        <w:tc>
          <w:tcPr>
            <w:tcW w:type="dxa" w:w="2074"/>
            <w:vAlign w:val="center"/>
          </w:tcPr>
          <w:p>
            <w:r>
              <w:t>Data!B4</w:t>
            </w:r>
          </w:p>
        </w:tc>
        <w:tc>
          <w:tcPr>
            <w:tcW w:type="dxa" w:w="2074"/>
            <w:vAlign w:val="center"/>
          </w:tcPr>
          <w:p>
            <w:r>
              <w:t>Bore control. RowSource ShipVia!D21:D36.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Stroke</w:t>
            </w:r>
          </w:p>
        </w:tc>
        <w:tc>
          <w:tcPr>
            <w:tcW w:type="dxa" w:w="2074"/>
            <w:vAlign w:val="center"/>
          </w:tcPr>
          <w:p>
            <w:r>
              <w:t>TextBox22</w:t>
            </w:r>
          </w:p>
        </w:tc>
        <w:tc>
          <w:tcPr>
            <w:tcW w:type="dxa" w:w="2074"/>
            <w:vAlign w:val="center"/>
          </w:tcPr>
          <w:p>
            <w:r>
              <w:t>likely Data!B8</w:t>
            </w:r>
          </w:p>
        </w:tc>
        <w:tc>
          <w:tcPr>
            <w:tcW w:type="dxa" w:w="2074"/>
            <w:vAlign w:val="center"/>
          </w:tcPr>
          <w:p>
            <w:r>
              <w:t>Form label at the TextBox22 position is Stroke. Data!B8 is the workbook stroke input used by model and pricing formulas.</w:t>
            </w:r>
          </w:p>
        </w:tc>
        <w:tc>
          <w:tcPr>
            <w:tcW w:type="dxa" w:w="2074"/>
            <w:vAlign w:val="center"/>
          </w:tcPr>
          <w:p>
            <w:r>
              <w:t>STRONGLY INFERRED; direct ControlSource still to verify.</w:t>
            </w:r>
          </w:p>
        </w:tc>
      </w:tr>
      <w:tr>
        <w:tc>
          <w:tcPr>
            <w:tcW w:type="dxa" w:w="2074"/>
            <w:vAlign w:val="center"/>
          </w:tcPr>
          <w:p>
            <w:r>
              <w:t>Rod</w:t>
            </w:r>
          </w:p>
        </w:tc>
        <w:tc>
          <w:tcPr>
            <w:tcW w:type="dxa" w:w="2074"/>
            <w:vAlign w:val="center"/>
          </w:tcPr>
          <w:p>
            <w:r>
              <w:t>ComboBox7</w:t>
            </w:r>
          </w:p>
        </w:tc>
        <w:tc>
          <w:tcPr>
            <w:tcW w:type="dxa" w:w="2074"/>
            <w:vAlign w:val="center"/>
          </w:tcPr>
          <w:p>
            <w:r>
              <w:t>Data!B6</w:t>
            </w:r>
          </w:p>
        </w:tc>
        <w:tc>
          <w:tcPr>
            <w:tcW w:type="dxa" w:w="2074"/>
            <w:vAlign w:val="center"/>
          </w:tcPr>
          <w:p>
            <w:r>
              <w:t>Rod control. RowSource ShipVia!K1:K6.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Rod Style / Thread</w:t>
            </w:r>
          </w:p>
        </w:tc>
        <w:tc>
          <w:tcPr>
            <w:tcW w:type="dxa" w:w="2074"/>
            <w:vAlign w:val="center"/>
          </w:tcPr>
          <w:p>
            <w:r>
              <w:t>ComboBox10</w:t>
            </w:r>
          </w:p>
        </w:tc>
        <w:tc>
          <w:tcPr>
            <w:tcW w:type="dxa" w:w="2074"/>
            <w:vAlign w:val="center"/>
          </w:tcPr>
          <w:p>
            <w:r>
              <w:t>Data!D15</w:t>
            </w:r>
          </w:p>
        </w:tc>
        <w:tc>
          <w:tcPr>
            <w:tcW w:type="dxa" w:w="2074"/>
            <w:vAlign w:val="center"/>
          </w:tcPr>
          <w:p>
            <w:r>
              <w:t>Form label is Style. RowSource ShipVia!D12:D16. D15 is used by model-code and rod-thread logic.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Cushion</w:t>
            </w:r>
          </w:p>
        </w:tc>
        <w:tc>
          <w:tcPr>
            <w:tcW w:type="dxa" w:w="2074"/>
            <w:vAlign w:val="center"/>
          </w:tcPr>
          <w:p>
            <w:r>
              <w:t>ComboBox12</w:t>
            </w:r>
          </w:p>
        </w:tc>
        <w:tc>
          <w:tcPr>
            <w:tcW w:type="dxa" w:w="2074"/>
            <w:vAlign w:val="center"/>
          </w:tcPr>
          <w:p>
            <w:r>
              <w:t>Data!B7</w:t>
            </w:r>
          </w:p>
        </w:tc>
        <w:tc>
          <w:tcPr>
            <w:tcW w:type="dxa" w:w="2074"/>
            <w:vAlign w:val="center"/>
          </w:tcPr>
          <w:p>
            <w:r>
              <w:t>Cushion control. RowSource ShipVia!E18:E24.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Ports</w:t>
            </w:r>
          </w:p>
        </w:tc>
        <w:tc>
          <w:tcPr>
            <w:tcW w:type="dxa" w:w="2074"/>
            <w:vAlign w:val="center"/>
          </w:tcPr>
          <w:p>
            <w:r>
              <w:t>ComboBox13</w:t>
            </w:r>
          </w:p>
        </w:tc>
        <w:tc>
          <w:tcPr>
            <w:tcW w:type="dxa" w:w="2074"/>
            <w:vAlign w:val="center"/>
          </w:tcPr>
          <w:p>
            <w:r>
              <w:t>Data!D2</w:t>
            </w:r>
          </w:p>
        </w:tc>
        <w:tc>
          <w:tcPr>
            <w:tcW w:type="dxa" w:w="2074"/>
            <w:vAlign w:val="center"/>
          </w:tcPr>
          <w:p>
            <w:r>
              <w:t>Ports control. RowSource ShipVia!E26:E29.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Seal</w:t>
            </w:r>
          </w:p>
        </w:tc>
        <w:tc>
          <w:tcPr>
            <w:tcW w:type="dxa" w:w="2074"/>
            <w:vAlign w:val="center"/>
          </w:tcPr>
          <w:p>
            <w:r>
              <w:t>ComboBox9</w:t>
            </w:r>
          </w:p>
        </w:tc>
        <w:tc>
          <w:tcPr>
            <w:tcW w:type="dxa" w:w="2074"/>
            <w:vAlign w:val="center"/>
          </w:tcPr>
          <w:p>
            <w:r>
              <w:t>Data!B10</w:t>
            </w:r>
          </w:p>
        </w:tc>
        <w:tc>
          <w:tcPr>
            <w:tcW w:type="dxa" w:w="2074"/>
            <w:vAlign w:val="center"/>
          </w:tcPr>
          <w:p>
            <w:r>
              <w:t>Seal control. RowSource ShipVia!D6:D11.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Double Rod End</w:t>
            </w:r>
          </w:p>
        </w:tc>
        <w:tc>
          <w:tcPr>
            <w:tcW w:type="dxa" w:w="2074"/>
            <w:vAlign w:val="center"/>
          </w:tcPr>
          <w:p>
            <w:r>
              <w:t>TextBox8</w:t>
            </w:r>
          </w:p>
        </w:tc>
        <w:tc>
          <w:tcPr>
            <w:tcW w:type="dxa" w:w="2074"/>
            <w:vAlign w:val="center"/>
          </w:tcPr>
          <w:p>
            <w:r>
              <w:t>likely Data!D18</w:t>
            </w:r>
          </w:p>
        </w:tc>
        <w:tc>
          <w:tcPr>
            <w:tcW w:type="dxa" w:w="2074"/>
            <w:vAlign w:val="center"/>
          </w:tcPr>
          <w:p>
            <w:r>
              <w:t>Form label is DRE (Y). Data!D18 is cleared when form initializes and drives the DRE model prefix plus the C5*0.65 pricing rule.</w:t>
            </w:r>
          </w:p>
        </w:tc>
        <w:tc>
          <w:tcPr>
            <w:tcW w:type="dxa" w:w="2074"/>
            <w:vAlign w:val="center"/>
          </w:tcPr>
          <w:p>
            <w:r>
              <w:t>STRONGLY INFERRED; direct ControlSource still to verify.</w:t>
            </w:r>
          </w:p>
        </w:tc>
      </w:tr>
      <w:tr>
        <w:tc>
          <w:tcPr>
            <w:tcW w:type="dxa" w:w="2074"/>
            <w:vAlign w:val="center"/>
          </w:tcPr>
          <w:p>
            <w:r>
              <w:t>Discount</w:t>
            </w:r>
          </w:p>
        </w:tc>
        <w:tc>
          <w:tcPr>
            <w:tcW w:type="dxa" w:w="2074"/>
            <w:vAlign w:val="center"/>
          </w:tcPr>
          <w:p>
            <w:r>
              <w:t>TextBoxDiscount</w:t>
            </w:r>
          </w:p>
        </w:tc>
        <w:tc>
          <w:tcPr>
            <w:tcW w:type="dxa" w:w="2074"/>
            <w:vAlign w:val="center"/>
          </w:tcPr>
          <w:p>
            <w:r>
              <w:t>likely Data!D4</w:t>
            </w:r>
          </w:p>
        </w:tc>
        <w:tc>
          <w:tcPr>
            <w:tcW w:type="dxa" w:w="2074"/>
            <w:vAlign w:val="center"/>
          </w:tcPr>
          <w:p>
            <w:r>
              <w:t>Form label is Discount. Data!D4 is cleared when form initializes and is the discount/adjustment factor in D6/I13.</w:t>
            </w:r>
          </w:p>
        </w:tc>
        <w:tc>
          <w:tcPr>
            <w:tcW w:type="dxa" w:w="2074"/>
            <w:vAlign w:val="center"/>
          </w:tcPr>
          <w:p>
            <w:r>
              <w:t>STRONGLY INFERRED; direct ControlSource still to verify.</w:t>
            </w:r>
          </w:p>
        </w:tc>
      </w:tr>
      <w:tr>
        <w:tc>
          <w:tcPr>
            <w:tcW w:type="dxa" w:w="2074"/>
            <w:vAlign w:val="center"/>
          </w:tcPr>
          <w:p>
            <w:r>
              <w:t>Pressure</w:t>
            </w:r>
          </w:p>
        </w:tc>
        <w:tc>
          <w:tcPr>
            <w:tcW w:type="dxa" w:w="2074"/>
            <w:vAlign w:val="center"/>
          </w:tcPr>
          <w:p>
            <w:r>
              <w:t>ComboBox20</w:t>
            </w:r>
          </w:p>
        </w:tc>
        <w:tc>
          <w:tcPr>
            <w:tcW w:type="dxa" w:w="2074"/>
            <w:vAlign w:val="center"/>
          </w:tcPr>
          <w:p>
            <w:r>
              <w:t>Data!I16</w:t>
            </w:r>
          </w:p>
        </w:tc>
        <w:tc>
          <w:tcPr>
            <w:tcW w:type="dxa" w:w="2074"/>
            <w:vAlign w:val="center"/>
          </w:tcPr>
          <w:p>
            <w:r>
              <w:t>Pressure selection; RowSource Data!I22:I34.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Special parts 1-6</w:t>
            </w:r>
          </w:p>
        </w:tc>
        <w:tc>
          <w:tcPr>
            <w:tcW w:type="dxa" w:w="2074"/>
            <w:vAlign w:val="center"/>
          </w:tcPr>
          <w:p>
            <w:r>
              <w:t>ComboBox14:19</w:t>
            </w:r>
          </w:p>
        </w:tc>
        <w:tc>
          <w:tcPr>
            <w:tcW w:type="dxa" w:w="2074"/>
            <w:vAlign w:val="center"/>
          </w:tcPr>
          <w:p>
            <w:r>
              <w:t>Data!F26:F31</w:t>
            </w:r>
          </w:p>
        </w:tc>
        <w:tc>
          <w:tcPr>
            <w:tcW w:type="dxa" w:w="2074"/>
            <w:vAlign w:val="center"/>
          </w:tcPr>
          <w:p>
            <w:r>
              <w:t>Each ComboBox writes its selected part into the matching F26:F31 row; RowSource ShipVia!A40:A500. Quantities appear adjacent on the form and Data G26:G31 is cleared on initialization.</w:t>
            </w:r>
          </w:p>
        </w:tc>
        <w:tc>
          <w:tcPr>
            <w:tcW w:type="dxa" w:w="2074"/>
            <w:vAlign w:val="center"/>
          </w:tcPr>
          <w:p>
            <w:r>
              <w:t>PART selection VERIFIED; quantity mapping inferred.</w:t>
            </w:r>
          </w:p>
        </w:tc>
      </w:tr>
      <w:tr>
        <w:tc>
          <w:tcPr>
            <w:tcW w:type="dxa" w:w="2074"/>
            <w:vAlign w:val="center"/>
          </w:tcPr>
          <w:p>
            <w:r>
              <w:t>Tie Rod Set</w:t>
            </w:r>
          </w:p>
        </w:tc>
        <w:tc>
          <w:tcPr>
            <w:tcW w:type="dxa" w:w="2074"/>
            <w:vAlign w:val="center"/>
          </w:tcPr>
          <w:p>
            <w:r>
              <w:t>ComboBox26</w:t>
            </w:r>
          </w:p>
        </w:tc>
        <w:tc>
          <w:tcPr>
            <w:tcW w:type="dxa" w:w="2074"/>
            <w:vAlign w:val="center"/>
          </w:tcPr>
          <w:p>
            <w:r>
              <w:t>Data!L59</w:t>
            </w:r>
          </w:p>
        </w:tc>
        <w:tc>
          <w:tcPr>
            <w:tcW w:type="dxa" w:w="2074"/>
            <w:vAlign w:val="center"/>
          </w:tcPr>
          <w:p>
            <w:r>
              <w:t>Tie Rod Set selection; RowSource Data!L60:L69.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Form reset behavior</w:t>
            </w:r>
          </w:p>
        </w:tc>
        <w:tc>
          <w:tcPr>
            <w:tcW w:type="dxa" w:w="2074"/>
            <w:vAlign w:val="center"/>
          </w:tcPr>
          <w:p>
            <w:r>
              <w:t>UserForm_Initialize</w:t>
            </w:r>
          </w:p>
        </w:tc>
        <w:tc>
          <w:tcPr>
            <w:tcW w:type="dxa" w:w="2074"/>
            <w:vAlign w:val="center"/>
          </w:tcPr>
          <w:p>
            <w:r/>
          </w:p>
        </w:tc>
        <w:tc>
          <w:tcPr>
            <w:tcW w:type="dxa" w:w="2074"/>
            <w:vAlign w:val="center"/>
          </w:tcPr>
          <w:p>
            <w:r>
              <w:t>Initialization clears Data B2:B29, D2, D4, D15, D18, G9:G25, F26:G32 and other working ranges before a new quote.</w:t>
            </w:r>
          </w:p>
        </w:tc>
        <w:tc>
          <w:tcPr>
            <w:tcW w:type="dxa" w:w="2074"/>
            <w:vAlign w:val="center"/>
          </w:tcPr>
          <w:p>
            <w:r>
              <w:t>VERIFIED; confirms Data is the working record populated from OrderEntry.</w:t>
            </w:r>
          </w:p>
        </w:tc>
      </w:tr>
      <w:tr>
        <w:tc>
          <w:tcPr>
            <w:tcW w:type="dxa" w:w="2074"/>
            <w:vAlign w:val="center"/>
          </w:tcPr>
          <w:p>
            <w:r>
              <w:t>Net Each display</w:t>
            </w:r>
          </w:p>
        </w:tc>
        <w:tc>
          <w:tcPr>
            <w:tcW w:type="dxa" w:w="2074"/>
            <w:vAlign w:val="center"/>
          </w:tcPr>
          <w:p>
            <w:r>
              <w:t>ListBox1 &lt;- Data!D6</w:t>
            </w:r>
          </w:p>
        </w:tc>
        <w:tc>
          <w:tcPr>
            <w:tcW w:type="dxa" w:w="2074"/>
            <w:vAlign w:val="center"/>
          </w:tcPr>
          <w:p>
            <w:r/>
          </w:p>
        </w:tc>
        <w:tc>
          <w:tcPr>
            <w:tcW w:type="dxa" w:w="2074"/>
            <w:vAlign w:val="center"/>
          </w:tcPr>
          <w:p>
            <w:r>
              <w:t>The form reads Data!D6 into ListBox1, labeled Net Each. This directly links the form to the central calculated cost/net value.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</w:tbl>
    <w:p>
      <w:pPr>
        <w:pStyle w:val="Heading1"/>
      </w:pPr>
      <w:r>
        <w:t>Verified Pricing Spine Already Located</w:t>
      </w:r>
    </w:p>
    <w:p>
      <w:pPr>
        <w:pStyle w:val="ListBullet"/>
      </w:pPr>
      <w:r>
        <w:t>Data!C5 is the base/fixed cost convergence from H, A, MH, PH, IH and IMH.</w:t>
      </w:r>
    </w:p>
    <w:p>
      <w:pPr>
        <w:pStyle w:val="ListBullet"/>
      </w:pPr>
      <w:r>
        <w:t>Data!C8 is the stroke/length cost convergence from the same major series calculators.</w:t>
      </w:r>
    </w:p>
    <w:p>
      <w:pPr>
        <w:pStyle w:val="ListBullet"/>
      </w:pPr>
      <w:r>
        <w:t>Data!D6 is the central pricing convergence formula.</w:t>
      </w:r>
    </w:p>
    <w:p>
      <w:pPr>
        <w:pStyle w:val="ListBullet"/>
      </w:pPr>
      <w:r>
        <w:t>Data!I13 derives list price from D6 and D4.</w:t>
      </w:r>
    </w:p>
    <w:p>
      <w:pPr>
        <w:pStyle w:val="ListBullet"/>
      </w:pPr>
      <w:r>
        <w:t>Quote Form then presents list, standard, expedited, and emergency prices.</w:t>
      </w:r>
    </w:p>
    <w:p>
      <w:pPr>
        <w:pStyle w:val="Heading1"/>
      </w:pPr>
      <w:r>
        <w:t>Working Location Map</w:t>
      </w:r>
    </w:p>
    <w:p>
      <w:r>
        <w:t>The companion Excel file contains the detailed one-sheet map. Verified items and inferred items are deliberately distinguished so we do not accidentally turn an assumption into a rule.</w:t>
      </w:r>
    </w:p>
    <w:p>
      <w:pPr>
        <w:pStyle w:val="Heading1"/>
      </w:pPr>
      <w:r>
        <w:t>Next Investigation Step</w:t>
      </w:r>
    </w:p>
    <w:p>
      <w:r>
        <w:t>Finish Section 1 by verifying the remaining TextBox/quantity ControlSource mappings (Stroke, DRE, Discount, accessory quantities). Then move to Section 2 and trace how those normalized inputs construct the model number in Data!A1 and related helper cells.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