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Excel ↔ Python Pricing Parity Report</w:t>
      </w:r>
    </w:p>
    <w:p>
      <w:pPr>
        <w:jc w:val="center"/>
      </w:pPr>
      <w:r>
        <w:rPr>
          <w:b/>
          <w:color w:val="595959"/>
        </w:rPr>
        <w:t>Cylinder Quote Calculator • Pricing Engine v1.1</w:t>
      </w:r>
    </w:p>
    <w:p>
      <w:r>
        <w:rPr>
          <w:b/>
        </w:rPr>
        <w:t xml:space="preserve">Result: </w:t>
      </w:r>
      <w:r>
        <w:rPr>
          <w:b/>
          <w:color w:val="2E7D32"/>
        </w:rPr>
        <w:t>16 of 16 complete scenarios passed</w:t>
      </w:r>
      <w:r>
        <w:t xml:space="preserve"> after legacy worksheet behaviors discovered by the harness were isolated in compatibility logic.</w:t>
      </w:r>
    </w:p>
    <w:p>
      <w:pPr>
        <w:pStyle w:val="Heading1"/>
      </w:pPr>
      <w:r>
        <w:t>1. What Was Tested</w:t>
      </w:r>
    </w:p>
    <w:p>
      <w:r>
        <w:t>The parity harness loads the original macro-enabled quote workbook headlessly, writes controlled quote inputs directly into the Data sheet, forces a full spreadsheet recalculation, reads the resulting Excel values, then runs the identical input through the standalone Python pricing engine.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7365D"/>
          </w:tcPr>
          <w:p>
            <w:r>
              <w:rPr>
                <w:b/>
                <w:color w:val="FFFFFF"/>
              </w:rPr>
              <w:t>Checkpoint</w:t>
            </w:r>
          </w:p>
        </w:tc>
        <w:tc>
          <w:tcPr>
            <w:tcW w:type="dxa" w:w="5040"/>
            <w:vAlign w:val="center"/>
            <w:shd w:fill="17365D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5040"/>
          </w:tcPr>
          <w:p>
            <w:r>
              <w:t>Data!A1</w:t>
            </w:r>
          </w:p>
        </w:tc>
        <w:tc>
          <w:tcPr>
            <w:tcW w:type="dxa" w:w="5040"/>
          </w:tcPr>
          <w:p>
            <w:r>
              <w:t>Model code</w:t>
            </w:r>
          </w:p>
        </w:tc>
      </w:tr>
      <w:tr>
        <w:tc>
          <w:tcPr>
            <w:tcW w:type="dxa" w:w="5040"/>
          </w:tcPr>
          <w:p>
            <w:r>
              <w:t>Data!C5</w:t>
            </w:r>
          </w:p>
        </w:tc>
        <w:tc>
          <w:tcPr>
            <w:tcW w:type="dxa" w:w="5040"/>
          </w:tcPr>
          <w:p>
            <w:r>
              <w:t>Base price</w:t>
            </w:r>
          </w:p>
        </w:tc>
      </w:tr>
      <w:tr>
        <w:tc>
          <w:tcPr>
            <w:tcW w:type="dxa" w:w="5040"/>
          </w:tcPr>
          <w:p>
            <w:r>
              <w:t>Data!C8</w:t>
            </w:r>
          </w:p>
        </w:tc>
        <w:tc>
          <w:tcPr>
            <w:tcW w:type="dxa" w:w="5040"/>
          </w:tcPr>
          <w:p>
            <w:r>
              <w:t>Stroke + cushion</w:t>
            </w:r>
          </w:p>
        </w:tc>
      </w:tr>
      <w:tr>
        <w:tc>
          <w:tcPr>
            <w:tcW w:type="dxa" w:w="5040"/>
          </w:tcPr>
          <w:p>
            <w:r>
              <w:t>H2/H3/H4 + A2/A3/A4 + IH2/IH3/IH4 totals</w:t>
            </w:r>
          </w:p>
        </w:tc>
        <w:tc>
          <w:tcPr>
            <w:tcW w:type="dxa" w:w="5040"/>
          </w:tcPr>
          <w:p>
            <w:r>
              <w:t>Shared modifications</w:t>
            </w:r>
          </w:p>
        </w:tc>
      </w:tr>
      <w:tr>
        <w:tc>
          <w:tcPr>
            <w:tcW w:type="dxa" w:w="5040"/>
          </w:tcPr>
          <w:p>
            <w:r>
              <w:t>Data!H23 / H33</w:t>
            </w:r>
          </w:p>
        </w:tc>
        <w:tc>
          <w:tcPr>
            <w:tcW w:type="dxa" w:w="5040"/>
          </w:tcPr>
          <w:p>
            <w:r>
              <w:t>Accessories / special parts</w:t>
            </w:r>
          </w:p>
        </w:tc>
      </w:tr>
      <w:tr>
        <w:tc>
          <w:tcPr>
            <w:tcW w:type="dxa" w:w="5040"/>
          </w:tcPr>
          <w:p>
            <w:r>
              <w:t>PH!A33 / VA!K20</w:t>
            </w:r>
          </w:p>
        </w:tc>
        <w:tc>
          <w:tcPr>
            <w:tcW w:type="dxa" w:w="5040"/>
          </w:tcPr>
          <w:p>
            <w:r>
              <w:t>PH and VA paths</w:t>
            </w:r>
          </w:p>
        </w:tc>
      </w:tr>
      <w:tr>
        <w:tc>
          <w:tcPr>
            <w:tcW w:type="dxa" w:w="5040"/>
          </w:tcPr>
          <w:p>
            <w:r>
              <w:t>Data!D6</w:t>
            </w:r>
          </w:p>
        </w:tc>
        <w:tc>
          <w:tcPr>
            <w:tcW w:type="dxa" w:w="5040"/>
          </w:tcPr>
          <w:p>
            <w:r>
              <w:t>Working Net Each</w:t>
            </w:r>
          </w:p>
        </w:tc>
      </w:tr>
      <w:tr>
        <w:tc>
          <w:tcPr>
            <w:tcW w:type="dxa" w:w="5040"/>
          </w:tcPr>
          <w:p>
            <w:r>
              <w:t>Data!I13</w:t>
            </w:r>
          </w:p>
        </w:tc>
        <w:tc>
          <w:tcPr>
            <w:tcW w:type="dxa" w:w="5040"/>
          </w:tcPr>
          <w:p>
            <w:r>
              <w:t>List price</w:t>
            </w:r>
          </w:p>
        </w:tc>
      </w:tr>
      <w:tr>
        <w:tc>
          <w:tcPr>
            <w:tcW w:type="dxa" w:w="5040"/>
          </w:tcPr>
          <w:p>
            <w:r>
              <w:t>Quote Form!D11 / F11</w:t>
            </w:r>
          </w:p>
        </w:tc>
        <w:tc>
          <w:tcPr>
            <w:tcW w:type="dxa" w:w="5040"/>
          </w:tcPr>
          <w:p>
            <w:r>
              <w:t>Customer-facing List / Net Each</w:t>
            </w:r>
          </w:p>
        </w:tc>
      </w:tr>
      <w:tr>
        <w:tc>
          <w:tcPr>
            <w:tcW w:type="dxa" w:w="5040"/>
          </w:tcPr>
          <w:p>
            <w:r>
              <w:t>Quote Form!F12 / F13</w:t>
            </w:r>
          </w:p>
        </w:tc>
        <w:tc>
          <w:tcPr>
            <w:tcW w:type="dxa" w:w="5040"/>
          </w:tcPr>
          <w:p>
            <w:r>
              <w:t>Expedited / Emergency</w:t>
            </w:r>
          </w:p>
        </w:tc>
      </w:tr>
    </w:tbl>
    <w:p>
      <w:pPr>
        <w:pStyle w:val="Heading1"/>
      </w:pPr>
      <w:r>
        <w:t>2. Scenario Coverage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7365D"/>
          </w:tcPr>
          <w:p>
            <w:r>
              <w:rPr>
                <w:b/>
                <w:color w:val="FFFFFF"/>
              </w:rPr>
              <w:t>Case</w:t>
            </w:r>
          </w:p>
        </w:tc>
        <w:tc>
          <w:tcPr>
            <w:tcW w:type="dxa" w:w="2520"/>
            <w:shd w:fill="17365D"/>
          </w:tcPr>
          <w:p>
            <w:r>
              <w:rPr>
                <w:b/>
                <w:color w:val="FFFFFF"/>
              </w:rPr>
              <w:t>Series</w:t>
            </w:r>
          </w:p>
        </w:tc>
        <w:tc>
          <w:tcPr>
            <w:tcW w:type="dxa" w:w="2520"/>
            <w:shd w:fill="17365D"/>
          </w:tcPr>
          <w:p>
            <w:r>
              <w:rPr>
                <w:b/>
                <w:color w:val="FFFFFF"/>
              </w:rPr>
              <w:t>Coverage</w:t>
            </w:r>
          </w:p>
        </w:tc>
        <w:tc>
          <w:tcPr>
            <w:tcW w:type="dxa" w:w="2520"/>
            <w:shd w:fill="17365D"/>
          </w:tcPr>
          <w:p>
            <w:r>
              <w:rPr>
                <w:b/>
                <w:color w:val="FFFFFF"/>
              </w:rPr>
              <w:t>Result</w:t>
            </w:r>
          </w:p>
        </w:tc>
      </w:tr>
      <w:tr>
        <w:tc>
          <w:tcPr>
            <w:tcW w:type="dxa" w:w="2520"/>
          </w:tcPr>
          <w:p>
            <w:r>
              <w:t>H_BASE</w:t>
            </w:r>
          </w:p>
        </w:tc>
        <w:tc>
          <w:tcPr>
            <w:tcW w:type="dxa" w:w="2520"/>
          </w:tcPr>
          <w:p>
            <w:r>
              <w:t>H</w:t>
            </w:r>
          </w:p>
        </w:tc>
        <w:tc>
          <w:tcPr>
            <w:tcW w:type="dxa" w:w="2520"/>
          </w:tcPr>
          <w:p>
            <w:r>
              <w:t>baseline lookup</w:t>
            </w:r>
          </w:p>
        </w:tc>
        <w:tc>
          <w:tcPr>
            <w:tcW w:type="dxa" w:w="2520"/>
            <w:shd w:fill="E2F0D9"/>
          </w:tcPr>
          <w:p>
            <w:r>
              <w:t>PASS</w:t>
            </w:r>
          </w:p>
        </w:tc>
      </w:tr>
      <w:tr>
        <w:tc>
          <w:tcPr>
            <w:tcW w:type="dxa" w:w="2520"/>
          </w:tcPr>
          <w:p>
            <w:r>
              <w:t>H_CUSH_DISC</w:t>
            </w:r>
          </w:p>
        </w:tc>
        <w:tc>
          <w:tcPr>
            <w:tcW w:type="dxa" w:w="2520"/>
          </w:tcPr>
          <w:p>
            <w:r>
              <w:t>H</w:t>
            </w:r>
          </w:p>
        </w:tc>
        <w:tc>
          <w:tcPr>
            <w:tcW w:type="dxa" w:w="2520"/>
          </w:tcPr>
          <w:p>
            <w:r>
              <w:t>cushion + fractional stroke + discount</w:t>
            </w:r>
          </w:p>
        </w:tc>
        <w:tc>
          <w:tcPr>
            <w:tcW w:type="dxa" w:w="2520"/>
            <w:shd w:fill="E2F0D9"/>
          </w:tcPr>
          <w:p>
            <w:r>
              <w:t>PASS</w:t>
            </w:r>
          </w:p>
        </w:tc>
      </w:tr>
      <w:tr>
        <w:tc>
          <w:tcPr>
            <w:tcW w:type="dxa" w:w="2520"/>
          </w:tcPr>
          <w:p>
            <w:r>
              <w:t>H_DRE</w:t>
            </w:r>
          </w:p>
        </w:tc>
        <w:tc>
          <w:tcPr>
            <w:tcW w:type="dxa" w:w="2520"/>
          </w:tcPr>
          <w:p>
            <w:r>
              <w:t>H</w:t>
            </w:r>
          </w:p>
        </w:tc>
        <w:tc>
          <w:tcPr>
            <w:tcW w:type="dxa" w:w="2520"/>
          </w:tcPr>
          <w:p>
            <w:r>
              <w:t>DRE 65% base surcharge</w:t>
            </w:r>
          </w:p>
        </w:tc>
        <w:tc>
          <w:tcPr>
            <w:tcW w:type="dxa" w:w="2520"/>
            <w:shd w:fill="E2F0D9"/>
          </w:tcPr>
          <w:p>
            <w:r>
              <w:t>PASS</w:t>
            </w:r>
          </w:p>
        </w:tc>
      </w:tr>
      <w:tr>
        <w:tc>
          <w:tcPr>
            <w:tcW w:type="dxa" w:w="2520"/>
          </w:tcPr>
          <w:p>
            <w:r>
              <w:t>H_MODS</w:t>
            </w:r>
          </w:p>
        </w:tc>
        <w:tc>
          <w:tcPr>
            <w:tcW w:type="dxa" w:w="2520"/>
          </w:tcPr>
          <w:p>
            <w:r>
              <w:t>H</w:t>
            </w:r>
          </w:p>
        </w:tc>
        <w:tc>
          <w:tcPr>
            <w:tcW w:type="dxa" w:w="2520"/>
          </w:tcPr>
          <w:p>
            <w:r>
              <w:t>dense H modifications + flange + Viton</w:t>
            </w:r>
          </w:p>
        </w:tc>
        <w:tc>
          <w:tcPr>
            <w:tcW w:type="dxa" w:w="2520"/>
            <w:shd w:fill="E2F0D9"/>
          </w:tcPr>
          <w:p>
            <w:r>
              <w:t>PASS</w:t>
            </w:r>
          </w:p>
        </w:tc>
      </w:tr>
      <w:tr>
        <w:tc>
          <w:tcPr>
            <w:tcW w:type="dxa" w:w="2520"/>
          </w:tcPr>
          <w:p>
            <w:r>
              <w:t>H_ACC_SPECIAL</w:t>
            </w:r>
          </w:p>
        </w:tc>
        <w:tc>
          <w:tcPr>
            <w:tcW w:type="dxa" w:w="2520"/>
          </w:tcPr>
          <w:p>
            <w:r>
              <w:t>H</w:t>
            </w:r>
          </w:p>
        </w:tc>
        <w:tc>
          <w:tcPr>
            <w:tcW w:type="dxa" w:w="2520"/>
          </w:tcPr>
          <w:p>
            <w:r>
              <w:t>Rod Clevis + special-part catalog</w:t>
            </w:r>
          </w:p>
        </w:tc>
        <w:tc>
          <w:tcPr>
            <w:tcW w:type="dxa" w:w="2520"/>
            <w:shd w:fill="E2F0D9"/>
          </w:tcPr>
          <w:p>
            <w:r>
              <w:t>PASS</w:t>
            </w:r>
          </w:p>
        </w:tc>
      </w:tr>
      <w:tr>
        <w:tc>
          <w:tcPr>
            <w:tcW w:type="dxa" w:w="2520"/>
          </w:tcPr>
          <w:p>
            <w:r>
              <w:t>H_PH</w:t>
            </w:r>
          </w:p>
        </w:tc>
        <w:tc>
          <w:tcPr>
            <w:tcW w:type="dxa" w:w="2520"/>
          </w:tcPr>
          <w:p>
            <w:r>
              <w:t>H</w:t>
            </w:r>
          </w:p>
        </w:tc>
        <w:tc>
          <w:tcPr>
            <w:tcW w:type="dxa" w:w="2520"/>
          </w:tcPr>
          <w:p>
            <w:r>
              <w:t>transducer + sensor cover + valve manifold</w:t>
            </w:r>
          </w:p>
        </w:tc>
        <w:tc>
          <w:tcPr>
            <w:tcW w:type="dxa" w:w="2520"/>
            <w:shd w:fill="E2F0D9"/>
          </w:tcPr>
          <w:p>
            <w:r>
              <w:t>PASS</w:t>
            </w:r>
          </w:p>
        </w:tc>
      </w:tr>
      <w:tr>
        <w:tc>
          <w:tcPr>
            <w:tcW w:type="dxa" w:w="2520"/>
          </w:tcPr>
          <w:p>
            <w:r>
              <w:t>A_BASE</w:t>
            </w:r>
          </w:p>
        </w:tc>
        <w:tc>
          <w:tcPr>
            <w:tcW w:type="dxa" w:w="2520"/>
          </w:tcPr>
          <w:p>
            <w:r>
              <w:t>A</w:t>
            </w:r>
          </w:p>
        </w:tc>
        <w:tc>
          <w:tcPr>
            <w:tcW w:type="dxa" w:w="2520"/>
          </w:tcPr>
          <w:p>
            <w:r>
              <w:t>A baseline + discount</w:t>
            </w:r>
          </w:p>
        </w:tc>
        <w:tc>
          <w:tcPr>
            <w:tcW w:type="dxa" w:w="2520"/>
            <w:shd w:fill="E2F0D9"/>
          </w:tcPr>
          <w:p>
            <w:r>
              <w:t>PASS</w:t>
            </w:r>
          </w:p>
        </w:tc>
      </w:tr>
      <w:tr>
        <w:tc>
          <w:tcPr>
            <w:tcW w:type="dxa" w:w="2520"/>
          </w:tcPr>
          <w:p>
            <w:r>
              <w:t>A_MODS</w:t>
            </w:r>
          </w:p>
        </w:tc>
        <w:tc>
          <w:tcPr>
            <w:tcW w:type="dxa" w:w="2520"/>
          </w:tcPr>
          <w:p>
            <w:r>
              <w:t>A</w:t>
            </w:r>
          </w:p>
        </w:tc>
        <w:tc>
          <w:tcPr>
            <w:tcW w:type="dxa" w:w="2520"/>
          </w:tcPr>
          <w:p>
            <w:r>
              <w:t>A common modifications + Viton</w:t>
            </w:r>
          </w:p>
        </w:tc>
        <w:tc>
          <w:tcPr>
            <w:tcW w:type="dxa" w:w="2520"/>
            <w:shd w:fill="E2F0D9"/>
          </w:tcPr>
          <w:p>
            <w:r>
              <w:t>PASS</w:t>
            </w:r>
          </w:p>
        </w:tc>
      </w:tr>
      <w:tr>
        <w:tc>
          <w:tcPr>
            <w:tcW w:type="dxa" w:w="2520"/>
          </w:tcPr>
          <w:p>
            <w:r>
              <w:t>MH_BASE</w:t>
            </w:r>
          </w:p>
        </w:tc>
        <w:tc>
          <w:tcPr>
            <w:tcW w:type="dxa" w:w="2520"/>
          </w:tcPr>
          <w:p>
            <w:r>
              <w:t>MH</w:t>
            </w:r>
          </w:p>
        </w:tc>
        <w:tc>
          <w:tcPr>
            <w:tcW w:type="dxa" w:w="2520"/>
          </w:tcPr>
          <w:p>
            <w:r>
              <w:t>mill-cylinder route</w:t>
            </w:r>
          </w:p>
        </w:tc>
        <w:tc>
          <w:tcPr>
            <w:tcW w:type="dxa" w:w="2520"/>
            <w:shd w:fill="E2F0D9"/>
          </w:tcPr>
          <w:p>
            <w:r>
              <w:t>PASS</w:t>
            </w:r>
          </w:p>
        </w:tc>
      </w:tr>
      <w:tr>
        <w:tc>
          <w:tcPr>
            <w:tcW w:type="dxa" w:w="2520"/>
          </w:tcPr>
          <w:p>
            <w:r>
              <w:t>HM_LIGHT</w:t>
            </w:r>
          </w:p>
        </w:tc>
        <w:tc>
          <w:tcPr>
            <w:tcW w:type="dxa" w:w="2520"/>
          </w:tcPr>
          <w:p>
            <w:r>
              <w:t>HM</w:t>
            </w:r>
          </w:p>
        </w:tc>
        <w:tc>
          <w:tcPr>
            <w:tcW w:type="dxa" w:w="2520"/>
          </w:tcPr>
          <w:p>
            <w:r>
              <w:t>HM light-duty mill adder</w:t>
            </w:r>
          </w:p>
        </w:tc>
        <w:tc>
          <w:tcPr>
            <w:tcW w:type="dxa" w:w="2520"/>
            <w:shd w:fill="E2F0D9"/>
          </w:tcPr>
          <w:p>
            <w:r>
              <w:t>PASS</w:t>
            </w:r>
          </w:p>
        </w:tc>
      </w:tr>
      <w:tr>
        <w:tc>
          <w:tcPr>
            <w:tcW w:type="dxa" w:w="2520"/>
          </w:tcPr>
          <w:p>
            <w:r>
              <w:t>IH_BASE</w:t>
            </w:r>
          </w:p>
        </w:tc>
        <w:tc>
          <w:tcPr>
            <w:tcW w:type="dxa" w:w="2520"/>
          </w:tcPr>
          <w:p>
            <w:r>
              <w:t>IH</w:t>
            </w:r>
          </w:p>
        </w:tc>
        <w:tc>
          <w:tcPr>
            <w:tcW w:type="dxa" w:w="2520"/>
          </w:tcPr>
          <w:p>
            <w:r>
              <w:t>metric baseline + cushions</w:t>
            </w:r>
          </w:p>
        </w:tc>
        <w:tc>
          <w:tcPr>
            <w:tcW w:type="dxa" w:w="2520"/>
            <w:shd w:fill="E2F0D9"/>
          </w:tcPr>
          <w:p>
            <w:r>
              <w:t>PASS</w:t>
            </w:r>
          </w:p>
        </w:tc>
      </w:tr>
      <w:tr>
        <w:tc>
          <w:tcPr>
            <w:tcW w:type="dxa" w:w="2520"/>
          </w:tcPr>
          <w:p>
            <w:r>
              <w:t>IH_MOD_PH</w:t>
            </w:r>
          </w:p>
        </w:tc>
        <w:tc>
          <w:tcPr>
            <w:tcW w:type="dxa" w:w="2520"/>
          </w:tcPr>
          <w:p>
            <w:r>
              <w:t>IH</w:t>
            </w:r>
          </w:p>
        </w:tc>
        <w:tc>
          <w:tcPr>
            <w:tcW w:type="dxa" w:w="2520"/>
          </w:tcPr>
          <w:p>
            <w:r>
              <w:t>metric modifications + PH + flange + High Load seal</w:t>
            </w:r>
          </w:p>
        </w:tc>
        <w:tc>
          <w:tcPr>
            <w:tcW w:type="dxa" w:w="2520"/>
            <w:shd w:fill="E2F0D9"/>
          </w:tcPr>
          <w:p>
            <w:r>
              <w:t>PASS</w:t>
            </w:r>
          </w:p>
        </w:tc>
      </w:tr>
      <w:tr>
        <w:tc>
          <w:tcPr>
            <w:tcW w:type="dxa" w:w="2520"/>
          </w:tcPr>
          <w:p>
            <w:r>
              <w:t>IMH_BASE</w:t>
            </w:r>
          </w:p>
        </w:tc>
        <w:tc>
          <w:tcPr>
            <w:tcW w:type="dxa" w:w="2520"/>
          </w:tcPr>
          <w:p>
            <w:r>
              <w:t>IMH</w:t>
            </w:r>
          </w:p>
        </w:tc>
        <w:tc>
          <w:tcPr>
            <w:tcW w:type="dxa" w:w="2520"/>
          </w:tcPr>
          <w:p>
            <w:r>
              <w:t>metric mill route</w:t>
            </w:r>
          </w:p>
        </w:tc>
        <w:tc>
          <w:tcPr>
            <w:tcW w:type="dxa" w:w="2520"/>
            <w:shd w:fill="E2F0D9"/>
          </w:tcPr>
          <w:p>
            <w:r>
              <w:t>PASS</w:t>
            </w:r>
          </w:p>
        </w:tc>
      </w:tr>
      <w:tr>
        <w:tc>
          <w:tcPr>
            <w:tcW w:type="dxa" w:w="2520"/>
          </w:tcPr>
          <w:p>
            <w:r>
              <w:t>W_SPECIAL</w:t>
            </w:r>
          </w:p>
        </w:tc>
        <w:tc>
          <w:tcPr>
            <w:tcW w:type="dxa" w:w="2520"/>
          </w:tcPr>
          <w:p>
            <w:r>
              <w:t>W</w:t>
            </w:r>
          </w:p>
        </w:tc>
        <w:tc>
          <w:tcPr>
            <w:tcW w:type="dxa" w:w="2520"/>
          </w:tcPr>
          <w:p>
            <w:r>
              <w:t>W 15% Quote Form reduction</w:t>
            </w:r>
          </w:p>
        </w:tc>
        <w:tc>
          <w:tcPr>
            <w:tcW w:type="dxa" w:w="2520"/>
            <w:shd w:fill="E2F0D9"/>
          </w:tcPr>
          <w:p>
            <w:r>
              <w:t>PASS</w:t>
            </w:r>
          </w:p>
        </w:tc>
      </w:tr>
      <w:tr>
        <w:tc>
          <w:tcPr>
            <w:tcW w:type="dxa" w:w="2520"/>
          </w:tcPr>
          <w:p>
            <w:r>
              <w:t>VA_BASE</w:t>
            </w:r>
          </w:p>
        </w:tc>
        <w:tc>
          <w:tcPr>
            <w:tcW w:type="dxa" w:w="2520"/>
          </w:tcPr>
          <w:p>
            <w:r>
              <w:t>VA</w:t>
            </w:r>
          </w:p>
        </w:tc>
        <w:tc>
          <w:tcPr>
            <w:tcW w:type="dxa" w:w="2520"/>
          </w:tcPr>
          <w:p>
            <w:r>
              <w:t>VA base + stroke</w:t>
            </w:r>
          </w:p>
        </w:tc>
        <w:tc>
          <w:tcPr>
            <w:tcW w:type="dxa" w:w="2520"/>
            <w:shd w:fill="E2F0D9"/>
          </w:tcPr>
          <w:p>
            <w:r>
              <w:t>PASS</w:t>
            </w:r>
          </w:p>
        </w:tc>
      </w:tr>
      <w:tr>
        <w:tc>
          <w:tcPr>
            <w:tcW w:type="dxa" w:w="2520"/>
          </w:tcPr>
          <w:p>
            <w:r>
              <w:t>VA_MODS</w:t>
            </w:r>
          </w:p>
        </w:tc>
        <w:tc>
          <w:tcPr>
            <w:tcW w:type="dxa" w:w="2520"/>
          </w:tcPr>
          <w:p>
            <w:r>
              <w:t>VA</w:t>
            </w:r>
          </w:p>
        </w:tc>
        <w:tc>
          <w:tcPr>
            <w:tcW w:type="dxa" w:w="2520"/>
          </w:tcPr>
          <w:p>
            <w:r>
              <w:t>VA modifications + legacy shared-sheet leak</w:t>
            </w:r>
          </w:p>
        </w:tc>
        <w:tc>
          <w:tcPr>
            <w:tcW w:type="dxa" w:w="2520"/>
            <w:shd w:fill="E2F0D9"/>
          </w:tcPr>
          <w:p>
            <w:r>
              <w:t>PASS</w:t>
            </w:r>
          </w:p>
        </w:tc>
      </w:tr>
    </w:tbl>
    <w:p>
      <w:pPr>
        <w:pStyle w:val="Heading1"/>
      </w:pPr>
      <w:r>
        <w:t>3. What the First Run Exposed</w:t>
      </w:r>
    </w:p>
    <w:p>
      <w:r>
        <w:t>The initial engine passed 13 of 16 complete scenarios. The three failures were not ordinary rounding errors; each came from workbook behavior that was obscured when the formulas were normalized into business rules.</w:t>
      </w:r>
    </w:p>
    <w:p>
      <w:pPr>
        <w:ind w:left="288"/>
      </w:pPr>
      <w:r>
        <w:t>• H3 Viton formula has no series gate; matching bore/rod can charge outside H-family.</w:t>
      </w:r>
    </w:p>
    <w:p>
      <w:pPr>
        <w:ind w:left="288"/>
      </w:pPr>
      <w:r>
        <w:t>• A3 Viton formula has no series gate; matching bore/rod can charge outside A/LH.</w:t>
      </w:r>
    </w:p>
    <w:p>
      <w:pPr>
        <w:ind w:left="288"/>
      </w:pPr>
      <w:r>
        <w:t>• H4 Flange Port and Thick Head formulas have missing series gates.</w:t>
      </w:r>
    </w:p>
    <w:p>
      <w:pPr>
        <w:ind w:left="288"/>
      </w:pPr>
      <w:r>
        <w:t>• A4 Extra Tie Rod/UltraOx calculate, but Data!D6 points to blank A4!O55, so they do not reach selling price.</w:t>
      </w:r>
    </w:p>
    <w:p>
      <w:pPr>
        <w:ind w:left="288"/>
      </w:pPr>
      <w:r>
        <w:t>• VA can inherit accidental shared-sheet charges when an ungated formula matches its dimensions.</w:t>
      </w:r>
    </w:p>
    <w:p>
      <w:pPr>
        <w:pStyle w:val="Heading1"/>
      </w:pPr>
      <w:r>
        <w:t>4. Engine v1.1 Compatibility Decision</w:t>
      </w:r>
    </w:p>
    <w:p>
      <w:r>
        <w:t>For migration safety, v1.1 reproduces those behaviors exactly, but isolates them inside clearly named legacy-compatibility code. This is intentional: parity comes first. After the web replacement is validated and management decides whether the behaviors are defects, they can be corrected as explicit pricing-policy changes instead of accidental migration differences.</w:t>
      </w:r>
    </w:p>
    <w:p>
      <w:pPr>
        <w:pStyle w:val="Heading1"/>
      </w:pPr>
      <w:r>
        <w:t>5. Final Result</w:t>
      </w:r>
    </w:p>
    <w:p>
      <w:r>
        <w:rPr>
          <w:b/>
        </w:rPr>
        <w:t xml:space="preserve">Final full-scenario parity: </w:t>
      </w:r>
      <w:r>
        <w:rPr>
          <w:b/>
        </w:rPr>
        <w:t>16 / 16 PASS (100%)</w:t>
      </w:r>
    </w:p>
    <w:p>
      <w:r>
        <w:t>The final run matched model code, base price, stroke/cushion, modification totals, accessory/special-part totals, PH/VA totals, working Net Each, List, customer Net Each, Expedited and Emergency price at every tested checkpoint.</w:t>
      </w:r>
    </w:p>
    <w:p>
      <w:pPr>
        <w:pStyle w:val="Heading1"/>
      </w:pPr>
      <w:r>
        <w:t>6. Remaining Scope Before Web UI</w:t>
      </w:r>
    </w:p>
    <w:p>
      <w:r>
        <w:t>• Normalize and parity-test the remaining direct Acc accessories beyond Rod Clevis / Rod Eye.</w:t>
      </w:r>
    </w:p>
    <w:p>
      <w:r>
        <w:t>• Normalize and parity-test Standard Rod Boot pricing.</w:t>
      </w:r>
    </w:p>
    <w:p>
      <w:r>
        <w:t>• Broaden the regression suite with more bore/rod/mount combinations and boundary values.</w:t>
      </w:r>
    </w:p>
    <w:p>
      <w:r>
        <w:t>• Keep inventory/labor/profit and engineering display calculations separate from the selling-price core until their own validation pass.</w:t>
      </w:r>
    </w:p>
    <w:p>
      <w:pPr>
        <w:pStyle w:val="Heading1"/>
      </w:pPr>
      <w:r>
        <w:t>7. Recommended Next Phase</w:t>
      </w:r>
    </w:p>
    <w:p>
      <w:r>
        <w:t>Complete the remaining accessory/rod-boot normalization and expand the parity regression set. Once those selling-price inputs are covered, freeze the pricing engine as the authoritative backend and begin the Flask/API + HTML quote-entry interface.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