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Cylinder Quote Pricing Engine v1</w:t>
      </w:r>
    </w:p>
    <w:p>
      <w:pPr>
        <w:jc w:val="center"/>
      </w:pPr>
      <w:r>
        <w:rPr>
          <w:b/>
          <w:color w:val="2F5597"/>
        </w:rPr>
        <w:t>Phase B - Standalone Python Calculation Engine</w:t>
      </w:r>
    </w:p>
    <w:p>
      <w:pPr>
        <w:jc w:val="center"/>
      </w:pPr>
      <w:r>
        <w:t>Built from the Phase A and Phase A2 normalized workbook data</w:t>
      </w:r>
    </w:p>
    <w:p>
      <w:pPr>
        <w:pStyle w:val="Heading1"/>
      </w:pPr>
      <w:r>
        <w:t>1. Phase Result</w:t>
      </w:r>
    </w:p>
    <w:p>
      <w:r>
        <w:t>The first standalone pricing engine has been created. It does not require Excel to calculate the core cylinder selling price. It reads the extracted pricing datasets, applies named business rules, and returns a detailed price breakdown that can later be called by Flask or another web API.</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Validation gate</w:t>
            </w:r>
          </w:p>
        </w:tc>
        <w:tc>
          <w:tcPr>
            <w:tcW w:type="dxa" w:w="5040"/>
            <w:shd w:fill="D9EAF7"/>
            <w:vAlign w:val="center"/>
          </w:tcPr>
          <w:p>
            <w:r>
              <w:rPr>
                <w:b/>
              </w:rPr>
              <w:t>Result</w:t>
            </w:r>
          </w:p>
        </w:tc>
      </w:tr>
      <w:tr>
        <w:tc>
          <w:tcPr>
            <w:tcW w:type="dxa" w:w="5040"/>
            <w:vAlign w:val="center"/>
          </w:tcPr>
          <w:p>
            <w:r>
              <w:t>Targeted automated tests</w:t>
            </w:r>
          </w:p>
        </w:tc>
        <w:tc>
          <w:tcPr>
            <w:tcW w:type="dxa" w:w="5040"/>
            <w:vAlign w:val="center"/>
          </w:tcPr>
          <w:p>
            <w:r>
              <w:t>8 of 8 PASS</w:t>
            </w:r>
          </w:p>
        </w:tc>
      </w:tr>
      <w:tr>
        <w:tc>
          <w:tcPr>
            <w:tcW w:type="dxa" w:w="5040"/>
            <w:vAlign w:val="center"/>
          </w:tcPr>
          <w:p>
            <w:r>
              <w:t>Extracted base-price lookup smoke test</w:t>
            </w:r>
          </w:p>
        </w:tc>
        <w:tc>
          <w:tcPr>
            <w:tcW w:type="dxa" w:w="5040"/>
            <w:vAlign w:val="center"/>
          </w:tcPr>
          <w:p>
            <w:r>
              <w:t>628 of 628 PASS</w:t>
            </w:r>
          </w:p>
        </w:tc>
      </w:tr>
      <w:tr>
        <w:tc>
          <w:tcPr>
            <w:tcW w:type="dxa" w:w="5040"/>
            <w:vAlign w:val="center"/>
          </w:tcPr>
          <w:p>
            <w:r>
              <w:t>Excel required at runtime</w:t>
            </w:r>
          </w:p>
        </w:tc>
        <w:tc>
          <w:tcPr>
            <w:tcW w:type="dxa" w:w="5040"/>
            <w:vAlign w:val="center"/>
          </w:tcPr>
          <w:p>
            <w:r>
              <w:t>No</w:t>
            </w:r>
          </w:p>
        </w:tc>
      </w:tr>
      <w:tr>
        <w:tc>
          <w:tcPr>
            <w:tcW w:type="dxa" w:w="5040"/>
            <w:vAlign w:val="center"/>
          </w:tcPr>
          <w:p>
            <w:r>
              <w:t>Flask / HTML dependency</w:t>
            </w:r>
          </w:p>
        </w:tc>
        <w:tc>
          <w:tcPr>
            <w:tcW w:type="dxa" w:w="5040"/>
            <w:vAlign w:val="center"/>
          </w:tcPr>
          <w:p>
            <w:r>
              <w:t>None</w:t>
            </w:r>
          </w:p>
        </w:tc>
      </w:tr>
      <w:tr>
        <w:tc>
          <w:tcPr>
            <w:tcW w:type="dxa" w:w="5040"/>
            <w:vAlign w:val="center"/>
          </w:tcPr>
          <w:p>
            <w:r>
              <w:t>Current status</w:t>
            </w:r>
          </w:p>
        </w:tc>
        <w:tc>
          <w:tcPr>
            <w:tcW w:type="dxa" w:w="5040"/>
            <w:vAlign w:val="center"/>
          </w:tcPr>
          <w:p>
            <w:r>
              <w:t>Development engine ready for parity-test phase</w:t>
            </w:r>
          </w:p>
        </w:tc>
      </w:tr>
    </w:tbl>
    <w:p>
      <w:pPr>
        <w:pStyle w:val="Heading1"/>
      </w:pPr>
      <w:r>
        <w:t>2. Implemented Calculation Chain</w:t>
      </w:r>
    </w:p>
    <w:p>
      <w:pPr>
        <w:pStyle w:val="ListBullet"/>
      </w:pPr>
      <w:r>
        <w:t>Model-code generation, including DRE mount prefix.</w:t>
      </w:r>
    </w:p>
    <w:p>
      <w:pPr>
        <w:pStyle w:val="ListBullet"/>
      </w:pPr>
      <w:r>
        <w:t>Series / bore / rod / mount-group base-price lookup.</w:t>
      </w:r>
    </w:p>
    <w:p>
      <w:pPr>
        <w:pStyle w:val="ListBullet"/>
      </w:pPr>
      <w:r>
        <w:t>Stroke-rate and cushion-per-end calculation with legacy ROUNDUP compatibility isolated in one function.</w:t>
      </w:r>
    </w:p>
    <w:p>
      <w:pPr>
        <w:pStyle w:val="ListBullet"/>
      </w:pPr>
      <w:r>
        <w:t>Normalized common modification rules from H2/H3/H4, A2/A3/A4, and IH2/IH3/IH4.</w:t>
      </w:r>
    </w:p>
    <w:p>
      <w:pPr>
        <w:pStyle w:val="ListBullet"/>
      </w:pPr>
      <w:r>
        <w:t>DRE surcharge: 65% of base price only.</w:t>
      </w:r>
    </w:p>
    <w:p>
      <w:pPr>
        <w:pStyle w:val="ListBullet"/>
      </w:pPr>
      <w:r>
        <w:t>Discount application, Data-style working Net Each, List-price backout, and Quote Form Net Each.</w:t>
      </w:r>
    </w:p>
    <w:p>
      <w:pPr>
        <w:pStyle w:val="ListBullet"/>
      </w:pPr>
      <w:r>
        <w:t>W-series 15% Quote Form reduction.</w:t>
      </w:r>
    </w:p>
    <w:p>
      <w:pPr>
        <w:pStyle w:val="ListBullet"/>
      </w:pPr>
      <w:r>
        <w:t>Expedited and Emergency price calculations.</w:t>
      </w:r>
    </w:p>
    <w:p>
      <w:pPr>
        <w:pStyle w:val="ListBullet"/>
      </w:pPr>
      <w:r>
        <w:t>Special-part catalog pricing by part number and quantity.</w:t>
      </w:r>
    </w:p>
    <w:p>
      <w:pPr>
        <w:pStyle w:val="ListBullet"/>
      </w:pPr>
      <w:r>
        <w:t>PH transducer / prep / sensor-cover / valve-manifold pricing.</w:t>
      </w:r>
    </w:p>
    <w:p>
      <w:pPr>
        <w:pStyle w:val="ListBullet"/>
      </w:pPr>
      <w:r>
        <w:t>VA base, stroke, and VA modification pricing.</w:t>
      </w:r>
    </w:p>
    <w:p>
      <w:pPr>
        <w:pStyle w:val="Heading1"/>
      </w:pPr>
      <w:r>
        <w:t>3. Engine Architecture</w:t>
      </w:r>
    </w:p>
    <w:p>
      <w:r>
        <w:t>The engine is intentionally separated from the future user interface. The web application will submit a QuoteInputs object to the engine and receive a PriceBreakdown object in return.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Layer</w:t>
            </w:r>
          </w:p>
        </w:tc>
        <w:tc>
          <w:tcPr>
            <w:tcW w:type="dxa" w:w="5040"/>
            <w:shd w:fill="D9EAF7"/>
            <w:vAlign w:val="center"/>
          </w:tcPr>
          <w:p>
            <w:r>
              <w:rPr>
                <w:b/>
              </w:rPr>
              <w:t>Responsibility</w:t>
            </w:r>
          </w:p>
        </w:tc>
      </w:tr>
      <w:tr>
        <w:tc>
          <w:tcPr>
            <w:tcW w:type="dxa" w:w="5040"/>
            <w:vAlign w:val="center"/>
          </w:tcPr>
          <w:p>
            <w:r>
              <w:t>models.py</w:t>
            </w:r>
          </w:p>
        </w:tc>
        <w:tc>
          <w:tcPr>
            <w:tcW w:type="dxa" w:w="5040"/>
            <w:vAlign w:val="center"/>
          </w:tcPr>
          <w:p>
            <w:r>
              <w:t>Defines QuoteInputs and PriceBreakdown data contracts.</w:t>
            </w:r>
          </w:p>
        </w:tc>
      </w:tr>
      <w:tr>
        <w:tc>
          <w:tcPr>
            <w:tcW w:type="dxa" w:w="5040"/>
            <w:vAlign w:val="center"/>
          </w:tcPr>
          <w:p>
            <w:r>
              <w:t>data.py</w:t>
            </w:r>
          </w:p>
        </w:tc>
        <w:tc>
          <w:tcPr>
            <w:tcW w:type="dxa" w:w="5040"/>
            <w:vAlign w:val="center"/>
          </w:tcPr>
          <w:p>
            <w:r>
              <w:t>Loads and resolves normalized CSV pricing data.</w:t>
            </w:r>
          </w:p>
        </w:tc>
      </w:tr>
      <w:tr>
        <w:tc>
          <w:tcPr>
            <w:tcW w:type="dxa" w:w="5040"/>
            <w:vAlign w:val="center"/>
          </w:tcPr>
          <w:p>
            <w:r>
              <w:t>engine.py</w:t>
            </w:r>
          </w:p>
        </w:tc>
        <w:tc>
          <w:tcPr>
            <w:tcW w:type="dxa" w:w="5040"/>
            <w:vAlign w:val="center"/>
          </w:tcPr>
          <w:p>
            <w:r>
              <w:t>Applies Excel-compatible pricing rules in a deterministic sequence.</w:t>
            </w:r>
          </w:p>
        </w:tc>
      </w:tr>
      <w:tr>
        <w:tc>
          <w:tcPr>
            <w:tcW w:type="dxa" w:w="5040"/>
            <w:vAlign w:val="center"/>
          </w:tcPr>
          <w:p>
            <w:r>
              <w:t>data/</w:t>
            </w:r>
          </w:p>
        </w:tc>
        <w:tc>
          <w:tcPr>
            <w:tcW w:type="dxa" w:w="5040"/>
            <w:vAlign w:val="center"/>
          </w:tcPr>
          <w:p>
            <w:r>
              <w:t>Versionable pricing datasets extracted from the workbook.</w:t>
            </w:r>
          </w:p>
        </w:tc>
      </w:tr>
      <w:tr>
        <w:tc>
          <w:tcPr>
            <w:tcW w:type="dxa" w:w="5040"/>
            <w:vAlign w:val="center"/>
          </w:tcPr>
          <w:p>
            <w:r>
              <w:t>tests/</w:t>
            </w:r>
          </w:p>
        </w:tc>
        <w:tc>
          <w:tcPr>
            <w:tcW w:type="dxa" w:w="5040"/>
            <w:vAlign w:val="center"/>
          </w:tcPr>
          <w:p>
            <w:r>
              <w:t>Automated rule and regression tests.</w:t>
            </w:r>
          </w:p>
        </w:tc>
      </w:tr>
      <w:tr>
        <w:tc>
          <w:tcPr>
            <w:tcW w:type="dxa" w:w="5040"/>
            <w:vAlign w:val="center"/>
          </w:tcPr>
          <w:p>
            <w:r>
              <w:t>validation_matrix.csv</w:t>
            </w:r>
          </w:p>
        </w:tc>
        <w:tc>
          <w:tcPr>
            <w:tcW w:type="dxa" w:w="5040"/>
            <w:vAlign w:val="center"/>
          </w:tcPr>
          <w:p>
            <w:r>
              <w:t>628-row source-data lookup validation audit.</w:t>
            </w:r>
          </w:p>
        </w:tc>
      </w:tr>
    </w:tbl>
    <w:p>
      <w:pPr>
        <w:pStyle w:val="Heading1"/>
      </w:pPr>
      <w:r>
        <w:t>4. Pricing Order of Operations</w:t>
      </w:r>
    </w:p>
    <w:p>
      <w:r>
        <w:t>For non-VA series, the current engine follows this sequence:</w:t>
      </w:r>
    </w:p>
    <w:p>
      <w:r>
        <w:t>1. Base price</w:t>
      </w:r>
    </w:p>
    <w:p>
      <w:r>
        <w:t>2. Stroke + cushion</w:t>
      </w:r>
    </w:p>
    <w:p>
      <w:r>
        <w:t>3. Common modifications</w:t>
      </w:r>
    </w:p>
    <w:p>
      <w:r>
        <w:t>4. Direct supported accessories</w:t>
      </w:r>
    </w:p>
    <w:p>
      <w:r>
        <w:t>5. Special parts</w:t>
      </w:r>
    </w:p>
    <w:p>
      <w:r>
        <w:t>6. PH position-sensing adders</w:t>
      </w:r>
    </w:p>
    <w:p>
      <w:r>
        <w:t>7. Reserved legacy C10 compatibility add</w:t>
      </w:r>
    </w:p>
    <w:p>
      <w:r>
        <w:t>8. DRE = 65% of base price</w:t>
      </w:r>
    </w:p>
    <w:p>
      <w:r>
        <w:t>9. Multiply by (1 - discount)</w:t>
      </w:r>
    </w:p>
    <w:p>
      <w:r>
        <w:t>10. Add legacy H24 compatibility amount</w:t>
      </w:r>
    </w:p>
    <w:p>
      <w:r>
        <w:t>11. Round up to whole dollar = working Net Each</w:t>
      </w:r>
    </w:p>
    <w:p>
      <w:r>
        <w:t>12. Back out discount to List</w:t>
      </w:r>
    </w:p>
    <w:p>
      <w:r>
        <w:t>13. Apply W-series Quote Form reduction if applicable</w:t>
      </w:r>
    </w:p>
    <w:p>
      <w:r>
        <w:t>14. Reapply discount = customer Net Each</w:t>
      </w:r>
    </w:p>
    <w:p>
      <w:r>
        <w:t>15. Calculate Expedited and Emergency prices</w:t>
      </w:r>
    </w:p>
    <w:p>
      <w:pPr>
        <w:pStyle w:val="Heading1"/>
      </w:pPr>
      <w:r>
        <w:t>5. Legacy Behaviors Preserved Deliberately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Behavior</w:t>
            </w:r>
          </w:p>
        </w:tc>
        <w:tc>
          <w:tcPr>
            <w:tcW w:type="dxa" w:w="5040"/>
            <w:shd w:fill="D9EAF7"/>
            <w:vAlign w:val="center"/>
          </w:tcPr>
          <w:p>
            <w:r>
              <w:rPr>
                <w:b/>
              </w:rPr>
              <w:t>Current engine treatment</w:t>
            </w:r>
          </w:p>
        </w:tc>
      </w:tr>
      <w:tr>
        <w:tc>
          <w:tcPr>
            <w:tcW w:type="dxa" w:w="5040"/>
            <w:vAlign w:val="center"/>
          </w:tcPr>
          <w:p>
            <w:r>
              <w:t>ROUNDUP(stroke, 0.1)</w:t>
            </w:r>
          </w:p>
        </w:tc>
        <w:tc>
          <w:tcPr>
            <w:tcW w:type="dxa" w:w="5040"/>
            <w:vAlign w:val="center"/>
          </w:tcPr>
          <w:p>
            <w:r>
              <w:t>Isolated compatibility function; currently reproduces legacy coercion behavior.</w:t>
            </w:r>
          </w:p>
        </w:tc>
      </w:tr>
      <w:tr>
        <w:tc>
          <w:tcPr>
            <w:tcW w:type="dxa" w:w="5040"/>
            <w:vAlign w:val="center"/>
          </w:tcPr>
          <w:p>
            <w:r>
              <w:t>Metric PH sensor cover</w:t>
            </w:r>
          </w:p>
        </w:tc>
        <w:tc>
          <w:tcPr>
            <w:tcW w:type="dxa" w:w="5040"/>
            <w:vAlign w:val="center"/>
          </w:tcPr>
          <w:p>
            <w:r>
              <w:t>Legacy worksheet reference behavior preserved and reported as a warning.</w:t>
            </w:r>
          </w:p>
        </w:tc>
      </w:tr>
      <w:tr>
        <w:tc>
          <w:tcPr>
            <w:tcW w:type="dxa" w:w="5040"/>
            <w:vAlign w:val="center"/>
          </w:tcPr>
          <w:p>
            <w:r>
              <w:t>VA Extra Tie Rod</w:t>
            </w:r>
          </w:p>
        </w:tc>
        <w:tc>
          <w:tcPr>
            <w:tcW w:type="dxa" w:w="5040"/>
            <w:vAlign w:val="center"/>
          </w:tcPr>
          <w:p>
            <w:r>
              <w:t>Legacy B25 trigger / B27 multiplier behavior preserved and reported as a warning.</w:t>
            </w:r>
          </w:p>
        </w:tc>
      </w:tr>
      <w:tr>
        <w:tc>
          <w:tcPr>
            <w:tcW w:type="dxa" w:w="5040"/>
            <w:vAlign w:val="center"/>
          </w:tcPr>
          <w:p>
            <w:r>
              <w:t>Data!C10 / Data!H24</w:t>
            </w:r>
          </w:p>
        </w:tc>
        <w:tc>
          <w:tcPr>
            <w:tcW w:type="dxa" w:w="5040"/>
            <w:vAlign w:val="center"/>
          </w:tcPr>
          <w:p>
            <w:r>
              <w:t>Exposed as explicit compatibility inputs; workbook cells are currently blank/reserved.</w:t>
            </w:r>
          </w:p>
        </w:tc>
      </w:tr>
      <w:tr>
        <w:tc>
          <w:tcPr>
            <w:tcW w:type="dxa" w:w="5040"/>
            <w:vAlign w:val="center"/>
          </w:tcPr>
          <w:p>
            <w:r>
              <w:t>Thicker Head / Data!I58</w:t>
            </w:r>
          </w:p>
        </w:tc>
        <w:tc>
          <w:tcPr>
            <w:tcW w:type="dxa" w:w="5040"/>
            <w:vAlign w:val="center"/>
          </w:tcPr>
          <w:p>
            <w:r>
              <w:t>Supported only through explicit input and emits an unverified-business-meaning warning.</w:t>
            </w:r>
          </w:p>
        </w:tc>
      </w:tr>
    </w:tbl>
    <w:p>
      <w:pPr>
        <w:pStyle w:val="Heading1"/>
      </w:pPr>
      <w:r>
        <w:t>6. Items Not Yet Production-Complete</w:t>
      </w:r>
    </w:p>
    <w:p>
      <w:r>
        <w:t>The engine is ready for parity testing, but it is not yet the final production calculator. The remaining gaps are intentional and visible:</w:t>
      </w:r>
    </w:p>
    <w:p>
      <w:pPr>
        <w:pStyle w:val="ListBullet"/>
      </w:pPr>
      <w:r>
        <w:t>Direct Acc-sheet accessories are only partially normalized. Rod Clevis and Rod Eye/Female Rod Eye are supported by rod-thread lookup; mount/bore-dependent accessory routing still needs normalization.</w:t>
      </w:r>
    </w:p>
    <w:p>
      <w:pPr>
        <w:pStyle w:val="ListBullet"/>
      </w:pPr>
      <w:r>
        <w:t>Standard Rod Boot pricing is not yet normalized.</w:t>
      </w:r>
    </w:p>
    <w:p>
      <w:pPr>
        <w:pStyle w:val="ListBullet"/>
      </w:pPr>
      <w:r>
        <w:t>Inventory cost, labor estimate, profit display, engineering forces/weight, and quote dimensions are outside this selling-price-core version.</w:t>
      </w:r>
    </w:p>
    <w:p>
      <w:pPr>
        <w:pStyle w:val="ListBullet"/>
      </w:pPr>
      <w:r>
        <w:t>We have validated source-data lookup coverage, but we have not yet run a large set of complete live Excel quote configurations against Python end-to-end.</w:t>
      </w:r>
    </w:p>
    <w:p>
      <w:pPr>
        <w:pStyle w:val="ListBullet"/>
      </w:pPr>
      <w:r>
        <w:t>The legacy stroke ROUNDUP behavior should be confirmed with controlled Excel test cases before locking the compatibility function.</w:t>
      </w:r>
    </w:p>
    <w:p>
      <w:pPr>
        <w:pStyle w:val="Heading1"/>
      </w:pPr>
      <w:r>
        <w:t>7. Validation Completed</w:t>
      </w:r>
    </w:p>
    <w:p>
      <w:r>
        <w:t>Targeted tests cover the key rules that are easiest to accidentally change during migration: H base/stroke/cushion pricing, DRE scope, discount/List/Net relationships, W-series reduction, common modifications, special parts, VA pricing, and legacy ROUNDUP behavior.</w:t>
      </w:r>
    </w:p>
    <w:p>
      <w:r>
        <w:t>A second validation pass iterated through all 614 extracted primary-series mount-price records plus all 14 VA base records. Every record resolved to the expected extracted base value: 628 PASS, 0 FAIL.</w:t>
      </w:r>
    </w:p>
    <w:p>
      <w:pPr>
        <w:pStyle w:val="Heading1"/>
      </w:pPr>
      <w:r>
        <w:t>8. Recommended Next Phase - Excel/Python Parity Harness</w:t>
      </w:r>
    </w:p>
    <w:p>
      <w:r>
        <w:t>The next step should not be HTML yet. We should create controlled quote test cases, enter the same inputs into the original workbook and the Python engine, and compare every intermediate component as well as final Net Each. This will reveal any remaining hidden routing rules before a web interface is attached.</w:t>
      </w:r>
    </w:p>
    <w:p>
      <w:pPr>
        <w:pStyle w:val="ListBullet"/>
      </w:pPr>
      <w:r>
        <w:t>Create representative test cases for each series family and mount group.</w:t>
      </w:r>
    </w:p>
    <w:p>
      <w:pPr>
        <w:pStyle w:val="ListBullet"/>
      </w:pPr>
      <w:r>
        <w:t>Include edge cases for DRE, every cushion code, discounts, W series, PH options, VA, seals, and modifications.</w:t>
      </w:r>
    </w:p>
    <w:p>
      <w:pPr>
        <w:pStyle w:val="ListBullet"/>
      </w:pPr>
      <w:r>
        <w:t>Record Excel C5, C8, H23, H33, option-sheet totals, D6, I13, and Quote Form F11 beside Python breakdown values.</w:t>
      </w:r>
    </w:p>
    <w:p>
      <w:pPr>
        <w:pStyle w:val="ListBullet"/>
      </w:pPr>
      <w:r>
        <w:t>Resolve every mismatch before moving to the Flask/API layer.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