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IP-SAKTI Sahayak</w:t>
      </w:r>
    </w:p>
    <w:p>
      <w:pPr>
        <w:jc w:val="center"/>
      </w:pPr>
      <w:r>
        <w:rPr>
          <w:b/>
          <w:sz w:val="32"/>
        </w:rPr>
        <w:t>Technical &amp; Project Documentation</w:t>
      </w:r>
    </w:p>
    <w:p>
      <w:pPr>
        <w:jc w:val="center"/>
      </w:pPr>
      <w:r>
        <w:t>Multilingual RAG-Based AI Assistant for Intellectual Property and Ayurveda Regulatory Guidance</w:t>
        <w:br/>
      </w:r>
      <w:r>
        <w:t>SIH26045</w:t>
        <w:br/>
      </w:r>
      <w:r>
        <w:t>Live Application: https://ip-sakti-frontend.onrender.com/</w:t>
      </w:r>
    </w:p>
    <w:p>
      <w:pPr>
        <w:pStyle w:val="Heading1"/>
      </w:pPr>
      <w:r>
        <w:t>1. Introduction</w:t>
      </w:r>
    </w:p>
    <w:p>
      <w:r>
        <w:t>IP-SAKTI Sahayak is a multilingual, source-cited AI assistant for Intellectual Property, regulatory, Traditional Knowledge, Access and Benefit Sharing, and Ayurveda-related guidance. The system combines a React frontend, a FastAPI application backend, MongoDB persistence, and a separate FastAPI RAG engine.</w:t>
      </w:r>
    </w:p>
    <w:p>
      <w:pPr>
        <w:pStyle w:val="Heading1"/>
      </w:pPr>
      <w:r>
        <w:t>2. System Architecture</w:t>
      </w:r>
    </w:p>
    <w:p>
      <w:r>
        <w:t>The deployed architecture consists of three sibling services. The frontend provides the user interface, the backend provides authentication, persistence and API orchestration, and ip_sakti_rag provides retrieval, generation, citation validation and confidence scoring.</w:t>
      </w:r>
    </w:p>
    <w:p>
      <w:r>
        <w:t>Request flow:</w:t>
        <w:br/>
        <w:t>Frontend → Backend → ip_sakti_rag → Backend → Frontend</w:t>
      </w:r>
    </w:p>
    <w:p>
      <w:r>
        <w:t>The RAG engine uses hybrid retrieval involving BM25 and Qdrant, optional Neo4j graph context, Gemini generation, citation validation and confidence assessment.</w:t>
      </w:r>
    </w:p>
    <w:p>
      <w:pPr>
        <w:pStyle w:val="Heading1"/>
      </w:pPr>
      <w:r>
        <w:t>3. ip_sakti_rag Service</w:t>
      </w:r>
    </w:p>
    <w:p>
      <w:r>
        <w:t>The RAG service is the intelligence layer. Its responsibilities include document retrieval, hybrid search, vector search through Qdrant, knowledge-graph context through Neo4j, Gemini-based generation, confidence scoring, safe abstention, citation validation, telemetry, product analysis, IPR analysis and TK/ABS analysis.</w:t>
      </w:r>
    </w:p>
    <w:p>
      <w:pPr>
        <w:pStyle w:val="Heading1"/>
      </w:pPr>
      <w:r>
        <w:t>4. Backend Service</w:t>
      </w:r>
    </w:p>
    <w:p>
      <w:r>
        <w:t>The backend is the application and persistence layer. It handles authentication, MongoDB persistence, conversations, workspace records, product analyses, saved research, notifications, grievances, audit information, expert escalation, translation and communication with ip_sakti_rag. It does not implement the retrieval/generation pipeline itself.</w:t>
      </w:r>
    </w:p>
    <w:p>
      <w:pPr>
        <w:pStyle w:val="Heading1"/>
      </w:pPr>
      <w:r>
        <w:t>5. Frontend Service</w:t>
      </w:r>
    </w:p>
    <w:p>
      <w:r>
        <w:t>The React 19/Vite frontend contains the Sahayak AI chat, Research, Product Analyzer, IPR, TK &amp; ABS, Expert Advisory, Workspace, notifications, grievance workflow, authentication and citation interface. It communicates with the backend rather than directly calling the RAG engine.</w:t>
      </w:r>
    </w:p>
    <w:p>
      <w:pPr>
        <w:pStyle w:val="Heading1"/>
      </w:pPr>
      <w:r>
        <w:t>6. Functional Modules</w:t>
      </w:r>
    </w:p>
    <w:p>
      <w:r>
        <w:t>Sahayak AI provides conversational RAG responses. Research provides source-oriented research. Product Analyzer performs product and regulatory analysis. TK &amp; ABS handles traditional-knowledge and ABS analysis. Workspace stores user activity. Grievances provide a structured query/escalation workflow, including context carried from low-confidence chat responses.</w:t>
      </w:r>
    </w:p>
    <w:p>
      <w:pPr>
        <w:pStyle w:val="Heading1"/>
      </w:pPr>
      <w:r>
        <w:t>7. Citation and Manifest Architecture</w:t>
      </w:r>
    </w:p>
    <w:p>
      <w:r>
        <w:t>Authoritative government and regulatory URLs are sourced from manifest.json document metadata. A document ID is resolved to document metadata and the URL stored in the manifest-backed metadata is used by the citation interface. This keeps official source URLs centralized instead of hardcoding them in individual sections.</w:t>
      </w:r>
    </w:p>
    <w:p>
      <w:r>
        <w:t>Citation flow:</w:t>
        <w:br/>
        <w:t>Document ID → Document metadata → manifest.json → authoritative URL → citation UI</w:t>
      </w:r>
    </w:p>
    <w:p>
      <w:pPr>
        <w:pStyle w:val="Heading1"/>
      </w:pPr>
      <w:r>
        <w:t>8. Persistence</w:t>
      </w:r>
    </w:p>
    <w:p>
      <w:r>
        <w:t>MongoDB is used for application-level persistence, including users, conversations, messages, product analyses, saved research, notifications, grievances, audit records and expert escalation information. The backend is the source of truth for application persistence.</w:t>
      </w:r>
    </w:p>
    <w:p>
      <w:pPr>
        <w:pStyle w:val="Heading1"/>
      </w:pPr>
      <w:r>
        <w:t>9. API Reference</w:t>
      </w:r>
    </w:p>
    <w:p>
      <w:r>
        <w:t>Important backend endpoints include:</w:t>
      </w:r>
    </w:p>
    <w:p>
      <w:r>
        <w:t>GET /api/health — health and RAG connectivity</w:t>
        <w:br/>
        <w:t>POST /api/chat — main chat</w:t>
        <w:br/>
        <w:t>POST /api/products/analyze — product analysis</w:t>
        <w:br/>
        <w:t>POST /api/ipr/analyze — IPR analysis</w:t>
        <w:br/>
        <w:t>POST /api/abs/analyze — ABS analysis</w:t>
        <w:br/>
        <w:t>POST /api/tk-abs/analyze — TK &amp; ABS analysis</w:t>
        <w:br/>
        <w:t>GET /api/search — document search</w:t>
        <w:br/>
        <w:t>GET /api/sources — source listing</w:t>
        <w:br/>
        <w:t>GET /api/documents/{id} — document metadata/citation information</w:t>
        <w:br/>
        <w:t>GET /api/rag/telemetry — RAG telemetry</w:t>
        <w:br/>
        <w:t>POST /api/expert-escalation — expert escalation</w:t>
        <w:br/>
        <w:t>POST /api/translate — translation</w:t>
      </w:r>
    </w:p>
    <w:p>
      <w:r>
        <w:t>FastAPI interactive documentation is available from /docs on the backend service.</w:t>
      </w:r>
    </w:p>
    <w:p>
      <w:pPr>
        <w:pStyle w:val="Heading1"/>
      </w:pPr>
      <w:r>
        <w:t>10. Local Setup</w:t>
      </w:r>
    </w:p>
    <w:p>
      <w:r>
        <w:t>RAG:</w:t>
        <w:br/>
        <w:t>cd ip_sakti_rag</w:t>
        <w:br/>
        <w:t>python -m venv venv</w:t>
        <w:br/>
        <w:t>source venv/bin/activate</w:t>
        <w:br/>
        <w:t>pip install -r requirements.txt</w:t>
        <w:br/>
        <w:t>uvicorn main:app --reload --port 8001</w:t>
      </w:r>
    </w:p>
    <w:p>
      <w:r>
        <w:t>Backend:</w:t>
        <w:br/>
        <w:t>cd backend</w:t>
        <w:br/>
        <w:t>python -m venv venv</w:t>
        <w:br/>
        <w:t>source venv/bin/activate</w:t>
        <w:br/>
        <w:t>pip install -r requirements.txt</w:t>
        <w:br/>
        <w:t>cp .env.example .env</w:t>
        <w:br/>
        <w:t>Configure RAG_SERVICE_URL=http://localhost:8001</w:t>
        <w:br/>
        <w:t>uvicorn app.main:app --reload --port 8000</w:t>
      </w:r>
    </w:p>
    <w:p>
      <w:r>
        <w:t>Frontend:</w:t>
        <w:br/>
        <w:t>cd frontend</w:t>
        <w:br/>
        <w:t>npm install</w:t>
        <w:br/>
        <w:t>npm run dev</w:t>
      </w:r>
    </w:p>
    <w:p>
      <w:r>
        <w:t>Local frontend: http://localhost:3000</w:t>
      </w:r>
    </w:p>
    <w:p>
      <w:pPr>
        <w:pStyle w:val="Heading1"/>
      </w:pPr>
      <w:r>
        <w:t>11. Deployment</w:t>
      </w:r>
    </w:p>
    <w:p>
      <w:r>
        <w:t>Deploy the three services independently: ip_sakti_rag, backend and frontend. Configure backend environment variables for RAG_SERVICE_URL, MongoDB and other required credentials. Configure the frontend to communicate with the deployed backend.</w:t>
      </w:r>
    </w:p>
    <w:p>
      <w:r>
        <w:t>Live application:</w:t>
        <w:br/>
        <w:t>https://ip-sakti-frontend.onrender.com/</w:t>
      </w:r>
    </w:p>
    <w:p>
      <w:pPr>
        <w:pStyle w:val="Heading1"/>
      </w:pPr>
      <w:r>
        <w:t>12. External Services</w:t>
      </w:r>
    </w:p>
    <w:p>
      <w:r>
        <w:t>The deployment may use Gemini API, Qdrant, Neo4j, MongoDB and Bhashini/translation services. Secrets must be supplied through environment variables or the deployment platform's secret manager and must not be committed to source control.</w:t>
      </w:r>
    </w:p>
    <w:p>
      <w:pPr>
        <w:pStyle w:val="Heading1"/>
      </w:pPr>
      <w:r>
        <w:t>13. Security</w:t>
      </w:r>
    </w:p>
    <w:p>
      <w:r>
        <w:t>Keep API keys and database credentials private. Do not expose RAG, database or AI credentials to the frontend. Use HTTPS for deployed services, validate user-provided data and keep authoritative citation metadata controlled through the manifest/document metadata pipeline.</w:t>
      </w:r>
    </w:p>
    <w:p>
      <w:pPr>
        <w:pStyle w:val="Heading1"/>
      </w:pPr>
      <w:r>
        <w:t>14. Project Structure</w:t>
      </w:r>
    </w:p>
    <w:p>
      <w:r>
        <w:t>ip_sakti_rag/</w:t>
        <w:br/>
        <w:t xml:space="preserve">  main.py</w:t>
        <w:br/>
        <w:t xml:space="preserve">  app/</w:t>
        <w:br/>
        <w:t xml:space="preserve">    pipeline.py</w:t>
        <w:br/>
        <w:t xml:space="preserve">    retrieval/</w:t>
        <w:br/>
        <w:t xml:space="preserve">    generation/</w:t>
        <w:br/>
        <w:t xml:space="preserve">    safety/</w:t>
        <w:br/>
        <w:t xml:space="preserve">    classification.py</w:t>
        <w:br/>
        <w:t xml:space="preserve">    jurisdiction.py</w:t>
        <w:br/>
        <w:t xml:space="preserve">  data/</w:t>
        <w:br/>
        <w:t xml:space="preserve">    documents/</w:t>
        <w:br/>
        <w:t xml:space="preserve">    processed/</w:t>
        <w:br/>
        <w:t xml:space="preserve">  scripts/ingest.py</w:t>
        <w:br/>
        <w:t xml:space="preserve">  requirements.txt</w:t>
      </w:r>
    </w:p>
    <w:p>
      <w:r>
        <w:t>backend/</w:t>
        <w:br/>
        <w:t xml:space="preserve">  app/</w:t>
        <w:br/>
        <w:t xml:space="preserve">    main.py</w:t>
        <w:br/>
        <w:t xml:space="preserve">    rag_client.py</w:t>
        <w:br/>
        <w:t xml:space="preserve">    core/</w:t>
        <w:br/>
        <w:t xml:space="preserve">    api/routes/</w:t>
        <w:br/>
        <w:t xml:space="preserve">    services/</w:t>
        <w:br/>
        <w:t xml:space="preserve">    translation/</w:t>
        <w:br/>
        <w:t xml:space="preserve">    database/</w:t>
        <w:br/>
        <w:t xml:space="preserve">  requirements.txt</w:t>
      </w:r>
    </w:p>
    <w:p>
      <w:r>
        <w:t>frontend/</w:t>
        <w:br/>
        <w:t xml:space="preserve">  src/</w:t>
        <w:br/>
        <w:t xml:space="preserve">    components/</w:t>
        <w:br/>
        <w:t xml:space="preserve">    context/</w:t>
        <w:br/>
        <w:t xml:space="preserve">  vite.config.ts</w:t>
        <w:br/>
        <w:t xml:space="preserve">  vercel.json</w:t>
      </w:r>
    </w:p>
    <w:p>
      <w:pPr>
        <w:pStyle w:val="Heading1"/>
      </w:pPr>
      <w:r>
        <w:t>15. Troubleshooting</w:t>
      </w:r>
    </w:p>
    <w:p>
      <w:r>
        <w:t>If the backend cannot reach RAG, verify RAG_SERVICE_URL and RAG availability. If the frontend cannot reach the backend, check API configuration, CORS and backend status. If RAG responses fail, check Gemini, Qdrant, Neo4j and processed document/index availability. If citations fail, verify the document ID, document metadata endpoint and manifest.json entry.</w:t>
      </w:r>
    </w:p>
    <w:p>
      <w:pPr>
        <w:pStyle w:val="Heading1"/>
      </w:pPr>
      <w:r>
        <w:t>16. Supporting Documentation</w:t>
      </w:r>
    </w:p>
    <w:p>
      <w:r>
        <w:t>setup_steps.md contains local setup and environment instructions. integration_steps.md contains backend/RAG integration and deployment instructions. The present document provides the project-level technical documentation and architecture reference.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