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600" w:lineRule="exact"/>
        <w:jc w:val="center"/>
        <w:rPr>
          <w:rFonts w:ascii="方正大标宋简体" w:cs="方正大标宋简体" w:hAnsi="方正大标宋简体" w:eastAsia="方正大标宋简体"/>
          <w:b w:val="1"/>
          <w:bCs w:val="1"/>
          <w:sz w:val="36"/>
          <w:szCs w:val="36"/>
          <w:lang w:val="zh-TW" w:eastAsia="zh-TW"/>
        </w:rPr>
      </w:pPr>
      <w:r>
        <w:rPr>
          <w:rFonts w:ascii="方正大标宋简体" w:cs="方正大标宋简体" w:hAnsi="方正大标宋简体" w:eastAsia="方正大标宋简体"/>
          <w:b w:val="1"/>
          <w:bCs w:val="1"/>
          <w:sz w:val="36"/>
          <w:szCs w:val="36"/>
          <w:rtl w:val="0"/>
          <w:lang w:val="zh-TW" w:eastAsia="zh-TW"/>
        </w:rPr>
        <w:t>关于选聘校团委青年发展中心骨干成员的通知</w:t>
      </w:r>
    </w:p>
    <w:p>
      <w:pPr>
        <w:pStyle w:val="Normal.0"/>
        <w:spacing w:line="600" w:lineRule="exact"/>
        <w:jc w:val="left"/>
        <w:rPr>
          <w:rFonts w:ascii="仿宋_GB2312" w:cs="仿宋_GB2312" w:hAnsi="仿宋_GB2312" w:eastAsia="仿宋_GB2312"/>
          <w:sz w:val="32"/>
          <w:szCs w:val="32"/>
          <w:lang w:val="zh-TW" w:eastAsia="zh-TW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各院系团委：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为贯彻落实共青团改革相关要求，进一步做好学校青年学生现状及发展趋势研究，加强学校第二课堂成绩单制度建设，更好地服务青年成长成才。校团委青年发展中心现面向全校公开选聘骨干成员，现就选拔条件及程序通知如下：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 xml:space="preserve"> </w:t>
      </w:r>
    </w:p>
    <w:p>
      <w:pPr>
        <w:pStyle w:val="Normal.0"/>
        <w:spacing w:line="600" w:lineRule="exact"/>
        <w:ind w:firstLine="640"/>
        <w:jc w:val="left"/>
        <w:rPr>
          <w:rFonts w:ascii="黑体" w:cs="黑体" w:hAnsi="黑体" w:eastAsia="黑体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sz w:val="32"/>
          <w:szCs w:val="32"/>
          <w:rtl w:val="0"/>
          <w:lang w:val="zh-TW" w:eastAsia="zh-TW"/>
        </w:rPr>
        <w:t>一、岗位需求</w:t>
      </w:r>
    </w:p>
    <w:p>
      <w:pPr>
        <w:pStyle w:val="Normal.0"/>
        <w:spacing w:line="600" w:lineRule="exact"/>
        <w:ind w:firstLine="643"/>
        <w:jc w:val="left"/>
        <w:rPr>
          <w:rFonts w:ascii="仿宋_GB2312" w:cs="仿宋_GB2312" w:hAnsi="仿宋_GB2312" w:eastAsia="仿宋_GB2312"/>
          <w:b w:val="1"/>
          <w:bCs w:val="1"/>
          <w:sz w:val="32"/>
          <w:szCs w:val="32"/>
        </w:rPr>
      </w:pP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en-US"/>
        </w:rPr>
        <w:t>1.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综合事务部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选聘人数：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8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～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10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人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  <w:lang w:val="zh-TW" w:eastAsia="zh-TW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工作职责：负责青年发展中心的内部日常事务处理工作；负责招新、人员考核评优工作；负责场地和物资管理以及财务报销等工作；定期整理归档相关文件，组织安排各项理论学习和部门例会等；协调督促各部门及时完成各项工作任务，并将情况及时汇总反馈；加强内部建设，协调完成青年发展中心活动策划、组织开展各类活动落地。</w:t>
      </w:r>
    </w:p>
    <w:p>
      <w:pPr>
        <w:pStyle w:val="Normal.0"/>
        <w:spacing w:line="600" w:lineRule="exact"/>
        <w:ind w:firstLine="643"/>
        <w:jc w:val="left"/>
        <w:rPr>
          <w:rFonts w:ascii="仿宋_GB2312" w:cs="仿宋_GB2312" w:hAnsi="仿宋_GB2312" w:eastAsia="仿宋_GB2312"/>
          <w:b w:val="1"/>
          <w:bCs w:val="1"/>
          <w:sz w:val="32"/>
          <w:szCs w:val="32"/>
        </w:rPr>
      </w:pP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en-US"/>
        </w:rPr>
        <w:t>2.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ihuster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第二课堂管理部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选聘人数：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10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～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12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人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  <w:lang w:val="zh-TW" w:eastAsia="zh-TW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工作职责：负责第二课堂系统的建设和培训、第二课堂系统的推广使用、第二课堂系统的维护和运营、建立健全与校级组织和各院系的反馈机制、青年发展中心的媒体宣传等工作。</w:t>
      </w:r>
    </w:p>
    <w:p>
      <w:pPr>
        <w:pStyle w:val="Normal.0"/>
        <w:spacing w:line="600" w:lineRule="exact"/>
        <w:ind w:firstLine="643"/>
        <w:jc w:val="left"/>
        <w:rPr>
          <w:rFonts w:ascii="仿宋_GB2312" w:cs="仿宋_GB2312" w:hAnsi="仿宋_GB2312" w:eastAsia="仿宋_GB2312"/>
          <w:b w:val="1"/>
          <w:bCs w:val="1"/>
          <w:sz w:val="32"/>
          <w:szCs w:val="32"/>
        </w:rPr>
      </w:pP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en-US"/>
        </w:rPr>
        <w:t>3.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理论调研部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选聘人数：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6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～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8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人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  <w:lang w:val="zh-TW" w:eastAsia="zh-TW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工作职责：统筹调研工作、设计调查问卷、分析调研活动收集的数据以及做相关的数据加工处理，以及撰写调研报告等。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</w:p>
    <w:p>
      <w:pPr>
        <w:pStyle w:val="Normal.0"/>
        <w:spacing w:line="600" w:lineRule="exact"/>
        <w:ind w:firstLine="640"/>
        <w:jc w:val="left"/>
        <w:rPr>
          <w:rFonts w:ascii="黑体" w:cs="黑体" w:hAnsi="黑体" w:eastAsia="黑体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sz w:val="32"/>
          <w:szCs w:val="32"/>
          <w:rtl w:val="0"/>
          <w:lang w:val="zh-TW" w:eastAsia="zh-TW"/>
        </w:rPr>
        <w:t>二、选聘条件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1.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中共党员（含预备党员）或优秀的共青团员，政治素质强，坚决拥护党的领导，能够用习近平新时代中国特色社会主义思想武装头脑，深刻领悟</w:t>
      </w:r>
      <w:r>
        <w:rPr>
          <w:rFonts w:ascii="仿宋" w:cs="仿宋" w:hAnsi="仿宋" w:eastAsia="仿宋"/>
          <w:sz w:val="32"/>
          <w:szCs w:val="32"/>
          <w:rtl w:val="0"/>
          <w:lang w:val="en-US"/>
        </w:rPr>
        <w:t>“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两个确立</w:t>
      </w:r>
      <w:r>
        <w:rPr>
          <w:rFonts w:ascii="仿宋" w:cs="仿宋" w:hAnsi="仿宋" w:eastAsia="仿宋"/>
          <w:sz w:val="32"/>
          <w:szCs w:val="32"/>
          <w:rtl w:val="0"/>
          <w:lang w:val="en-US"/>
        </w:rPr>
        <w:t>”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的决定性意义，牢固树立</w:t>
      </w:r>
      <w:r>
        <w:rPr>
          <w:rFonts w:ascii="仿宋" w:cs="仿宋" w:hAnsi="仿宋" w:eastAsia="仿宋"/>
          <w:sz w:val="32"/>
          <w:szCs w:val="32"/>
          <w:rtl w:val="0"/>
          <w:lang w:val="en-US"/>
        </w:rPr>
        <w:t>“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四个意识</w:t>
      </w:r>
      <w:r>
        <w:rPr>
          <w:rFonts w:ascii="仿宋" w:cs="仿宋" w:hAnsi="仿宋" w:eastAsia="仿宋"/>
          <w:sz w:val="32"/>
          <w:szCs w:val="32"/>
          <w:rtl w:val="0"/>
          <w:lang w:val="en-US"/>
        </w:rPr>
        <w:t>”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，坚定</w:t>
      </w:r>
      <w:r>
        <w:rPr>
          <w:rFonts w:ascii="仿宋" w:cs="仿宋" w:hAnsi="仿宋" w:eastAsia="仿宋"/>
          <w:sz w:val="32"/>
          <w:szCs w:val="32"/>
          <w:rtl w:val="0"/>
          <w:lang w:val="en-US"/>
        </w:rPr>
        <w:t>“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四个自信</w:t>
      </w:r>
      <w:r>
        <w:rPr>
          <w:rFonts w:ascii="仿宋" w:cs="仿宋" w:hAnsi="仿宋" w:eastAsia="仿宋"/>
          <w:sz w:val="32"/>
          <w:szCs w:val="32"/>
          <w:rtl w:val="0"/>
          <w:lang w:val="en-US"/>
        </w:rPr>
        <w:t>”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，做到</w:t>
      </w:r>
      <w:r>
        <w:rPr>
          <w:rFonts w:ascii="仿宋" w:cs="仿宋" w:hAnsi="仿宋" w:eastAsia="仿宋"/>
          <w:sz w:val="32"/>
          <w:szCs w:val="32"/>
          <w:rtl w:val="0"/>
          <w:lang w:val="en-US"/>
        </w:rPr>
        <w:t>“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两个维护</w:t>
      </w:r>
      <w:r>
        <w:rPr>
          <w:rFonts w:ascii="仿宋" w:cs="仿宋" w:hAnsi="仿宋" w:eastAsia="仿宋"/>
          <w:sz w:val="32"/>
          <w:szCs w:val="32"/>
          <w:rtl w:val="0"/>
          <w:lang w:val="en-US"/>
        </w:rPr>
        <w:t>”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，积极培育和践行社会主义核心价值观。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2.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具有较高政治觉悟、思想水平、道德品质、文化素养和开拓创新精神，在日常学习工作生活中坚持爱国、励志、求真、力行，具有较好的群众基础。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3.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责任心强、甘于奉献，综合素质能力强，能处理好学习和工作的关系，有充足的时间和精力履行岗位职责。工作期限一般不少于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年。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4.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诚实守信、学风端正、品行优良，在校期间无任何考试作弊和其他学术不端行为，无任何违法违纪受处分记录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5.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全校本科生或硕士、博士研究生（研究生需征得导师同意）。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6.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根据理论调研部工作需要，选聘面向大二及以上本科生、研究生。要求积极上进，乐于沟通，抗压能力强，服从管理，具有团队合作意识，能够按时完成任务。对制作调查问卷、设计访谈提纲感兴趣，有社会实践、撰写调研报告经验者优先；有质性或量化数据分析经验、能够熟练使用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SPSS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等软件者优先；对理论调研充满热情、有个人思考，希望从中有所收获者优先。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</w:p>
    <w:p>
      <w:pPr>
        <w:pStyle w:val="Normal.0"/>
        <w:spacing w:line="600" w:lineRule="exact"/>
        <w:ind w:firstLine="640"/>
        <w:jc w:val="left"/>
        <w:rPr>
          <w:rFonts w:ascii="黑体" w:cs="黑体" w:hAnsi="黑体" w:eastAsia="黑体"/>
          <w:sz w:val="32"/>
          <w:szCs w:val="32"/>
          <w:lang w:val="zh-TW" w:eastAsia="zh-TW"/>
        </w:rPr>
      </w:pPr>
      <w:r>
        <w:rPr>
          <w:rFonts w:ascii="黑体" w:cs="黑体" w:hAnsi="黑体" w:eastAsia="黑体"/>
          <w:sz w:val="32"/>
          <w:szCs w:val="32"/>
          <w:rtl w:val="0"/>
          <w:lang w:val="zh-TW" w:eastAsia="zh-TW"/>
        </w:rPr>
        <w:t>三、选聘及培养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1.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报名：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请各院系团委做好组织动员及报名推荐工作，于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10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月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21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日（周五）上午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12:00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前，将纸质版《校团委青年发展中心骨干成员报名表》（见附件）以院系为单位统一交至大学生活动中心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A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座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504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室（同济校区交至学子苑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507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七楼团工委办公室），同时将电子版登记表打包压缩后发送至邮箱</w:t>
      </w:r>
      <w:r>
        <w:rPr>
          <w:rFonts w:ascii="Times New Roman" w:hAnsi="Times New Roman"/>
          <w:sz w:val="32"/>
          <w:szCs w:val="32"/>
          <w:rtl w:val="0"/>
          <w:lang w:val="en-US"/>
        </w:rPr>
        <w:t>husttwqnfz@163.com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，电子版报名表和邮件主题命名统一为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“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学院</w:t>
      </w:r>
      <w:r>
        <w:rPr>
          <w:rFonts w:ascii="Times New Roman" w:hAnsi="Times New Roman"/>
          <w:sz w:val="32"/>
          <w:szCs w:val="32"/>
          <w:rtl w:val="0"/>
          <w:lang w:val="en-US"/>
        </w:rPr>
        <w:t>-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年级</w:t>
      </w:r>
      <w:r>
        <w:rPr>
          <w:rFonts w:ascii="Times New Roman" w:hAnsi="Times New Roman"/>
          <w:sz w:val="32"/>
          <w:szCs w:val="32"/>
          <w:rtl w:val="0"/>
          <w:lang w:val="en-US"/>
        </w:rPr>
        <w:t>-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姓名</w:t>
      </w:r>
      <w:r>
        <w:rPr>
          <w:rFonts w:ascii="Times New Roman" w:hAnsi="Times New Roman"/>
          <w:sz w:val="32"/>
          <w:szCs w:val="32"/>
          <w:rtl w:val="0"/>
          <w:lang w:val="en-US"/>
        </w:rPr>
        <w:t>-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联系电话</w:t>
      </w:r>
      <w:r>
        <w:rPr>
          <w:rFonts w:ascii="Times New Roman" w:hAnsi="Times New Roman" w:hint="default"/>
          <w:sz w:val="32"/>
          <w:szCs w:val="32"/>
          <w:rtl w:val="0"/>
          <w:lang w:val="en-US"/>
        </w:rPr>
        <w:t>”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；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2.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资格审查：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校团委青年发展中心将对申请人进行资格审查；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3.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面试选拔：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经资格审查后，校团委青年发展中心将组织面试选拔工作，具体方式另行通知；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4.</w:t>
      </w:r>
      <w:r>
        <w:rPr>
          <w:rFonts w:ascii="仿宋_GB2312" w:cs="仿宋_GB2312" w:hAnsi="仿宋_GB2312" w:eastAsia="仿宋_GB2312"/>
          <w:b w:val="1"/>
          <w:bCs w:val="1"/>
          <w:sz w:val="32"/>
          <w:szCs w:val="32"/>
          <w:rtl w:val="0"/>
          <w:lang w:val="zh-TW" w:eastAsia="zh-TW"/>
        </w:rPr>
        <w:t>工作培养：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面试通过录用者，将由校团委青年发展中心统一组织开展培训，提升成员综合能力。工作期满后由校团委给予相应的履历和工作认定，表现突出者优先推荐参与各类评奖评优活动。参与理论调研部工作的同学将由专业教师开展社会调查、论文撰写等培训指导和学术训练，优先支持开展社会实践等相关工作，提供开展研究所需的图书资料、场地经费等保障。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 xml:space="preserve"> </w:t>
      </w:r>
    </w:p>
    <w:p>
      <w:pPr>
        <w:pStyle w:val="Normal.0"/>
        <w:spacing w:line="560" w:lineRule="exact"/>
        <w:ind w:firstLine="64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联系人：李文龙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刘丁如</w:t>
      </w:r>
    </w:p>
    <w:p>
      <w:pPr>
        <w:pStyle w:val="Normal.0"/>
        <w:spacing w:line="560" w:lineRule="exact"/>
        <w:ind w:firstLine="64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联系电话：</w:t>
      </w:r>
      <w:r>
        <w:rPr>
          <w:rFonts w:ascii="Times New Roman" w:hAnsi="Times New Roman"/>
          <w:sz w:val="32"/>
          <w:szCs w:val="32"/>
          <w:rtl w:val="0"/>
          <w:lang w:val="en-US"/>
        </w:rPr>
        <w:t>15807195603 15926300682</w:t>
      </w: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</w:p>
    <w:p>
      <w:pPr>
        <w:pStyle w:val="Normal.0"/>
        <w:spacing w:line="600" w:lineRule="exact"/>
        <w:ind w:firstLine="640"/>
        <w:jc w:val="left"/>
        <w:rPr>
          <w:rFonts w:ascii="仿宋_GB2312" w:cs="仿宋_GB2312" w:hAnsi="仿宋_GB2312" w:eastAsia="仿宋_GB2312"/>
          <w:sz w:val="32"/>
          <w:szCs w:val="32"/>
        </w:rPr>
      </w:pPr>
    </w:p>
    <w:p>
      <w:pPr>
        <w:pStyle w:val="Normal.0"/>
        <w:spacing w:line="600" w:lineRule="exact"/>
        <w:jc w:val="right"/>
        <w:rPr>
          <w:rFonts w:ascii="仿宋_GB2312" w:cs="仿宋_GB2312" w:hAnsi="仿宋_GB2312" w:eastAsia="仿宋_GB2312"/>
          <w:sz w:val="32"/>
          <w:szCs w:val="32"/>
          <w:lang w:val="zh-TW" w:eastAsia="zh-TW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共青团华中科技大学委员会</w:t>
      </w:r>
    </w:p>
    <w:p>
      <w:pPr>
        <w:pStyle w:val="Normal.0"/>
        <w:spacing w:line="600" w:lineRule="exact"/>
        <w:jc w:val="right"/>
        <w:rPr>
          <w:rFonts w:ascii="仿宋_GB2312" w:cs="仿宋_GB2312" w:hAnsi="仿宋_GB2312" w:eastAsia="仿宋_GB2312"/>
          <w:sz w:val="32"/>
          <w:szCs w:val="32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2022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年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10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月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en-US"/>
        </w:rPr>
        <w:t>18</w:t>
      </w: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日</w:t>
      </w:r>
    </w:p>
    <w:p>
      <w:pPr>
        <w:pStyle w:val="Normal.0"/>
        <w:spacing w:line="600" w:lineRule="exact"/>
        <w:ind w:firstLine="640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line="600" w:lineRule="exact"/>
        <w:ind w:firstLine="640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line="600" w:lineRule="exact"/>
        <w:ind w:firstLine="640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spacing w:line="600" w:lineRule="exact"/>
        <w:ind w:firstLine="640"/>
        <w:jc w:val="left"/>
        <w:rPr>
          <w:rFonts w:ascii="Times New Roman" w:cs="Times New Roman" w:hAnsi="Times New Roman" w:eastAsia="Times New Roman"/>
          <w:sz w:val="32"/>
          <w:szCs w:val="32"/>
          <w:lang w:val="zh-TW" w:eastAsia="zh-TW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附件：校团委青年发展中心骨干成员报名表</w:t>
      </w:r>
    </w:p>
    <w:p>
      <w:pPr>
        <w:pStyle w:val="Normal.0"/>
        <w:widowControl w:val="1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Normal.0"/>
        <w:jc w:val="left"/>
        <w:rPr>
          <w:rFonts w:ascii="仿宋_GB2312" w:cs="仿宋_GB2312" w:hAnsi="仿宋_GB2312" w:eastAsia="仿宋_GB2312"/>
          <w:sz w:val="32"/>
          <w:szCs w:val="32"/>
          <w:lang w:val="zh-TW" w:eastAsia="zh-TW"/>
        </w:rPr>
      </w:pPr>
      <w:r>
        <w:rPr>
          <w:rFonts w:ascii="仿宋_GB2312" w:cs="仿宋_GB2312" w:hAnsi="仿宋_GB2312" w:eastAsia="仿宋_GB2312"/>
          <w:sz w:val="32"/>
          <w:szCs w:val="32"/>
          <w:rtl w:val="0"/>
          <w:lang w:val="zh-TW" w:eastAsia="zh-TW"/>
        </w:rPr>
        <w:t>附件</w:t>
      </w:r>
    </w:p>
    <w:p>
      <w:pPr>
        <w:pStyle w:val="Normal.0"/>
        <w:widowControl w:val="1"/>
        <w:spacing w:line="360" w:lineRule="auto"/>
        <w:jc w:val="center"/>
        <w:rPr>
          <w:rFonts w:ascii="方正大标宋简体" w:cs="方正大标宋简体" w:hAnsi="方正大标宋简体" w:eastAsia="方正大标宋简体"/>
          <w:b w:val="1"/>
          <w:bCs w:val="1"/>
          <w:sz w:val="36"/>
          <w:szCs w:val="36"/>
          <w:lang w:val="zh-TW" w:eastAsia="zh-TW"/>
        </w:rPr>
      </w:pPr>
      <w:r>
        <w:rPr>
          <w:rFonts w:ascii="方正大标宋简体" w:cs="方正大标宋简体" w:hAnsi="方正大标宋简体" w:eastAsia="方正大标宋简体"/>
          <w:b w:val="1"/>
          <w:bCs w:val="1"/>
          <w:sz w:val="36"/>
          <w:szCs w:val="36"/>
          <w:rtl w:val="0"/>
          <w:lang w:val="zh-TW" w:eastAsia="zh-TW"/>
        </w:rPr>
        <w:t>校团委青年发展中心骨干成员报名表</w:t>
      </w: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80"/>
        <w:gridCol w:w="335"/>
        <w:gridCol w:w="1115"/>
        <w:gridCol w:w="1227"/>
        <w:gridCol w:w="1004"/>
        <w:gridCol w:w="335"/>
        <w:gridCol w:w="806"/>
        <w:gridCol w:w="422"/>
        <w:gridCol w:w="843"/>
        <w:gridCol w:w="1333"/>
      </w:tblGrid>
      <w:tr>
        <w:tblPrEx>
          <w:shd w:val="clear" w:color="auto" w:fill="d0ddef"/>
        </w:tblPrEx>
        <w:trPr>
          <w:trHeight w:val="581" w:hRule="atLeast"/>
        </w:trPr>
        <w:tc>
          <w:tcPr>
            <w:tcW w:type="dxa" w:w="1215"/>
            <w:gridSpan w:val="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姓  名</w:t>
            </w:r>
          </w:p>
        </w:tc>
        <w:tc>
          <w:tcPr>
            <w:tcW w:type="dxa" w:w="111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性  别</w:t>
            </w:r>
          </w:p>
        </w:tc>
        <w:tc>
          <w:tcPr>
            <w:tcW w:type="dxa" w:w="100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0"/>
            <w:gridSpan w:val="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出生年月</w:t>
            </w:r>
          </w:p>
        </w:tc>
        <w:tc>
          <w:tcPr>
            <w:tcW w:type="dxa" w:w="1265"/>
            <w:gridSpan w:val="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2"/>
            <w:vMerge w:val="restart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证件照</w:t>
            </w:r>
          </w:p>
        </w:tc>
      </w:tr>
      <w:tr>
        <w:tblPrEx>
          <w:shd w:val="clear" w:color="auto" w:fill="d0ddef"/>
        </w:tblPrEx>
        <w:trPr>
          <w:trHeight w:val="546" w:hRule="atLeast"/>
        </w:trPr>
        <w:tc>
          <w:tcPr>
            <w:tcW w:type="dxa" w:w="1215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籍  贯</w:t>
            </w:r>
          </w:p>
        </w:tc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民  族</w:t>
            </w:r>
          </w:p>
        </w:tc>
        <w:tc>
          <w:tcPr>
            <w:tcW w:type="dxa" w:w="100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0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政治面貌</w:t>
            </w:r>
          </w:p>
        </w:tc>
        <w:tc>
          <w:tcPr>
            <w:tcW w:type="dxa" w:w="1265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2"/>
            <w:vMerge w:val="continue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558" w:hRule="atLeast"/>
        </w:trPr>
        <w:tc>
          <w:tcPr>
            <w:tcW w:type="dxa" w:w="1215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学 </w:t>
            </w: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号</w:t>
            </w:r>
          </w:p>
        </w:tc>
        <w:tc>
          <w:tcPr>
            <w:tcW w:type="dxa" w:w="1115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 xml:space="preserve">年 </w:t>
            </w: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级</w:t>
            </w:r>
          </w:p>
        </w:tc>
        <w:tc>
          <w:tcPr>
            <w:tcW w:type="dxa" w:w="1004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40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院系专业</w:t>
            </w:r>
          </w:p>
        </w:tc>
        <w:tc>
          <w:tcPr>
            <w:tcW w:type="dxa" w:w="1265"/>
            <w:gridSpan w:val="2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2"/>
            <w:vMerge w:val="continue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98" w:hRule="atLeast"/>
        </w:trPr>
        <w:tc>
          <w:tcPr>
            <w:tcW w:type="dxa" w:w="1215"/>
            <w:gridSpan w:val="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联系电话</w:t>
            </w:r>
          </w:p>
        </w:tc>
        <w:tc>
          <w:tcPr>
            <w:tcW w:type="dxa" w:w="111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6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电子邮箱</w:t>
            </w:r>
          </w:p>
        </w:tc>
        <w:tc>
          <w:tcPr>
            <w:tcW w:type="dxa" w:w="1338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27"/>
            <w:gridSpan w:val="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21"/>
                <w:szCs w:val="21"/>
                <w:shd w:val="nil" w:color="auto" w:fill="auto"/>
                <w:rtl w:val="0"/>
                <w:lang w:val="zh-TW" w:eastAsia="zh-TW"/>
              </w:rPr>
              <w:t>是否接受调剂</w:t>
            </w:r>
          </w:p>
        </w:tc>
        <w:tc>
          <w:tcPr>
            <w:tcW w:type="dxa" w:w="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2"/>
            <w:vMerge w:val="continue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88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z w:val="21"/>
                <w:szCs w:val="21"/>
                <w:shd w:val="nil" w:color="auto" w:fill="auto"/>
                <w:rtl w:val="0"/>
                <w:lang w:val="zh-TW" w:eastAsia="zh-TW"/>
              </w:rPr>
              <w:t>意向部门</w:t>
            </w:r>
          </w:p>
        </w:tc>
        <w:tc>
          <w:tcPr>
            <w:tcW w:type="dxa" w:w="7419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Wingdings" w:cs="仿宋_GB2312" w:hAnsi="Wingdings" w:eastAsia="仿宋_GB2312" w:hint="default"/>
                <w:sz w:val="24"/>
                <w:szCs w:val="24"/>
                <w:shd w:val="nil" w:color="auto" w:fill="auto"/>
                <w:rtl w:val="0"/>
                <w:lang w:val="en-US"/>
              </w:rPr>
              <w:t>¨</w:t>
            </w:r>
            <w:r>
              <w:rPr>
                <w:rFonts w:ascii="仿宋_GB2312" w:cs="仿宋_GB2312" w:hAnsi="仿宋_GB2312" w:eastAsia="仿宋_GB2312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综合事务部    </w:t>
            </w:r>
            <w:r>
              <w:rPr>
                <w:rFonts w:ascii="仿宋_GB2312" w:cs="仿宋_GB2312" w:hAnsi="仿宋_GB2312" w:eastAsia="仿宋_GB23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</w:t>
            </w:r>
            <w:r>
              <w:rPr>
                <w:rFonts w:ascii="Wingdings" w:cs="仿宋_GB2312" w:hAnsi="Wingdings" w:eastAsia="仿宋_GB2312" w:hint="default"/>
                <w:sz w:val="24"/>
                <w:szCs w:val="24"/>
                <w:shd w:val="nil" w:color="auto" w:fill="auto"/>
                <w:rtl w:val="0"/>
                <w:lang w:val="en-US"/>
              </w:rPr>
              <w:t>¨</w:t>
            </w:r>
            <w:r>
              <w:rPr>
                <w:rFonts w:ascii="等线" w:cs="等线" w:hAnsi="等线" w:eastAsia="等线"/>
                <w:sz w:val="21"/>
                <w:szCs w:val="21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仿宋_GB2312" w:cs="仿宋_GB2312" w:hAnsi="仿宋_GB2312" w:eastAsia="仿宋_GB2312"/>
                <w:sz w:val="24"/>
                <w:szCs w:val="24"/>
                <w:shd w:val="nil" w:color="auto" w:fill="auto"/>
                <w:rtl w:val="0"/>
                <w:lang w:val="en-US"/>
              </w:rPr>
              <w:t>ihuster</w:t>
            </w:r>
            <w:r>
              <w:rPr>
                <w:rFonts w:ascii="仿宋_GB2312" w:cs="仿宋_GB2312" w:hAnsi="仿宋_GB2312" w:eastAsia="仿宋_GB2312"/>
                <w:sz w:val="24"/>
                <w:szCs w:val="24"/>
                <w:shd w:val="nil" w:color="auto" w:fill="auto"/>
                <w:rtl w:val="0"/>
                <w:lang w:val="zh-TW" w:eastAsia="zh-TW"/>
              </w:rPr>
              <w:t>第二课堂管理部</w:t>
            </w:r>
            <w:r>
              <w:rPr>
                <w:rFonts w:ascii="仿宋_GB2312" w:cs="仿宋_GB2312" w:hAnsi="仿宋_GB2312" w:eastAsia="仿宋_GB23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</w:t>
            </w:r>
            <w:r>
              <w:rPr>
                <w:rFonts w:ascii="Wingdings" w:cs="仿宋_GB2312" w:hAnsi="Wingdings" w:eastAsia="仿宋_GB2312" w:hint="default"/>
                <w:sz w:val="24"/>
                <w:szCs w:val="24"/>
                <w:shd w:val="nil" w:color="auto" w:fill="auto"/>
                <w:rtl w:val="0"/>
                <w:lang w:val="en-US"/>
              </w:rPr>
              <w:t>¨</w:t>
            </w:r>
            <w:r>
              <w:rPr>
                <w:rFonts w:ascii="仿宋_GB2312" w:cs="仿宋_GB2312" w:hAnsi="仿宋_GB2312" w:eastAsia="仿宋_GB2312"/>
                <w:sz w:val="24"/>
                <w:szCs w:val="24"/>
                <w:shd w:val="nil" w:color="auto" w:fill="auto"/>
                <w:rtl w:val="0"/>
                <w:lang w:val="zh-TW" w:eastAsia="zh-TW"/>
              </w:rPr>
              <w:t>理论调研部</w:t>
            </w:r>
          </w:p>
        </w:tc>
      </w:tr>
      <w:tr>
        <w:tblPrEx>
          <w:shd w:val="clear" w:color="auto" w:fill="d0ddef"/>
        </w:tblPrEx>
        <w:trPr>
          <w:trHeight w:val="1866" w:hRule="atLeast"/>
        </w:trPr>
        <w:tc>
          <w:tcPr>
            <w:tcW w:type="dxa" w:w="88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个人学习工作经历及获奖情况</w:t>
            </w:r>
          </w:p>
        </w:tc>
        <w:tc>
          <w:tcPr>
            <w:tcW w:type="dxa" w:w="7419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_GB2312" w:cs="仿宋_GB2312" w:hAnsi="仿宋_GB2312" w:eastAsia="仿宋_GB2312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zh-TW" w:eastAsia="zh-TW"/>
                <w14:textFill>
                  <w14:solidFill>
                    <w14:srgbClr w14:val="FF0000"/>
                  </w14:solidFill>
                </w14:textFill>
              </w:rPr>
              <w:t>（从初中填起，须包含起止时间与从事工作或担任学生职务等情况，正式填表时请删除括号内内容。）</w:t>
            </w:r>
          </w:p>
        </w:tc>
      </w:tr>
      <w:tr>
        <w:tblPrEx>
          <w:shd w:val="clear" w:color="auto" w:fill="d0ddef"/>
        </w:tblPrEx>
        <w:trPr>
          <w:trHeight w:val="1806" w:hRule="atLeast"/>
        </w:trPr>
        <w:tc>
          <w:tcPr>
            <w:tcW w:type="dxa" w:w="88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主要实践经历以及学术研究成果等</w:t>
            </w:r>
          </w:p>
        </w:tc>
        <w:tc>
          <w:tcPr>
            <w:tcW w:type="dxa" w:w="7419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仿宋_GB2312" w:cs="仿宋_GB2312" w:hAnsi="仿宋_GB2312" w:eastAsia="仿宋_GB2312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zh-TW" w:eastAsia="zh-TW"/>
                <w14:textFill>
                  <w14:solidFill>
                    <w14:srgbClr w14:val="FF0000"/>
                  </w14:solidFill>
                </w14:textFill>
              </w:rPr>
              <w:t>（此栏内容非常重要，正式填表时请删除括号内内容。）</w:t>
            </w:r>
          </w:p>
        </w:tc>
      </w:tr>
      <w:tr>
        <w:tblPrEx>
          <w:shd w:val="clear" w:color="auto" w:fill="d0ddef"/>
        </w:tblPrEx>
        <w:trPr>
          <w:trHeight w:val="1413" w:hRule="atLeast"/>
        </w:trPr>
        <w:tc>
          <w:tcPr>
            <w:tcW w:type="dxa" w:w="88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申请理由</w:t>
            </w:r>
          </w:p>
        </w:tc>
        <w:tc>
          <w:tcPr>
            <w:tcW w:type="dxa" w:w="7419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235" w:hRule="atLeast"/>
        </w:trPr>
        <w:tc>
          <w:tcPr>
            <w:tcW w:type="dxa" w:w="88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320" w:lineRule="exact"/>
              <w:jc w:val="center"/>
            </w:pPr>
            <w:r>
              <w:rPr>
                <w:rFonts w:ascii="黑体" w:cs="黑体" w:hAnsi="黑体" w:eastAsia="黑体"/>
                <w:b w:val="1"/>
                <w:bCs w:val="1"/>
                <w:shd w:val="nil" w:color="auto" w:fill="auto"/>
                <w:rtl w:val="0"/>
                <w:lang w:val="zh-TW" w:eastAsia="zh-TW"/>
              </w:rPr>
              <w:t>院系意见</w:t>
            </w:r>
          </w:p>
        </w:tc>
        <w:tc>
          <w:tcPr>
            <w:tcW w:type="dxa" w:w="7419"/>
            <w:gridSpan w:val="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left"/>
              <w:rPr>
                <w:rFonts w:ascii="仿宋_GB2312" w:cs="仿宋_GB2312" w:hAnsi="仿宋_GB2312" w:eastAsia="仿宋_GB2312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14:textFill>
                  <w14:solidFill>
                    <w14:srgbClr w14:val="FF0000"/>
                  </w14:solidFill>
                </w14:textFill>
              </w:rPr>
            </w:pPr>
            <w:r>
              <w:rPr>
                <w:rFonts w:ascii="仿宋_GB2312" w:cs="仿宋_GB2312" w:hAnsi="仿宋_GB2312" w:eastAsia="仿宋_GB2312"/>
                <w:outline w:val="0"/>
                <w:color w:val="ff0000"/>
                <w:sz w:val="24"/>
                <w:szCs w:val="24"/>
                <w:u w:color="ff0000"/>
                <w:shd w:val="nil" w:color="auto" w:fill="auto"/>
                <w:rtl w:val="0"/>
                <w:lang w:val="zh-TW" w:eastAsia="zh-TW"/>
                <w14:textFill>
                  <w14:solidFill>
                    <w14:srgbClr w14:val="FF0000"/>
                  </w14:solidFill>
                </w14:textFill>
              </w:rPr>
              <w:t>（情况是否属实、是否同意推荐。对于研究生，需要院系团委联系确认其导师是否同意学生报名。核实无误后，由团委书记签字，并加盖团委公章。正式填表时请删除括号内内容。）</w:t>
            </w:r>
          </w:p>
          <w:p>
            <w:pPr>
              <w:pStyle w:val="Normal.0"/>
              <w:bidi w:val="0"/>
              <w:spacing w:line="600" w:lineRule="auto"/>
              <w:ind w:left="0" w:right="0" w:firstLine="0"/>
              <w:jc w:val="right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                             </w:t>
            </w:r>
            <w:r>
              <w:rPr>
                <w:rFonts w:ascii="仿宋_GB2312" w:cs="仿宋_GB2312" w:hAnsi="仿宋_GB2312" w:eastAsia="仿宋_GB2312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（签字 盖章）</w:t>
            </w:r>
            <w:r>
              <w:rPr>
                <w:rFonts w:ascii="仿宋_GB2312" w:cs="仿宋_GB2312" w:hAnsi="仿宋_GB2312" w:eastAsia="仿宋_GB23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</w:t>
            </w:r>
          </w:p>
          <w:p>
            <w:pPr>
              <w:pStyle w:val="Normal.0"/>
              <w:bidi w:val="0"/>
              <w:spacing w:line="60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                         </w:t>
            </w:r>
            <w:r>
              <w:rPr>
                <w:rFonts w:ascii="仿宋_GB2312" w:cs="仿宋_GB2312" w:hAnsi="仿宋_GB2312" w:eastAsia="仿宋_GB2312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 xml:space="preserve">   年      月     日</w:t>
            </w:r>
            <w:r>
              <w:rPr>
                <w:rFonts w:ascii="仿宋_GB2312" w:cs="仿宋_GB2312" w:hAnsi="仿宋_GB2312" w:eastAsia="仿宋_GB2312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</w:t>
            </w:r>
          </w:p>
        </w:tc>
      </w:tr>
    </w:tbl>
    <w:p>
      <w:pPr>
        <w:pStyle w:val="Normal.0"/>
        <w:jc w:val="center"/>
        <w:rPr>
          <w:rFonts w:ascii="方正大标宋简体" w:cs="方正大标宋简体" w:hAnsi="方正大标宋简体" w:eastAsia="方正大标宋简体"/>
          <w:b w:val="1"/>
          <w:bCs w:val="1"/>
          <w:sz w:val="36"/>
          <w:szCs w:val="36"/>
          <w:lang w:val="zh-TW" w:eastAsia="zh-TW"/>
        </w:rPr>
      </w:pPr>
    </w:p>
    <w:p>
      <w:pPr>
        <w:pStyle w:val="Normal.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等线">
    <w:charset w:val="00"/>
    <w:family w:val="roman"/>
    <w:pitch w:val="default"/>
  </w:font>
  <w:font w:name="方正大标宋简体">
    <w:charset w:val="00"/>
    <w:family w:val="roman"/>
    <w:pitch w:val="default"/>
  </w:font>
  <w:font w:name="仿宋_GB2312">
    <w:charset w:val="00"/>
    <w:family w:val="roman"/>
    <w:pitch w:val="default"/>
  </w:font>
  <w:font w:name="黑体">
    <w:charset w:val="00"/>
    <w:family w:val="roman"/>
    <w:pitch w:val="default"/>
  </w:font>
  <w:font w:name="仿宋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