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黑体" w:eastAsia="黑体" w:cs="Times New Roman"/>
          <w:sz w:val="52"/>
          <w:szCs w:val="52"/>
        </w:rPr>
      </w:pPr>
      <w:r>
        <w:rPr>
          <w:rFonts w:ascii="黑体" w:hAnsi="黑体" w:eastAsia="黑体" w:cs="Times New Roman"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1531620</wp:posOffset>
            </wp:positionV>
            <wp:extent cx="2676525" cy="830580"/>
            <wp:effectExtent l="0" t="0" r="9525" b="0"/>
            <wp:wrapTight wrapText="bothSides">
              <wp:wrapPolygon>
                <wp:start x="3382" y="0"/>
                <wp:lineTo x="2152" y="1982"/>
                <wp:lineTo x="307" y="6936"/>
                <wp:lineTo x="307" y="10899"/>
                <wp:lineTo x="1076" y="16844"/>
                <wp:lineTo x="2921" y="19817"/>
                <wp:lineTo x="3228" y="20807"/>
                <wp:lineTo x="5535" y="20807"/>
                <wp:lineTo x="9685" y="19817"/>
                <wp:lineTo x="21369" y="17835"/>
                <wp:lineTo x="21523" y="4954"/>
                <wp:lineTo x="5535" y="0"/>
                <wp:lineTo x="3382" y="0"/>
              </wp:wrapPolygon>
            </wp:wrapTight>
            <wp:docPr id="20971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2" name="图片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Times New Roman"/>
          <w:sz w:val="52"/>
          <w:szCs w:val="5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2811780</wp:posOffset>
            </wp:positionH>
            <wp:positionV relativeFrom="paragraph">
              <wp:posOffset>701040</wp:posOffset>
            </wp:positionV>
            <wp:extent cx="3147060" cy="647700"/>
            <wp:effectExtent l="0" t="0" r="0" b="0"/>
            <wp:wrapTight wrapText="bothSides">
              <wp:wrapPolygon>
                <wp:start x="0" y="0"/>
                <wp:lineTo x="0" y="20965"/>
                <wp:lineTo x="21443" y="20965"/>
                <wp:lineTo x="21443" y="0"/>
                <wp:lineTo x="0" y="0"/>
              </wp:wrapPolygon>
            </wp:wrapTight>
            <wp:docPr id="209715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3" name="图片 1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Theme="majorEastAsia" w:hAnsiTheme="majorEastAsia" w:eastAsiaTheme="minorEastAsia"/>
          <w:b/>
          <w:bCs/>
          <w:sz w:val="52"/>
          <w:szCs w:val="52"/>
          <w:lang w:val="en-US" w:eastAsia="zh-CN"/>
        </w:rPr>
      </w:pPr>
      <w:bookmarkStart w:id="0" w:name="_Hlk91443098"/>
      <w:r>
        <w:rPr>
          <w:rFonts w:hint="eastAsia" w:ascii="宋体" w:hAnsi="宋体"/>
          <w:b/>
          <w:sz w:val="52"/>
          <w:szCs w:val="52"/>
        </w:rPr>
        <w:t>光学与电子信息学业中心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>四六级打卡活动</w:t>
      </w:r>
    </w:p>
    <w:bookmarkEnd w:id="0"/>
    <w:p>
      <w:pPr>
        <w:jc w:val="center"/>
        <w:rPr>
          <w:rFonts w:ascii="华文行楷" w:hAnsi="造字工房言宋（非商用）常规体" w:eastAsia="华文行楷" w:cs="黑体"/>
          <w:b/>
          <w:sz w:val="160"/>
          <w:szCs w:val="22"/>
        </w:rPr>
      </w:pPr>
      <w:r>
        <w:rPr>
          <w:rFonts w:hint="eastAsia" w:ascii="华文行楷" w:hAnsi="造字工房言宋（非商用）常规体" w:eastAsia="华文行楷" w:cs="黑体"/>
          <w:b/>
          <w:sz w:val="160"/>
          <w:szCs w:val="22"/>
        </w:rPr>
        <w:t>策</w:t>
      </w:r>
    </w:p>
    <w:p>
      <w:pPr>
        <w:jc w:val="center"/>
        <w:rPr>
          <w:rFonts w:ascii="华文行楷" w:hAnsi="造字工房言宋（非商用）常规体" w:eastAsia="华文行楷" w:cs="黑体"/>
          <w:b/>
          <w:sz w:val="160"/>
          <w:szCs w:val="22"/>
        </w:rPr>
      </w:pPr>
      <w:r>
        <w:rPr>
          <w:rFonts w:hint="eastAsia" w:ascii="华文行楷" w:hAnsi="造字工房言宋（非商用）常规体" w:eastAsia="华文行楷" w:cs="黑体"/>
          <w:b/>
          <w:sz w:val="160"/>
          <w:szCs w:val="22"/>
        </w:rPr>
        <w:t>划</w:t>
      </w:r>
    </w:p>
    <w:p>
      <w:pPr>
        <w:jc w:val="center"/>
        <w:rPr>
          <w:rFonts w:ascii="华文行楷" w:hAnsi="造字工房言宋（非商用）常规体" w:eastAsia="华文行楷" w:cs="黑体"/>
          <w:b/>
          <w:sz w:val="160"/>
          <w:szCs w:val="22"/>
        </w:rPr>
      </w:pPr>
      <w:r>
        <w:rPr>
          <w:rFonts w:hint="eastAsia" w:ascii="华文行楷" w:hAnsi="造字工房言宋（非商用）常规体" w:eastAsia="华文行楷" w:cs="黑体"/>
          <w:b/>
          <w:sz w:val="160"/>
          <w:szCs w:val="22"/>
        </w:rPr>
        <w:t>书</w:t>
      </w:r>
    </w:p>
    <w:p>
      <w:pPr>
        <w:jc w:val="center"/>
        <w:rPr>
          <w:rFonts w:ascii="宋体" w:hAnsi="宋体" w:eastAsia="宋体" w:cs="Times New Roman"/>
          <w:b/>
          <w:sz w:val="30"/>
          <w:szCs w:val="30"/>
        </w:rPr>
      </w:pPr>
      <w:r>
        <w:rPr>
          <w:rFonts w:hint="eastAsia" w:ascii="宋体" w:hAnsi="宋体" w:eastAsia="宋体" w:cs="Times New Roman"/>
          <w:b/>
          <w:sz w:val="30"/>
          <w:szCs w:val="30"/>
        </w:rPr>
        <w:t>主办方：光学与电子信息学院学业支持发展中心</w:t>
      </w:r>
    </w:p>
    <w:p>
      <w:pPr>
        <w:jc w:val="center"/>
        <w:rPr>
          <w:rFonts w:ascii="宋体" w:hAnsi="宋体" w:eastAsia="宋体" w:cs="Times New Roman"/>
          <w:b/>
          <w:sz w:val="30"/>
          <w:szCs w:val="30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26" w:charSpace="0"/>
        </w:sectPr>
      </w:pPr>
      <w:r>
        <w:rPr>
          <w:rFonts w:hint="eastAsia" w:ascii="宋体" w:hAnsi="宋体" w:eastAsia="宋体" w:cs="Times New Roman"/>
          <w:b/>
          <w:sz w:val="30"/>
          <w:szCs w:val="30"/>
        </w:rPr>
        <w:t>202</w:t>
      </w:r>
      <w:r>
        <w:rPr>
          <w:rFonts w:hint="eastAsia" w:ascii="宋体" w:hAnsi="宋体" w:eastAsia="宋体" w:cs="Times New Roman"/>
          <w:b/>
          <w:sz w:val="30"/>
          <w:szCs w:val="30"/>
          <w:lang w:val="en-US" w:eastAsia="zh-CN"/>
        </w:rPr>
        <w:t>3</w:t>
      </w:r>
      <w:r>
        <w:rPr>
          <w:rFonts w:ascii="宋体" w:hAnsi="宋体" w:eastAsia="宋体" w:cs="Times New Roman"/>
          <w:b/>
          <w:sz w:val="30"/>
          <w:szCs w:val="30"/>
        </w:rPr>
        <w:t xml:space="preserve"> </w:t>
      </w:r>
      <w:r>
        <w:rPr>
          <w:rFonts w:hint="eastAsia" w:ascii="宋体" w:hAnsi="宋体" w:eastAsia="宋体" w:cs="Times New Roman"/>
          <w:b/>
          <w:sz w:val="30"/>
          <w:szCs w:val="30"/>
        </w:rPr>
        <w:t>年</w:t>
      </w:r>
      <w:r>
        <w:rPr>
          <w:rFonts w:ascii="宋体" w:hAnsi="宋体" w:eastAsia="宋体" w:cs="Times New Roman"/>
          <w:b/>
          <w:sz w:val="30"/>
          <w:szCs w:val="30"/>
        </w:rPr>
        <w:t xml:space="preserve"> </w:t>
      </w:r>
      <w:r>
        <w:rPr>
          <w:rFonts w:hint="eastAsia" w:ascii="宋体" w:hAnsi="宋体" w:eastAsia="宋体" w:cs="Times New Roman"/>
          <w:b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Times New Roman"/>
          <w:b/>
          <w:sz w:val="30"/>
          <w:szCs w:val="30"/>
        </w:rPr>
        <w:t>月</w:t>
      </w:r>
    </w:p>
    <w:p>
      <w:pPr>
        <w:rPr>
          <w:rFonts w:ascii="宋体" w:hAnsi="宋体" w:eastAsia="宋体" w:cs="Times New Roman"/>
          <w:b/>
          <w:sz w:val="30"/>
          <w:szCs w:val="30"/>
        </w:rPr>
      </w:pPr>
    </w:p>
    <w:sdt>
      <w:sdtPr>
        <w:rPr>
          <w:b w:val="0"/>
          <w:bCs w:val="0"/>
          <w:kern w:val="2"/>
          <w:sz w:val="21"/>
          <w:szCs w:val="22"/>
          <w:lang w:val="zh-CN"/>
        </w:rPr>
        <w:id w:val="-812637551"/>
      </w:sdtPr>
      <w:sdtEndPr>
        <w:rPr>
          <w:b w:val="0"/>
          <w:bCs w:val="0"/>
          <w:kern w:val="2"/>
          <w:sz w:val="21"/>
          <w:szCs w:val="24"/>
          <w:lang w:val="zh-CN"/>
        </w:rPr>
      </w:sdtEndPr>
      <w:sdtContent>
        <w:p>
          <w:pPr>
            <w:pStyle w:val="36"/>
            <w:spacing w:before="0" w:after="0"/>
            <w:jc w:val="center"/>
            <w:rPr>
              <w:rFonts w:ascii="华文行楷" w:eastAsia="华文行楷"/>
              <w:color w:val="000000" w:themeColor="text1"/>
              <w:sz w:val="72"/>
              <w:szCs w:val="72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华文行楷" w:eastAsia="华文行楷"/>
              <w:color w:val="000000" w:themeColor="text1"/>
              <w:sz w:val="72"/>
              <w:szCs w:val="72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6"/>
            <w:tabs>
              <w:tab w:val="right" w:leader="dot" w:pos="8306"/>
              <w:tab w:val="clear" w:pos="1680"/>
              <w:tab w:val="clear" w:pos="8296"/>
            </w:tabs>
          </w:pPr>
          <w:r>
            <w:rPr>
              <w:rFonts w:asciiTheme="majorEastAsia" w:hAnsiTheme="majorEastAsia" w:eastAsiaTheme="majorEastAsia"/>
              <w:sz w:val="28"/>
              <w:szCs w:val="28"/>
            </w:rPr>
            <w:fldChar w:fldCharType="begin"/>
          </w:r>
          <w:r>
            <w:rPr>
              <w:rFonts w:asciiTheme="majorEastAsia" w:hAnsiTheme="majorEastAsia" w:eastAsiaTheme="majorEastAsia"/>
              <w:sz w:val="28"/>
              <w:szCs w:val="28"/>
            </w:rPr>
            <w:instrText xml:space="preserve"> TOC \o "1-3" \h \z \u </w:instrText>
          </w:r>
          <w:r>
            <w:rPr>
              <w:rFonts w:asciiTheme="majorEastAsia" w:hAnsiTheme="majorEastAsia" w:eastAsiaTheme="majorEastAsia"/>
              <w:sz w:val="28"/>
              <w:szCs w:val="28"/>
            </w:rPr>
            <w:fldChar w:fldCharType="separate"/>
          </w:r>
          <w:r>
            <w:rPr>
              <w:rFonts w:asciiTheme="majorEastAsia" w:hAnsiTheme="majorEastAsia" w:eastAsiaTheme="majorEastAsia"/>
              <w:szCs w:val="28"/>
            </w:rPr>
            <w:fldChar w:fldCharType="begin"/>
          </w:r>
          <w:r>
            <w:rPr>
              <w:rFonts w:asciiTheme="majorEastAsia" w:hAnsiTheme="majorEastAsia" w:eastAsiaTheme="majorEastAsia"/>
              <w:szCs w:val="28"/>
            </w:rPr>
            <w:instrText xml:space="preserve"> HYPERLINK \l _Toc18774 </w:instrText>
          </w:r>
          <w:r>
            <w:rPr>
              <w:rFonts w:asciiTheme="majorEastAsia" w:hAnsiTheme="majorEastAsia" w:eastAsiaTheme="majorEastAsia"/>
              <w:szCs w:val="28"/>
            </w:rPr>
            <w:fldChar w:fldCharType="separate"/>
          </w:r>
          <w:r>
            <w:rPr>
              <w:rFonts w:ascii="黑体" w:hAnsi="黑体" w:eastAsia="黑体"/>
            </w:rPr>
            <w:t xml:space="preserve">一、 </w:t>
          </w:r>
          <w:r>
            <w:rPr>
              <w:rFonts w:hint="eastAsia" w:ascii="黑体" w:hAnsi="黑体" w:eastAsia="黑体"/>
            </w:rPr>
            <w:t>活动名称</w:t>
          </w:r>
          <w:r>
            <w:tab/>
          </w:r>
          <w:r>
            <w:fldChar w:fldCharType="begin"/>
          </w:r>
          <w:r>
            <w:instrText xml:space="preserve"> PAGEREF _Toc18774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1680"/>
              <w:tab w:val="clear" w:pos="8296"/>
            </w:tabs>
          </w:pPr>
          <w:r>
            <w:rPr>
              <w:rFonts w:asciiTheme="majorEastAsia" w:hAnsiTheme="majorEastAsia"/>
              <w:bCs/>
              <w:szCs w:val="28"/>
              <w:lang w:val="zh-CN"/>
            </w:rPr>
            <w:fldChar w:fldCharType="begin"/>
          </w:r>
          <w:r>
            <w:rPr>
              <w:rFonts w:asciiTheme="majorEastAsia" w:hAnsiTheme="majorEastAsia"/>
              <w:bCs/>
              <w:szCs w:val="28"/>
              <w:lang w:val="zh-CN"/>
            </w:rPr>
            <w:instrText xml:space="preserve"> HYPERLINK \l _Toc21774 </w:instrText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separate"/>
          </w:r>
          <w:r>
            <w:rPr>
              <w:rFonts w:ascii="黑体" w:hAnsi="黑体" w:eastAsia="黑体"/>
            </w:rPr>
            <w:t xml:space="preserve">二、 </w:t>
          </w:r>
          <w:r>
            <w:rPr>
              <w:rFonts w:hint="eastAsia" w:ascii="黑体" w:hAnsi="黑体" w:eastAsia="黑体"/>
            </w:rPr>
            <w:t>活动对象</w:t>
          </w:r>
          <w:r>
            <w:tab/>
          </w:r>
          <w:r>
            <w:fldChar w:fldCharType="begin"/>
          </w:r>
          <w:r>
            <w:instrText xml:space="preserve"> PAGEREF _Toc21774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1680"/>
              <w:tab w:val="clear" w:pos="8296"/>
            </w:tabs>
          </w:pPr>
          <w:r>
            <w:rPr>
              <w:rFonts w:asciiTheme="majorEastAsia" w:hAnsiTheme="majorEastAsia"/>
              <w:bCs/>
              <w:szCs w:val="28"/>
              <w:lang w:val="zh-CN"/>
            </w:rPr>
            <w:fldChar w:fldCharType="begin"/>
          </w:r>
          <w:r>
            <w:rPr>
              <w:rFonts w:asciiTheme="majorEastAsia" w:hAnsiTheme="majorEastAsia"/>
              <w:bCs/>
              <w:szCs w:val="28"/>
              <w:lang w:val="zh-CN"/>
            </w:rPr>
            <w:instrText xml:space="preserve"> HYPERLINK \l _Toc15517 </w:instrText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separate"/>
          </w:r>
          <w:r>
            <w:rPr>
              <w:rFonts w:ascii="黑体" w:hAnsi="黑体" w:eastAsia="黑体"/>
            </w:rPr>
            <w:t xml:space="preserve">三、 </w:t>
          </w:r>
          <w:r>
            <w:rPr>
              <w:rFonts w:hint="eastAsia" w:ascii="黑体" w:hAnsi="黑体" w:eastAsia="黑体"/>
            </w:rPr>
            <w:t>活动地点</w:t>
          </w:r>
          <w:r>
            <w:tab/>
          </w:r>
          <w:r>
            <w:fldChar w:fldCharType="begin"/>
          </w:r>
          <w:r>
            <w:instrText xml:space="preserve"> PAGEREF _Toc15517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1680"/>
              <w:tab w:val="clear" w:pos="8296"/>
            </w:tabs>
          </w:pPr>
          <w:r>
            <w:rPr>
              <w:rFonts w:asciiTheme="majorEastAsia" w:hAnsiTheme="majorEastAsia"/>
              <w:bCs/>
              <w:szCs w:val="28"/>
              <w:lang w:val="zh-CN"/>
            </w:rPr>
            <w:fldChar w:fldCharType="begin"/>
          </w:r>
          <w:r>
            <w:rPr>
              <w:rFonts w:asciiTheme="majorEastAsia" w:hAnsiTheme="majorEastAsia"/>
              <w:bCs/>
              <w:szCs w:val="28"/>
              <w:lang w:val="zh-CN"/>
            </w:rPr>
            <w:instrText xml:space="preserve"> HYPERLINK \l _Toc20536 </w:instrText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separate"/>
          </w:r>
          <w:r>
            <w:rPr>
              <w:rFonts w:ascii="黑体" w:hAnsi="黑体" w:eastAsia="黑体"/>
            </w:rPr>
            <w:t xml:space="preserve">四、 </w:t>
          </w:r>
          <w:r>
            <w:rPr>
              <w:rFonts w:hint="eastAsia" w:ascii="黑体" w:hAnsi="黑体" w:eastAsia="黑体"/>
            </w:rPr>
            <w:t>活动时间</w:t>
          </w:r>
          <w:r>
            <w:tab/>
          </w:r>
          <w:r>
            <w:fldChar w:fldCharType="begin"/>
          </w:r>
          <w:r>
            <w:instrText xml:space="preserve"> PAGEREF _Toc20536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1680"/>
              <w:tab w:val="clear" w:pos="8296"/>
            </w:tabs>
          </w:pPr>
          <w:r>
            <w:rPr>
              <w:rFonts w:asciiTheme="majorEastAsia" w:hAnsiTheme="majorEastAsia"/>
              <w:bCs/>
              <w:szCs w:val="28"/>
              <w:lang w:val="zh-CN"/>
            </w:rPr>
            <w:fldChar w:fldCharType="begin"/>
          </w:r>
          <w:r>
            <w:rPr>
              <w:rFonts w:asciiTheme="majorEastAsia" w:hAnsiTheme="majorEastAsia"/>
              <w:bCs/>
              <w:szCs w:val="28"/>
              <w:lang w:val="zh-CN"/>
            </w:rPr>
            <w:instrText xml:space="preserve"> HYPERLINK \l _Toc14143 </w:instrText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separate"/>
          </w:r>
          <w:r>
            <w:rPr>
              <w:rFonts w:ascii="黑体" w:hAnsi="黑体" w:eastAsia="黑体"/>
            </w:rPr>
            <w:t xml:space="preserve">五、 </w:t>
          </w:r>
          <w:r>
            <w:rPr>
              <w:rFonts w:hint="eastAsia" w:ascii="黑体" w:hAnsi="黑体" w:eastAsia="黑体"/>
            </w:rPr>
            <w:t>活动主办单位</w:t>
          </w:r>
          <w:r>
            <w:tab/>
          </w:r>
          <w:r>
            <w:fldChar w:fldCharType="begin"/>
          </w:r>
          <w:r>
            <w:instrText xml:space="preserve"> PAGEREF _Toc14143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1680"/>
              <w:tab w:val="clear" w:pos="8296"/>
            </w:tabs>
          </w:pPr>
          <w:r>
            <w:rPr>
              <w:rFonts w:asciiTheme="majorEastAsia" w:hAnsiTheme="majorEastAsia"/>
              <w:bCs/>
              <w:szCs w:val="28"/>
              <w:lang w:val="zh-CN"/>
            </w:rPr>
            <w:fldChar w:fldCharType="begin"/>
          </w:r>
          <w:r>
            <w:rPr>
              <w:rFonts w:asciiTheme="majorEastAsia" w:hAnsiTheme="majorEastAsia"/>
              <w:bCs/>
              <w:szCs w:val="28"/>
              <w:lang w:val="zh-CN"/>
            </w:rPr>
            <w:instrText xml:space="preserve"> HYPERLINK \l _Toc23190 </w:instrText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separate"/>
          </w:r>
          <w:r>
            <w:rPr>
              <w:rFonts w:ascii="黑体" w:hAnsi="黑体" w:eastAsia="黑体"/>
            </w:rPr>
            <w:t xml:space="preserve">六、 </w:t>
          </w:r>
          <w:r>
            <w:rPr>
              <w:rFonts w:hint="eastAsia" w:ascii="黑体" w:hAnsi="黑体" w:eastAsia="黑体"/>
            </w:rPr>
            <w:t>活动目的</w:t>
          </w:r>
          <w:r>
            <w:tab/>
          </w:r>
          <w:r>
            <w:fldChar w:fldCharType="begin"/>
          </w:r>
          <w:r>
            <w:instrText xml:space="preserve"> PAGEREF _Toc23190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1680"/>
              <w:tab w:val="clear" w:pos="8296"/>
            </w:tabs>
          </w:pPr>
          <w:r>
            <w:rPr>
              <w:rFonts w:asciiTheme="majorEastAsia" w:hAnsiTheme="majorEastAsia"/>
              <w:bCs/>
              <w:szCs w:val="28"/>
              <w:lang w:val="zh-CN"/>
            </w:rPr>
            <w:fldChar w:fldCharType="begin"/>
          </w:r>
          <w:r>
            <w:rPr>
              <w:rFonts w:asciiTheme="majorEastAsia" w:hAnsiTheme="majorEastAsia"/>
              <w:bCs/>
              <w:szCs w:val="28"/>
              <w:lang w:val="zh-CN"/>
            </w:rPr>
            <w:instrText xml:space="preserve"> HYPERLINK \l _Toc28028 </w:instrText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separate"/>
          </w:r>
          <w:r>
            <w:rPr>
              <w:rFonts w:ascii="黑体" w:hAnsi="黑体" w:eastAsia="黑体"/>
            </w:rPr>
            <w:t xml:space="preserve">七、 </w:t>
          </w:r>
          <w:r>
            <w:rPr>
              <w:rFonts w:hint="eastAsia" w:ascii="黑体" w:hAnsi="黑体" w:eastAsia="黑体"/>
            </w:rPr>
            <w:t>活动流程</w:t>
          </w:r>
          <w:r>
            <w:tab/>
          </w:r>
          <w:r>
            <w:fldChar w:fldCharType="begin"/>
          </w:r>
          <w:r>
            <w:instrText xml:space="preserve"> PAGEREF _Toc28028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1680"/>
              <w:tab w:val="clear" w:pos="8296"/>
            </w:tabs>
          </w:pPr>
          <w:r>
            <w:rPr>
              <w:rFonts w:asciiTheme="majorEastAsia" w:hAnsiTheme="majorEastAsia"/>
              <w:bCs/>
              <w:szCs w:val="28"/>
              <w:lang w:val="zh-CN"/>
            </w:rPr>
            <w:fldChar w:fldCharType="begin"/>
          </w:r>
          <w:r>
            <w:rPr>
              <w:rFonts w:asciiTheme="majorEastAsia" w:hAnsiTheme="majorEastAsia"/>
              <w:bCs/>
              <w:szCs w:val="28"/>
              <w:lang w:val="zh-CN"/>
            </w:rPr>
            <w:instrText xml:space="preserve"> HYPERLINK \l _Toc27510 </w:instrText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separate"/>
          </w:r>
          <w:r>
            <w:rPr>
              <w:rFonts w:ascii="黑体" w:hAnsi="黑体" w:eastAsia="黑体"/>
              <w:szCs w:val="36"/>
            </w:rPr>
            <w:t xml:space="preserve">八、 </w:t>
          </w:r>
          <w:r>
            <w:rPr>
              <w:rFonts w:hint="eastAsia" w:ascii="黑体" w:hAnsi="黑体" w:eastAsia="黑体"/>
              <w:szCs w:val="36"/>
            </w:rPr>
            <w:t>准备工作</w:t>
          </w:r>
          <w:r>
            <w:tab/>
          </w:r>
          <w:r>
            <w:fldChar w:fldCharType="begin"/>
          </w:r>
          <w:r>
            <w:instrText xml:space="preserve"> PAGEREF _Toc27510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1680"/>
              <w:tab w:val="clear" w:pos="8296"/>
            </w:tabs>
          </w:pPr>
          <w:r>
            <w:rPr>
              <w:rFonts w:asciiTheme="majorEastAsia" w:hAnsiTheme="majorEastAsia"/>
              <w:bCs/>
              <w:szCs w:val="28"/>
              <w:lang w:val="zh-CN"/>
            </w:rPr>
            <w:fldChar w:fldCharType="begin"/>
          </w:r>
          <w:r>
            <w:rPr>
              <w:rFonts w:asciiTheme="majorEastAsia" w:hAnsiTheme="majorEastAsia"/>
              <w:bCs/>
              <w:szCs w:val="28"/>
              <w:lang w:val="zh-CN"/>
            </w:rPr>
            <w:instrText xml:space="preserve"> HYPERLINK \l _Toc1338 </w:instrText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separate"/>
          </w:r>
          <w:r>
            <w:rPr>
              <w:rFonts w:ascii="黑体" w:hAnsi="黑体" w:eastAsia="黑体"/>
              <w:szCs w:val="36"/>
            </w:rPr>
            <w:t xml:space="preserve">九、 </w:t>
          </w:r>
          <w:r>
            <w:rPr>
              <w:rFonts w:hint="eastAsia" w:ascii="黑体" w:hAnsi="黑体" w:eastAsia="黑体"/>
              <w:szCs w:val="36"/>
            </w:rPr>
            <w:t>物资准备及预算</w:t>
          </w:r>
          <w:r>
            <w:tab/>
          </w:r>
          <w:r>
            <w:fldChar w:fldCharType="begin"/>
          </w:r>
          <w:r>
            <w:instrText xml:space="preserve"> PAGEREF _Toc1338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ajorEastAsia" w:hAnsiTheme="majorEastAsia"/>
              <w:bCs/>
              <w:szCs w:val="28"/>
              <w:lang w:val="zh-CN"/>
            </w:rPr>
            <w:fldChar w:fldCharType="end"/>
          </w:r>
        </w:p>
        <w:p>
          <w:pPr>
            <w:pStyle w:val="32"/>
            <w:spacing w:before="0" w:line="360" w:lineRule="auto"/>
            <w:jc w:val="center"/>
            <w:rPr>
              <w:rFonts w:asciiTheme="majorEastAsia" w:hAnsiTheme="majorEastAsia"/>
              <w:b/>
              <w:bCs/>
              <w:sz w:val="28"/>
              <w:szCs w:val="28"/>
              <w:lang w:val="zh-CN"/>
            </w:rPr>
          </w:pPr>
          <w:r>
            <w:rPr>
              <w:rFonts w:asciiTheme="majorEastAsia" w:hAnsiTheme="majorEastAsia"/>
              <w:bCs/>
              <w:szCs w:val="28"/>
              <w:lang w:val="zh-CN"/>
            </w:rPr>
            <w:fldChar w:fldCharType="end"/>
          </w:r>
        </w:p>
        <w:p>
          <w:pPr>
            <w:widowControl/>
            <w:spacing w:line="360" w:lineRule="auto"/>
            <w:jc w:val="left"/>
            <w:rPr>
              <w:rFonts w:asciiTheme="majorEastAsia" w:hAnsiTheme="majorEastAsia" w:eastAsiaTheme="majorEastAsia"/>
              <w:sz w:val="28"/>
              <w:szCs w:val="28"/>
              <w:lang w:val="zh-CN"/>
            </w:rPr>
          </w:pPr>
          <w:r>
            <w:rPr>
              <w:rFonts w:asciiTheme="majorEastAsia" w:hAnsiTheme="majorEastAsia" w:eastAsiaTheme="majorEastAsia"/>
              <w:sz w:val="28"/>
              <w:szCs w:val="28"/>
              <w:lang w:val="zh-CN"/>
            </w:rPr>
            <w:br w:type="page"/>
          </w:r>
        </w:p>
        <w:p>
          <w:pPr>
            <w:rPr>
              <w:lang w:val="zh-CN"/>
            </w:rPr>
          </w:pPr>
        </w:p>
      </w:sdtContent>
    </w:sdt>
    <w:p>
      <w:pPr>
        <w:pStyle w:val="4"/>
        <w:numPr>
          <w:ilvl w:val="0"/>
          <w:numId w:val="1"/>
        </w:numPr>
        <w:spacing w:before="0" w:after="0"/>
        <w:rPr>
          <w:rFonts w:ascii="黑体" w:hAnsi="黑体" w:eastAsia="黑体"/>
        </w:rPr>
      </w:pPr>
      <w:bookmarkStart w:id="1" w:name="_Toc18774"/>
      <w:r>
        <w:rPr>
          <w:rFonts w:hint="eastAsia" w:ascii="黑体" w:hAnsi="黑体" w:eastAsia="黑体"/>
        </w:rPr>
        <w:t>活动名称</w:t>
      </w:r>
      <w:bookmarkEnd w:id="1"/>
    </w:p>
    <w:p>
      <w:pPr>
        <w:widowControl/>
        <w:ind w:firstLine="560" w:firstLineChars="200"/>
        <w:rPr>
          <w:rFonts w:hint="default" w:ascii="宋体" w:hAnsi="宋体" w:eastAsiaTheme="minorEastAsia"/>
          <w:b/>
          <w:sz w:val="56"/>
          <w:szCs w:val="56"/>
          <w:lang w:val="en-US" w:eastAsia="zh-CN"/>
        </w:rPr>
      </w:pPr>
      <w:r>
        <w:rPr>
          <w:rFonts w:hint="eastAsia"/>
          <w:sz w:val="28"/>
          <w:szCs w:val="36"/>
        </w:rPr>
        <w:t>光学与电子信息学业中心</w:t>
      </w:r>
      <w:r>
        <w:rPr>
          <w:rFonts w:hint="eastAsia"/>
          <w:sz w:val="28"/>
          <w:szCs w:val="36"/>
          <w:lang w:val="en-US" w:eastAsia="zh-CN"/>
        </w:rPr>
        <w:t>四六级打卡活动</w:t>
      </w:r>
    </w:p>
    <w:p>
      <w:pPr>
        <w:pStyle w:val="4"/>
        <w:numPr>
          <w:ilvl w:val="0"/>
          <w:numId w:val="1"/>
        </w:numPr>
        <w:spacing w:before="0" w:after="0"/>
        <w:rPr>
          <w:rFonts w:ascii="黑体" w:hAnsi="黑体" w:eastAsia="黑体"/>
        </w:rPr>
      </w:pPr>
      <w:bookmarkStart w:id="2" w:name="_Toc21774"/>
      <w:r>
        <w:rPr>
          <w:rFonts w:hint="eastAsia" w:ascii="黑体" w:hAnsi="黑体" w:eastAsia="黑体"/>
        </w:rPr>
        <w:t>活动对象</w:t>
      </w:r>
      <w:bookmarkEnd w:id="2"/>
    </w:p>
    <w:p>
      <w:pPr>
        <w:spacing w:line="360" w:lineRule="auto"/>
        <w:ind w:firstLine="560" w:firstLineChars="200"/>
        <w:rPr>
          <w:rFonts w:asciiTheme="minorEastAsia" w:hAnsiTheme="minorEastAsia"/>
          <w:sz w:val="28"/>
          <w:szCs w:val="36"/>
        </w:rPr>
      </w:pPr>
      <w:r>
        <w:rPr>
          <w:rFonts w:hint="eastAsia" w:asciiTheme="minorEastAsia" w:hAnsiTheme="minorEastAsia"/>
          <w:sz w:val="28"/>
          <w:szCs w:val="36"/>
        </w:rPr>
        <w:t>学业中心指导老师、学业中心全体成员</w:t>
      </w:r>
    </w:p>
    <w:p>
      <w:pPr>
        <w:pStyle w:val="4"/>
        <w:numPr>
          <w:ilvl w:val="0"/>
          <w:numId w:val="1"/>
        </w:numPr>
        <w:spacing w:before="0" w:after="0"/>
        <w:rPr>
          <w:rFonts w:ascii="黑体" w:hAnsi="黑体" w:eastAsia="黑体"/>
        </w:rPr>
      </w:pPr>
      <w:bookmarkStart w:id="3" w:name="_Toc15517"/>
      <w:r>
        <w:rPr>
          <w:rFonts w:hint="eastAsia" w:ascii="黑体" w:hAnsi="黑体" w:eastAsia="黑体"/>
        </w:rPr>
        <w:t>活动地点</w:t>
      </w:r>
      <w:bookmarkEnd w:id="3"/>
    </w:p>
    <w:p>
      <w:pPr>
        <w:spacing w:line="360" w:lineRule="auto"/>
        <w:ind w:firstLine="560" w:firstLineChars="200"/>
        <w:rPr>
          <w:rFonts w:hint="default" w:asciiTheme="minorEastAsia" w:hAnsiTheme="minorEastAsia" w:eastAsia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/>
          <w:sz w:val="28"/>
          <w:szCs w:val="36"/>
          <w:lang w:val="en-US" w:eastAsia="zh-CN"/>
        </w:rPr>
        <w:t>线上开展</w:t>
      </w:r>
    </w:p>
    <w:p>
      <w:pPr>
        <w:pStyle w:val="4"/>
        <w:numPr>
          <w:ilvl w:val="0"/>
          <w:numId w:val="1"/>
        </w:numPr>
        <w:spacing w:before="0" w:after="0"/>
        <w:rPr>
          <w:rFonts w:ascii="黑体" w:hAnsi="黑体" w:eastAsia="黑体"/>
        </w:rPr>
      </w:pPr>
      <w:bookmarkStart w:id="4" w:name="_Toc20536"/>
      <w:r>
        <w:rPr>
          <w:rFonts w:hint="eastAsia" w:ascii="黑体" w:hAnsi="黑体" w:eastAsia="黑体"/>
        </w:rPr>
        <w:t>活动时间</w:t>
      </w:r>
      <w:bookmarkEnd w:id="4"/>
    </w:p>
    <w:p>
      <w:pPr>
        <w:spacing w:line="360" w:lineRule="auto"/>
        <w:ind w:firstLine="560" w:firstLineChars="200"/>
        <w:rPr>
          <w:rFonts w:hint="default" w:asciiTheme="minorEastAsia" w:hAnsiTheme="minorEastAsia" w:eastAsiaTheme="minorEastAsia"/>
          <w:sz w:val="28"/>
          <w:szCs w:val="36"/>
          <w:lang w:val="en-US" w:eastAsia="zh-CN"/>
        </w:rPr>
      </w:pPr>
      <w:r>
        <w:rPr>
          <w:rFonts w:asciiTheme="minorEastAsia" w:hAnsiTheme="minorEastAsia"/>
          <w:sz w:val="28"/>
          <w:szCs w:val="36"/>
        </w:rPr>
        <w:t>202</w:t>
      </w:r>
      <w:r>
        <w:rPr>
          <w:rFonts w:hint="eastAsia" w:asciiTheme="minorEastAsia" w:hAnsiTheme="minorEastAsia"/>
          <w:sz w:val="28"/>
          <w:szCs w:val="36"/>
          <w:lang w:val="en-US" w:eastAsia="zh-CN"/>
        </w:rPr>
        <w:t>3</w:t>
      </w:r>
      <w:r>
        <w:rPr>
          <w:rFonts w:asciiTheme="minorEastAsia" w:hAnsiTheme="minorEastAsia"/>
          <w:sz w:val="28"/>
          <w:szCs w:val="36"/>
        </w:rPr>
        <w:t>年</w:t>
      </w:r>
      <w:r>
        <w:rPr>
          <w:rFonts w:hint="eastAsia" w:asciiTheme="minorEastAsia" w:hAnsiTheme="minorEastAsia"/>
          <w:sz w:val="28"/>
          <w:szCs w:val="36"/>
          <w:lang w:val="en-US" w:eastAsia="zh-CN"/>
        </w:rPr>
        <w:t>5</w:t>
      </w:r>
      <w:r>
        <w:rPr>
          <w:rFonts w:asciiTheme="minorEastAsia" w:hAnsiTheme="minorEastAsia"/>
          <w:sz w:val="28"/>
          <w:szCs w:val="36"/>
        </w:rPr>
        <w:t>月</w:t>
      </w:r>
      <w:r>
        <w:rPr>
          <w:rFonts w:hint="eastAsia" w:asciiTheme="minorEastAsia" w:hAnsiTheme="minorEastAsia"/>
          <w:sz w:val="28"/>
          <w:szCs w:val="36"/>
          <w:lang w:val="en-US" w:eastAsia="zh-CN"/>
        </w:rPr>
        <w:t>4</w:t>
      </w:r>
      <w:r>
        <w:rPr>
          <w:rFonts w:asciiTheme="minorEastAsia" w:hAnsiTheme="minorEastAsia"/>
          <w:sz w:val="28"/>
          <w:szCs w:val="36"/>
        </w:rPr>
        <w:t>日</w:t>
      </w:r>
      <w:r>
        <w:rPr>
          <w:rFonts w:hint="eastAsia" w:asciiTheme="minorEastAsia" w:hAnsiTheme="minorEastAsia"/>
          <w:sz w:val="28"/>
          <w:szCs w:val="36"/>
          <w:lang w:val="en-US" w:eastAsia="zh-CN"/>
        </w:rPr>
        <w:t>至2023年6月16日</w:t>
      </w:r>
    </w:p>
    <w:p>
      <w:pPr>
        <w:pStyle w:val="4"/>
        <w:numPr>
          <w:ilvl w:val="0"/>
          <w:numId w:val="1"/>
        </w:numPr>
        <w:spacing w:before="0" w:after="0"/>
        <w:rPr>
          <w:rFonts w:ascii="黑体" w:hAnsi="黑体" w:eastAsia="黑体"/>
        </w:rPr>
      </w:pPr>
      <w:bookmarkStart w:id="5" w:name="_Toc14143"/>
      <w:r>
        <w:rPr>
          <w:rFonts w:hint="eastAsia" w:ascii="黑体" w:hAnsi="黑体" w:eastAsia="黑体"/>
        </w:rPr>
        <w:t>活动主办单位</w:t>
      </w:r>
      <w:bookmarkEnd w:id="5"/>
    </w:p>
    <w:p>
      <w:pPr>
        <w:ind w:firstLine="560" w:firstLineChars="200"/>
        <w:rPr>
          <w:rFonts w:asciiTheme="minorEastAsia" w:hAnsiTheme="minorEastAsia"/>
          <w:sz w:val="28"/>
          <w:szCs w:val="36"/>
        </w:rPr>
      </w:pPr>
      <w:r>
        <w:rPr>
          <w:rFonts w:hint="eastAsia" w:asciiTheme="minorEastAsia" w:hAnsiTheme="minorEastAsia"/>
          <w:sz w:val="28"/>
          <w:szCs w:val="36"/>
        </w:rPr>
        <w:t>华中科技大学光学与电子信息学院学业支持发展中心</w:t>
      </w:r>
    </w:p>
    <w:p>
      <w:pPr>
        <w:pStyle w:val="4"/>
        <w:numPr>
          <w:ilvl w:val="0"/>
          <w:numId w:val="1"/>
        </w:numPr>
        <w:spacing w:before="0" w:after="0"/>
        <w:rPr>
          <w:rFonts w:ascii="黑体" w:hAnsi="黑体" w:eastAsia="黑体"/>
        </w:rPr>
      </w:pPr>
      <w:bookmarkStart w:id="6" w:name="_Toc23190"/>
      <w:r>
        <w:rPr>
          <w:rFonts w:hint="eastAsia" w:ascii="黑体" w:hAnsi="黑体" w:eastAsia="黑体"/>
        </w:rPr>
        <w:t>活动目的</w:t>
      </w:r>
      <w:bookmarkEnd w:id="6"/>
    </w:p>
    <w:p>
      <w:pPr>
        <w:spacing w:line="360" w:lineRule="auto"/>
        <w:ind w:firstLine="560" w:firstLineChars="200"/>
        <w:rPr>
          <w:rFonts w:hint="default" w:asciiTheme="minorEastAsia" w:hAnsiTheme="minorEastAsia" w:eastAsia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</w:rPr>
        <w:t>为鼓励我院同学积极报名备考6月份的四六级考试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，营造</w:t>
      </w:r>
      <w:r>
        <w:rPr>
          <w:rFonts w:hint="eastAsia" w:asciiTheme="minorEastAsia" w:hAnsiTheme="minorEastAsia"/>
          <w:sz w:val="28"/>
          <w:szCs w:val="28"/>
        </w:rPr>
        <w:t>我院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优良的</w:t>
      </w:r>
      <w:r>
        <w:rPr>
          <w:rFonts w:hint="eastAsia" w:asciiTheme="minorEastAsia" w:hAnsiTheme="minorEastAsia"/>
          <w:sz w:val="28"/>
          <w:szCs w:val="28"/>
        </w:rPr>
        <w:t>学习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氛围</w:t>
      </w:r>
      <w:r>
        <w:rPr>
          <w:rFonts w:hint="eastAsia" w:asciiTheme="minorEastAsia" w:hAnsiTheme="minorEastAsia"/>
          <w:sz w:val="28"/>
          <w:szCs w:val="28"/>
        </w:rPr>
        <w:t>，发扬“学在华中大”的求知精神</w:t>
      </w:r>
      <w:r>
        <w:rPr>
          <w:rFonts w:hint="eastAsia" w:asciiTheme="minorEastAsia" w:hAnsi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同时</w:t>
      </w:r>
      <w:r>
        <w:rPr>
          <w:rFonts w:hint="eastAsia" w:asciiTheme="minorEastAsia" w:hAnsiTheme="minorEastAsia"/>
          <w:sz w:val="28"/>
          <w:szCs w:val="28"/>
        </w:rPr>
        <w:t>落实构建好专项工作有落实、体系完善有制度、学风建设有成效、学业帮扶有保障的学业中心工作职能</w:t>
      </w:r>
      <w:r>
        <w:rPr>
          <w:rFonts w:hint="eastAsia" w:asciiTheme="minorEastAsia" w:hAnsi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/>
          <w:sz w:val="28"/>
          <w:szCs w:val="28"/>
        </w:rPr>
        <w:t>拟定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于</w:t>
      </w:r>
      <w:r>
        <w:rPr>
          <w:rFonts w:hint="eastAsia" w:asciiTheme="minorEastAsia" w:hAnsiTheme="minorEastAsia"/>
          <w:sz w:val="28"/>
          <w:szCs w:val="36"/>
          <w:lang w:val="en-US" w:eastAsia="zh-CN"/>
        </w:rPr>
        <w:t>5</w:t>
      </w:r>
      <w:r>
        <w:rPr>
          <w:rFonts w:asciiTheme="minorEastAsia" w:hAnsiTheme="minorEastAsia"/>
          <w:sz w:val="28"/>
          <w:szCs w:val="36"/>
        </w:rPr>
        <w:t>月</w:t>
      </w:r>
      <w:r>
        <w:rPr>
          <w:rFonts w:hint="eastAsia" w:asciiTheme="minorEastAsia" w:hAnsiTheme="minorEastAsia"/>
          <w:sz w:val="28"/>
          <w:szCs w:val="36"/>
          <w:lang w:val="en-US" w:eastAsia="zh-CN"/>
        </w:rPr>
        <w:t>4</w:t>
      </w:r>
      <w:r>
        <w:rPr>
          <w:rFonts w:asciiTheme="minorEastAsia" w:hAnsiTheme="minorEastAsia"/>
          <w:sz w:val="28"/>
          <w:szCs w:val="36"/>
        </w:rPr>
        <w:t>日</w:t>
      </w:r>
      <w:r>
        <w:rPr>
          <w:rFonts w:hint="eastAsia" w:asciiTheme="minorEastAsia" w:hAnsiTheme="minorEastAsia"/>
          <w:sz w:val="28"/>
          <w:szCs w:val="36"/>
          <w:lang w:val="en-US" w:eastAsia="zh-CN"/>
        </w:rPr>
        <w:t>至6月16日期间开展</w:t>
      </w:r>
      <w:r>
        <w:rPr>
          <w:rFonts w:hint="eastAsia"/>
          <w:sz w:val="28"/>
          <w:szCs w:val="36"/>
          <w:lang w:val="en-US" w:eastAsia="zh-CN"/>
        </w:rPr>
        <w:t>四六级打卡活动。</w:t>
      </w:r>
    </w:p>
    <w:p>
      <w:pPr>
        <w:widowControl/>
        <w:ind w:firstLine="560" w:firstLineChars="20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spacing w:before="0" w:after="0"/>
        <w:rPr>
          <w:rFonts w:ascii="黑体" w:hAnsi="黑体" w:eastAsia="黑体"/>
        </w:rPr>
      </w:pPr>
      <w:bookmarkStart w:id="7" w:name="_Toc28028"/>
      <w:r>
        <w:rPr>
          <w:rFonts w:hint="eastAsia" w:ascii="黑体" w:hAnsi="黑体" w:eastAsia="黑体"/>
        </w:rPr>
        <w:t>活动流程</w:t>
      </w:r>
      <w:bookmarkEnd w:id="7"/>
    </w:p>
    <w:p>
      <w:pPr>
        <w:jc w:val="center"/>
        <w:rPr>
          <w:rFonts w:ascii="方正小标宋简体" w:hAnsi="仿宋" w:eastAsia="方正小标宋简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仿宋" w:eastAsia="方正小标宋简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活动具体事项及细则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2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5812" w:type="dxa"/>
          </w:tcPr>
          <w:p>
            <w:pPr>
              <w:jc w:val="center"/>
              <w:rPr>
                <w:rFonts w:ascii="仿宋" w:hAnsi="仿宋" w:eastAsia="仿宋" w:cs="宋体"/>
                <w:b/>
                <w:bCs/>
                <w:sz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</w:rPr>
              <w:t>事项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ascii="仿宋" w:hAnsi="仿宋" w:eastAsia="仿宋" w:cs="宋体"/>
                <w:b/>
                <w:bCs/>
                <w:sz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</w:rPr>
              <w:t>具体注意事项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  <w:jc w:val="center"/>
        </w:trPr>
        <w:tc>
          <w:tcPr>
            <w:tcW w:w="5812" w:type="dxa"/>
          </w:tcPr>
          <w:p>
            <w:pPr>
              <w:rPr>
                <w:rFonts w:hint="default" w:ascii="仿宋" w:hAnsi="仿宋" w:eastAsia="仿宋" w:cs="宋体"/>
                <w:sz w:val="24"/>
                <w:lang w:val="en-US" w:eastAsia="zh-CN"/>
              </w:rPr>
            </w:pPr>
            <w:r>
              <w:rPr>
                <w:rFonts w:ascii="仿宋" w:hAnsi="仿宋" w:eastAsia="仿宋" w:cs="宋体"/>
                <w:sz w:val="24"/>
              </w:rPr>
              <w:t>1.</w:t>
            </w:r>
            <w:r>
              <w:rPr>
                <w:rFonts w:hint="eastAsia" w:ascii="仿宋" w:hAnsi="仿宋" w:eastAsia="仿宋" w:cs="宋体"/>
                <w:sz w:val="24"/>
                <w:lang w:val="en-US" w:eastAsia="zh-CN"/>
              </w:rPr>
              <w:t>活动开始前，预先准备好宣传推文和海报，吸引有意向参与活动的同学进群了解详情</w:t>
            </w:r>
          </w:p>
        </w:tc>
        <w:tc>
          <w:tcPr>
            <w:tcW w:w="2064" w:type="dxa"/>
          </w:tcPr>
          <w:p>
            <w:pPr>
              <w:rPr>
                <w:rFonts w:hint="default" w:ascii="仿宋" w:hAnsi="仿宋" w:eastAsia="仿宋" w:cs="宋体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lang w:val="en-US" w:eastAsia="zh-CN"/>
              </w:rPr>
              <w:t>提前组建打卡群和打卡表格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  <w:jc w:val="center"/>
        </w:trPr>
        <w:tc>
          <w:tcPr>
            <w:tcW w:w="5812" w:type="dxa"/>
          </w:tcPr>
          <w:p>
            <w:pPr>
              <w:rPr>
                <w:rFonts w:hint="default" w:ascii="仿宋" w:hAnsi="仿宋" w:eastAsia="仿宋" w:cs="宋体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</w:rPr>
              <w:t>2</w:t>
            </w:r>
            <w:r>
              <w:rPr>
                <w:rFonts w:ascii="仿宋" w:hAnsi="仿宋" w:eastAsia="仿宋" w:cs="宋体"/>
                <w:sz w:val="24"/>
              </w:rPr>
              <w:t>.</w:t>
            </w:r>
            <w:r>
              <w:rPr>
                <w:rFonts w:hint="eastAsia" w:ascii="仿宋" w:hAnsi="仿宋" w:eastAsia="仿宋" w:cs="宋体"/>
                <w:sz w:val="24"/>
                <w:lang w:val="en-US" w:eastAsia="zh-CN"/>
              </w:rPr>
              <w:t>在打卡过程中由部员在群内提醒大家完成打卡，并每日督察打卡结果并记录</w:t>
            </w:r>
          </w:p>
        </w:tc>
        <w:tc>
          <w:tcPr>
            <w:tcW w:w="2064" w:type="dxa"/>
          </w:tcPr>
          <w:p>
            <w:pP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4" w:hRule="atLeast"/>
          <w:jc w:val="center"/>
        </w:trPr>
        <w:tc>
          <w:tcPr>
            <w:tcW w:w="5812" w:type="dxa"/>
          </w:tcPr>
          <w:p>
            <w:pPr>
              <w:pStyle w:val="38"/>
              <w:ind w:firstLine="0" w:firstLineChars="0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ascii="仿宋" w:hAnsi="仿宋" w:eastAsia="仿宋" w:cs="宋体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 w:cs="宋体"/>
                <w:sz w:val="24"/>
                <w:szCs w:val="24"/>
              </w:rPr>
              <w:t>.</w:t>
            </w: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活动结束后，导出完成打卡的同学名单，颁发奖品和</w:t>
            </w:r>
          </w:p>
        </w:tc>
        <w:tc>
          <w:tcPr>
            <w:tcW w:w="2064" w:type="dxa"/>
          </w:tcPr>
          <w:p>
            <w:pPr>
              <w:rPr>
                <w:rFonts w:hint="default" w:ascii="仿宋" w:hAnsi="仿宋" w:eastAsia="仿宋" w:cs="宋体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lang w:val="en-US" w:eastAsia="zh-CN"/>
              </w:rPr>
              <w:t>提前准备好文创产品和相关奖品，</w:t>
            </w:r>
          </w:p>
        </w:tc>
      </w:tr>
    </w:tbl>
    <w:p>
      <w:pPr>
        <w:pStyle w:val="4"/>
        <w:numPr>
          <w:ilvl w:val="0"/>
          <w:numId w:val="1"/>
        </w:numPr>
        <w:spacing w:before="0" w:after="0"/>
        <w:rPr>
          <w:rFonts w:ascii="黑体" w:hAnsi="黑体" w:eastAsia="黑体"/>
          <w:sz w:val="36"/>
          <w:szCs w:val="36"/>
        </w:rPr>
      </w:pPr>
      <w:bookmarkStart w:id="8" w:name="_Toc27510"/>
      <w:r>
        <w:rPr>
          <w:rFonts w:hint="eastAsia" w:ascii="黑体" w:hAnsi="黑体" w:eastAsia="黑体"/>
          <w:sz w:val="36"/>
          <w:szCs w:val="36"/>
        </w:rPr>
        <w:t>准备工作</w:t>
      </w:r>
      <w:bookmarkEnd w:id="8"/>
    </w:p>
    <w:p/>
    <w:tbl>
      <w:tblPr>
        <w:tblStyle w:val="15"/>
        <w:tblpPr w:leftFromText="180" w:rightFromText="180" w:vertAnchor="text" w:tblpXSpec="center" w:tblpY="1"/>
        <w:tblOverlap w:val="never"/>
        <w:tblW w:w="9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3670"/>
        <w:gridCol w:w="1292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84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具体事项</w:t>
            </w:r>
          </w:p>
        </w:tc>
        <w:tc>
          <w:tcPr>
            <w:tcW w:w="367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细节</w:t>
            </w:r>
          </w:p>
        </w:tc>
        <w:tc>
          <w:tcPr>
            <w:tcW w:w="129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123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84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筹备活动并组建打卡群和打卡表</w:t>
            </w:r>
          </w:p>
        </w:tc>
        <w:tc>
          <w:tcPr>
            <w:tcW w:w="367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</w:p>
        </w:tc>
        <w:tc>
          <w:tcPr>
            <w:tcW w:w="129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应杰</w:t>
            </w:r>
          </w:p>
        </w:tc>
        <w:tc>
          <w:tcPr>
            <w:tcW w:w="123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84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设计活动海报和宣传文案</w:t>
            </w:r>
          </w:p>
        </w:tc>
        <w:tc>
          <w:tcPr>
            <w:tcW w:w="367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强调交流为主，在主校区东九楼，希望大家都协调时间参加</w:t>
            </w:r>
          </w:p>
        </w:tc>
        <w:tc>
          <w:tcPr>
            <w:tcW w:w="129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曹欣爽</w:t>
            </w:r>
          </w:p>
        </w:tc>
        <w:tc>
          <w:tcPr>
            <w:tcW w:w="123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84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相关</w:t>
            </w: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资料和文档的制作</w:t>
            </w:r>
          </w:p>
        </w:tc>
        <w:tc>
          <w:tcPr>
            <w:tcW w:w="367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打卡要求文件</w:t>
            </w:r>
          </w:p>
        </w:tc>
        <w:tc>
          <w:tcPr>
            <w:tcW w:w="129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eastAsia" w:ascii="仿宋" w:hAnsi="仿宋" w:eastAsia="仿宋" w:cs="宋体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梁鹤严</w:t>
            </w:r>
          </w:p>
        </w:tc>
        <w:tc>
          <w:tcPr>
            <w:tcW w:w="123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284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年级内宣传和活动推进</w:t>
            </w:r>
          </w:p>
        </w:tc>
        <w:tc>
          <w:tcPr>
            <w:tcW w:w="367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“光学与电子信息学业中心期末总结会议暨表彰大会”</w:t>
            </w:r>
          </w:p>
        </w:tc>
        <w:tc>
          <w:tcPr>
            <w:tcW w:w="129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应杰、</w:t>
            </w:r>
          </w:p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吴心怡</w:t>
            </w:r>
          </w:p>
        </w:tc>
        <w:tc>
          <w:tcPr>
            <w:tcW w:w="123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84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</w:pPr>
            <w:bookmarkStart w:id="10" w:name="_GoBack"/>
            <w:bookmarkEnd w:id="10"/>
            <w:r>
              <w:rPr>
                <w:rFonts w:hint="eastAsia" w:ascii="仿宋" w:hAnsi="仿宋" w:eastAsia="仿宋" w:cs="宋体"/>
                <w:sz w:val="24"/>
                <w:szCs w:val="24"/>
              </w:rPr>
              <w:t>购买</w:t>
            </w: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奖品</w:t>
            </w:r>
          </w:p>
        </w:tc>
        <w:tc>
          <w:tcPr>
            <w:tcW w:w="367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eastAsia" w:ascii="仿宋" w:hAnsi="仿宋" w:eastAsia="仿宋" w:cs="宋体"/>
                <w:sz w:val="24"/>
                <w:szCs w:val="24"/>
              </w:rPr>
            </w:pPr>
          </w:p>
        </w:tc>
        <w:tc>
          <w:tcPr>
            <w:tcW w:w="129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应杰</w:t>
            </w:r>
          </w:p>
        </w:tc>
        <w:tc>
          <w:tcPr>
            <w:tcW w:w="123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1</w:t>
            </w:r>
            <w:r>
              <w:rPr>
                <w:rFonts w:ascii="仿宋" w:hAnsi="仿宋" w:eastAsia="仿宋" w:cs="宋体"/>
                <w:sz w:val="24"/>
                <w:szCs w:val="24"/>
              </w:rPr>
              <w:t>2.28</w:t>
            </w:r>
          </w:p>
        </w:tc>
      </w:tr>
    </w:tbl>
    <w:p/>
    <w:p>
      <w:pPr>
        <w:pStyle w:val="4"/>
        <w:numPr>
          <w:ilvl w:val="0"/>
          <w:numId w:val="1"/>
        </w:numPr>
        <w:spacing w:before="0" w:after="0"/>
        <w:rPr>
          <w:rFonts w:ascii="黑体" w:hAnsi="黑体" w:eastAsia="黑体"/>
          <w:sz w:val="36"/>
          <w:szCs w:val="36"/>
        </w:rPr>
      </w:pPr>
      <w:bookmarkStart w:id="9" w:name="_Toc1338"/>
      <w:r>
        <w:rPr>
          <w:rFonts w:hint="eastAsia" w:ascii="黑体" w:hAnsi="黑体" w:eastAsia="黑体"/>
          <w:sz w:val="36"/>
          <w:szCs w:val="36"/>
        </w:rPr>
        <w:t>物资准备及预算</w:t>
      </w:r>
      <w:bookmarkEnd w:id="9"/>
    </w:p>
    <w:tbl>
      <w:tblPr>
        <w:tblStyle w:val="15"/>
        <w:tblW w:w="0" w:type="auto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015"/>
        <w:gridCol w:w="2052"/>
        <w:gridCol w:w="1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物品</w:t>
            </w:r>
          </w:p>
        </w:tc>
        <w:tc>
          <w:tcPr>
            <w:tcW w:w="2015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205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196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费用/元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帆布包</w:t>
            </w:r>
          </w:p>
        </w:tc>
        <w:tc>
          <w:tcPr>
            <w:tcW w:w="2015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1</w:t>
            </w:r>
            <w:r>
              <w:rPr>
                <w:rFonts w:ascii="仿宋" w:hAnsi="仿宋" w:eastAsia="仿宋" w:cs="宋体"/>
                <w:sz w:val="24"/>
                <w:szCs w:val="24"/>
              </w:rPr>
              <w:t>0</w:t>
            </w:r>
            <w:r>
              <w:rPr>
                <w:rFonts w:hint="eastAsia" w:ascii="仿宋" w:hAnsi="仿宋" w:eastAsia="仿宋" w:cs="宋体"/>
                <w:sz w:val="24"/>
                <w:szCs w:val="24"/>
              </w:rPr>
              <w:t>份</w:t>
            </w:r>
          </w:p>
        </w:tc>
        <w:tc>
          <w:tcPr>
            <w:tcW w:w="205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单价</w:t>
            </w: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仿宋" w:hAnsi="仿宋" w:eastAsia="仿宋" w:cs="宋体"/>
                <w:sz w:val="24"/>
                <w:szCs w:val="24"/>
              </w:rPr>
              <w:t>元</w:t>
            </w:r>
          </w:p>
        </w:tc>
        <w:tc>
          <w:tcPr>
            <w:tcW w:w="196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20</w:t>
            </w:r>
            <w:r>
              <w:rPr>
                <w:rFonts w:ascii="仿宋" w:hAnsi="仿宋" w:eastAsia="仿宋" w:cs="宋体"/>
                <w:sz w:val="24"/>
                <w:szCs w:val="24"/>
              </w:rPr>
              <w:t>0</w:t>
            </w:r>
            <w:r>
              <w:rPr>
                <w:rFonts w:hint="eastAsia" w:ascii="仿宋" w:hAnsi="仿宋" w:eastAsia="仿宋" w:cs="宋体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台灯</w:t>
            </w:r>
          </w:p>
        </w:tc>
        <w:tc>
          <w:tcPr>
            <w:tcW w:w="2015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1个</w:t>
            </w:r>
          </w:p>
        </w:tc>
        <w:tc>
          <w:tcPr>
            <w:tcW w:w="2052" w:type="dxa"/>
            <w:tcBorders>
              <w:tl2br w:val="single" w:color="auto" w:sz="4" w:space="0"/>
            </w:tcBorders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sz w:val="24"/>
                <w:szCs w:val="24"/>
              </w:rPr>
            </w:pPr>
          </w:p>
        </w:tc>
        <w:tc>
          <w:tcPr>
            <w:tcW w:w="196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2</w:t>
            </w:r>
            <w:r>
              <w:rPr>
                <w:rFonts w:ascii="仿宋" w:hAnsi="仿宋" w:eastAsia="仿宋" w:cs="宋体"/>
                <w:sz w:val="24"/>
                <w:szCs w:val="24"/>
              </w:rPr>
              <w:t>00</w:t>
            </w:r>
            <w:r>
              <w:rPr>
                <w:rFonts w:hint="eastAsia" w:ascii="仿宋" w:hAnsi="仿宋" w:eastAsia="仿宋" w:cs="宋体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打卡统计</w:t>
            </w:r>
            <w:r>
              <w:rPr>
                <w:rFonts w:hint="eastAsia" w:ascii="仿宋" w:hAnsi="仿宋" w:eastAsia="仿宋" w:cs="宋体"/>
                <w:sz w:val="24"/>
                <w:szCs w:val="24"/>
              </w:rPr>
              <w:t>表</w:t>
            </w:r>
          </w:p>
        </w:tc>
        <w:tc>
          <w:tcPr>
            <w:tcW w:w="2015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44张</w:t>
            </w:r>
          </w:p>
        </w:tc>
        <w:tc>
          <w:tcPr>
            <w:tcW w:w="205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提前一天打印好</w:t>
            </w:r>
          </w:p>
        </w:tc>
        <w:tc>
          <w:tcPr>
            <w:tcW w:w="196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8.8</w:t>
            </w:r>
            <w:r>
              <w:rPr>
                <w:rFonts w:hint="eastAsia" w:ascii="仿宋" w:hAnsi="仿宋" w:eastAsia="仿宋" w:cs="宋体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玩偶</w:t>
            </w:r>
          </w:p>
        </w:tc>
        <w:tc>
          <w:tcPr>
            <w:tcW w:w="2015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5个</w:t>
            </w:r>
          </w:p>
        </w:tc>
        <w:tc>
          <w:tcPr>
            <w:tcW w:w="205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单价 45 元</w:t>
            </w:r>
          </w:p>
        </w:tc>
        <w:tc>
          <w:tcPr>
            <w:tcW w:w="196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225元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书签</w:t>
            </w:r>
          </w:p>
        </w:tc>
        <w:tc>
          <w:tcPr>
            <w:tcW w:w="2015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20个</w:t>
            </w:r>
          </w:p>
        </w:tc>
        <w:tc>
          <w:tcPr>
            <w:tcW w:w="205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单价 10元</w:t>
            </w:r>
          </w:p>
        </w:tc>
        <w:tc>
          <w:tcPr>
            <w:tcW w:w="196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200元</w:t>
            </w:r>
          </w:p>
        </w:tc>
      </w:tr>
    </w:tbl>
    <w:p>
      <w:r>
        <w:rPr>
          <w:rFonts w:hint="eastAsia"/>
        </w:rPr>
        <w:t>总费用：</w:t>
      </w:r>
      <w:r>
        <w:rPr>
          <w:rFonts w:hint="eastAsia"/>
          <w:lang w:val="en-US" w:eastAsia="zh-CN"/>
        </w:rPr>
        <w:t>833</w:t>
      </w:r>
      <w: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元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26" w:charSpace="0"/>
        </w:sectPr>
      </w:pPr>
    </w:p>
    <w:p>
      <w:pPr>
        <w:widowControl/>
        <w:spacing w:line="360" w:lineRule="auto"/>
        <w:jc w:val="left"/>
        <w:rPr>
          <w:rFonts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造字工房言宋（非商用）常规体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85512446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ascii="仿宋" w:hAnsi="仿宋" w:eastAsia="仿宋"/>
      </w:rPr>
    </w:pPr>
    <w:r>
      <w:rPr>
        <w:rFonts w:hint="eastAsia" w:ascii="仿宋" w:hAnsi="仿宋" w:eastAsia="仿宋"/>
        <w:sz w:val="20"/>
        <w:szCs w:val="20"/>
      </w:rPr>
      <w:t>华中科技大学光学与电子信息学院学业发展与支持中心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646C1"/>
    <w:multiLevelType w:val="multilevel"/>
    <w:tmpl w:val="11F646C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63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6BE41C55"/>
    <w:rsid w:val="0000334A"/>
    <w:rsid w:val="00012984"/>
    <w:rsid w:val="00015202"/>
    <w:rsid w:val="00031471"/>
    <w:rsid w:val="00035E44"/>
    <w:rsid w:val="00083C5C"/>
    <w:rsid w:val="0008792E"/>
    <w:rsid w:val="00091F1D"/>
    <w:rsid w:val="00092CFB"/>
    <w:rsid w:val="0009510A"/>
    <w:rsid w:val="000A04AC"/>
    <w:rsid w:val="000A61B7"/>
    <w:rsid w:val="000A6AA3"/>
    <w:rsid w:val="000C1F00"/>
    <w:rsid w:val="000F7637"/>
    <w:rsid w:val="001171FE"/>
    <w:rsid w:val="0012383C"/>
    <w:rsid w:val="00123D81"/>
    <w:rsid w:val="001301C8"/>
    <w:rsid w:val="00136109"/>
    <w:rsid w:val="00165137"/>
    <w:rsid w:val="00177F7A"/>
    <w:rsid w:val="001904B5"/>
    <w:rsid w:val="001966CC"/>
    <w:rsid w:val="001C420D"/>
    <w:rsid w:val="001C62FA"/>
    <w:rsid w:val="001D065B"/>
    <w:rsid w:val="001D77E3"/>
    <w:rsid w:val="001E26AE"/>
    <w:rsid w:val="001E5CB9"/>
    <w:rsid w:val="00200B52"/>
    <w:rsid w:val="002056C4"/>
    <w:rsid w:val="00206C57"/>
    <w:rsid w:val="002364B1"/>
    <w:rsid w:val="00241BDF"/>
    <w:rsid w:val="00244839"/>
    <w:rsid w:val="00261877"/>
    <w:rsid w:val="002728F7"/>
    <w:rsid w:val="002E1C9D"/>
    <w:rsid w:val="002E1FED"/>
    <w:rsid w:val="00312766"/>
    <w:rsid w:val="00320B18"/>
    <w:rsid w:val="003306F0"/>
    <w:rsid w:val="00330AAC"/>
    <w:rsid w:val="00330DBF"/>
    <w:rsid w:val="003378FA"/>
    <w:rsid w:val="00350F59"/>
    <w:rsid w:val="0035342B"/>
    <w:rsid w:val="0036423D"/>
    <w:rsid w:val="00364D88"/>
    <w:rsid w:val="00382026"/>
    <w:rsid w:val="003A7E25"/>
    <w:rsid w:val="003D1EC2"/>
    <w:rsid w:val="003E04C9"/>
    <w:rsid w:val="003E5CD5"/>
    <w:rsid w:val="003F2B65"/>
    <w:rsid w:val="003F4E01"/>
    <w:rsid w:val="003F50EB"/>
    <w:rsid w:val="003F5ED6"/>
    <w:rsid w:val="004111F8"/>
    <w:rsid w:val="00416616"/>
    <w:rsid w:val="004173AE"/>
    <w:rsid w:val="004513F7"/>
    <w:rsid w:val="00472F7D"/>
    <w:rsid w:val="004943DE"/>
    <w:rsid w:val="004A3FE7"/>
    <w:rsid w:val="004C0463"/>
    <w:rsid w:val="004D4F61"/>
    <w:rsid w:val="004E06AA"/>
    <w:rsid w:val="004F1D78"/>
    <w:rsid w:val="004F2483"/>
    <w:rsid w:val="004F46FE"/>
    <w:rsid w:val="004F5913"/>
    <w:rsid w:val="00510945"/>
    <w:rsid w:val="00516C5C"/>
    <w:rsid w:val="00525D4C"/>
    <w:rsid w:val="005330D4"/>
    <w:rsid w:val="005C2DE9"/>
    <w:rsid w:val="005D28C0"/>
    <w:rsid w:val="005D4E13"/>
    <w:rsid w:val="005D58AA"/>
    <w:rsid w:val="005D7FF0"/>
    <w:rsid w:val="005E1CEC"/>
    <w:rsid w:val="005F0658"/>
    <w:rsid w:val="005F5968"/>
    <w:rsid w:val="00605704"/>
    <w:rsid w:val="006073B8"/>
    <w:rsid w:val="0061278D"/>
    <w:rsid w:val="00622E9B"/>
    <w:rsid w:val="00634171"/>
    <w:rsid w:val="00635CA7"/>
    <w:rsid w:val="00645785"/>
    <w:rsid w:val="0065525F"/>
    <w:rsid w:val="00657509"/>
    <w:rsid w:val="00680394"/>
    <w:rsid w:val="00685FAF"/>
    <w:rsid w:val="006959BF"/>
    <w:rsid w:val="006A4B21"/>
    <w:rsid w:val="006A626B"/>
    <w:rsid w:val="006B47E8"/>
    <w:rsid w:val="006C3A33"/>
    <w:rsid w:val="006D1A15"/>
    <w:rsid w:val="006D1F9C"/>
    <w:rsid w:val="006E22D3"/>
    <w:rsid w:val="006E727C"/>
    <w:rsid w:val="006F1F98"/>
    <w:rsid w:val="00701985"/>
    <w:rsid w:val="007058E1"/>
    <w:rsid w:val="00707BA1"/>
    <w:rsid w:val="007203BD"/>
    <w:rsid w:val="007219B2"/>
    <w:rsid w:val="007413B6"/>
    <w:rsid w:val="007436B4"/>
    <w:rsid w:val="007436CA"/>
    <w:rsid w:val="00744A10"/>
    <w:rsid w:val="0075591D"/>
    <w:rsid w:val="007560E9"/>
    <w:rsid w:val="007615F6"/>
    <w:rsid w:val="00785AF9"/>
    <w:rsid w:val="00790583"/>
    <w:rsid w:val="00793FFE"/>
    <w:rsid w:val="007A3119"/>
    <w:rsid w:val="007B03CD"/>
    <w:rsid w:val="007B147F"/>
    <w:rsid w:val="007D0B93"/>
    <w:rsid w:val="007D1326"/>
    <w:rsid w:val="007E3723"/>
    <w:rsid w:val="007E5A42"/>
    <w:rsid w:val="007F0174"/>
    <w:rsid w:val="007F16C8"/>
    <w:rsid w:val="00803DD7"/>
    <w:rsid w:val="00813A5D"/>
    <w:rsid w:val="008229F9"/>
    <w:rsid w:val="00833CA7"/>
    <w:rsid w:val="00844926"/>
    <w:rsid w:val="008524F2"/>
    <w:rsid w:val="00857F89"/>
    <w:rsid w:val="00881D9C"/>
    <w:rsid w:val="00892983"/>
    <w:rsid w:val="008939FE"/>
    <w:rsid w:val="008A2C91"/>
    <w:rsid w:val="008A3533"/>
    <w:rsid w:val="008A4B21"/>
    <w:rsid w:val="008A68EC"/>
    <w:rsid w:val="008D191F"/>
    <w:rsid w:val="008E094B"/>
    <w:rsid w:val="008F069C"/>
    <w:rsid w:val="008F6ECC"/>
    <w:rsid w:val="00920116"/>
    <w:rsid w:val="00930033"/>
    <w:rsid w:val="0095671C"/>
    <w:rsid w:val="00976C0D"/>
    <w:rsid w:val="00984F44"/>
    <w:rsid w:val="00993CC4"/>
    <w:rsid w:val="009B71A1"/>
    <w:rsid w:val="009C212E"/>
    <w:rsid w:val="009C772C"/>
    <w:rsid w:val="009D0D53"/>
    <w:rsid w:val="009D34AE"/>
    <w:rsid w:val="009D75C7"/>
    <w:rsid w:val="009E1590"/>
    <w:rsid w:val="009E2168"/>
    <w:rsid w:val="009F50D4"/>
    <w:rsid w:val="00A170D8"/>
    <w:rsid w:val="00A202DD"/>
    <w:rsid w:val="00A3241F"/>
    <w:rsid w:val="00A3477F"/>
    <w:rsid w:val="00A37C6E"/>
    <w:rsid w:val="00A51FD2"/>
    <w:rsid w:val="00A73B0B"/>
    <w:rsid w:val="00A84E85"/>
    <w:rsid w:val="00AA227E"/>
    <w:rsid w:val="00AA6997"/>
    <w:rsid w:val="00AA6E55"/>
    <w:rsid w:val="00AB06C2"/>
    <w:rsid w:val="00AB0B8E"/>
    <w:rsid w:val="00AC07E5"/>
    <w:rsid w:val="00AC21F3"/>
    <w:rsid w:val="00AC4AA3"/>
    <w:rsid w:val="00AD4037"/>
    <w:rsid w:val="00AE0890"/>
    <w:rsid w:val="00AE0A5C"/>
    <w:rsid w:val="00AE1D50"/>
    <w:rsid w:val="00B04593"/>
    <w:rsid w:val="00B15129"/>
    <w:rsid w:val="00B43765"/>
    <w:rsid w:val="00B474FE"/>
    <w:rsid w:val="00B541F1"/>
    <w:rsid w:val="00B54D05"/>
    <w:rsid w:val="00B62676"/>
    <w:rsid w:val="00B66C6F"/>
    <w:rsid w:val="00B9378F"/>
    <w:rsid w:val="00B95646"/>
    <w:rsid w:val="00B97D0B"/>
    <w:rsid w:val="00BA4D69"/>
    <w:rsid w:val="00BB16E7"/>
    <w:rsid w:val="00BB1A1B"/>
    <w:rsid w:val="00BB4C3E"/>
    <w:rsid w:val="00BB6623"/>
    <w:rsid w:val="00BB79CC"/>
    <w:rsid w:val="00BC4FFE"/>
    <w:rsid w:val="00BC7C24"/>
    <w:rsid w:val="00BD1660"/>
    <w:rsid w:val="00BD1AF1"/>
    <w:rsid w:val="00BD1D03"/>
    <w:rsid w:val="00BD6FEF"/>
    <w:rsid w:val="00BE3690"/>
    <w:rsid w:val="00BE37C8"/>
    <w:rsid w:val="00BE45E9"/>
    <w:rsid w:val="00C038CA"/>
    <w:rsid w:val="00C249C6"/>
    <w:rsid w:val="00C24E81"/>
    <w:rsid w:val="00C361C7"/>
    <w:rsid w:val="00C373A7"/>
    <w:rsid w:val="00C43664"/>
    <w:rsid w:val="00C441CB"/>
    <w:rsid w:val="00C538E1"/>
    <w:rsid w:val="00C60EDC"/>
    <w:rsid w:val="00C66EDA"/>
    <w:rsid w:val="00C67F33"/>
    <w:rsid w:val="00C81B9C"/>
    <w:rsid w:val="00C86A96"/>
    <w:rsid w:val="00C9752A"/>
    <w:rsid w:val="00CA16BA"/>
    <w:rsid w:val="00CA3432"/>
    <w:rsid w:val="00CA37A6"/>
    <w:rsid w:val="00CC6C9B"/>
    <w:rsid w:val="00CD480D"/>
    <w:rsid w:val="00CD793C"/>
    <w:rsid w:val="00CE2478"/>
    <w:rsid w:val="00CE70EA"/>
    <w:rsid w:val="00D01204"/>
    <w:rsid w:val="00D04D64"/>
    <w:rsid w:val="00D12000"/>
    <w:rsid w:val="00D12D65"/>
    <w:rsid w:val="00D141E3"/>
    <w:rsid w:val="00D37703"/>
    <w:rsid w:val="00D66557"/>
    <w:rsid w:val="00DB21E9"/>
    <w:rsid w:val="00DB4473"/>
    <w:rsid w:val="00DB55CD"/>
    <w:rsid w:val="00DC1FE3"/>
    <w:rsid w:val="00DE172D"/>
    <w:rsid w:val="00DE4B59"/>
    <w:rsid w:val="00E016CE"/>
    <w:rsid w:val="00E047E2"/>
    <w:rsid w:val="00E124D8"/>
    <w:rsid w:val="00E26FEB"/>
    <w:rsid w:val="00E3095A"/>
    <w:rsid w:val="00E42116"/>
    <w:rsid w:val="00E50E8E"/>
    <w:rsid w:val="00E56E3D"/>
    <w:rsid w:val="00E61BB9"/>
    <w:rsid w:val="00E631CE"/>
    <w:rsid w:val="00E67E42"/>
    <w:rsid w:val="00E93104"/>
    <w:rsid w:val="00EA3DAB"/>
    <w:rsid w:val="00EC37D4"/>
    <w:rsid w:val="00EC39F9"/>
    <w:rsid w:val="00EC7328"/>
    <w:rsid w:val="00ED2625"/>
    <w:rsid w:val="00ED7A94"/>
    <w:rsid w:val="00EE3D0B"/>
    <w:rsid w:val="00F022B7"/>
    <w:rsid w:val="00F24BFC"/>
    <w:rsid w:val="00F273C1"/>
    <w:rsid w:val="00F31C73"/>
    <w:rsid w:val="00F36541"/>
    <w:rsid w:val="00F519D4"/>
    <w:rsid w:val="00F77BE3"/>
    <w:rsid w:val="00F8063C"/>
    <w:rsid w:val="00F92B80"/>
    <w:rsid w:val="00F96362"/>
    <w:rsid w:val="00FB2DC0"/>
    <w:rsid w:val="00FB5DCB"/>
    <w:rsid w:val="00FB657F"/>
    <w:rsid w:val="00FD266A"/>
    <w:rsid w:val="00FE0625"/>
    <w:rsid w:val="00FE4131"/>
    <w:rsid w:val="00FE4BD7"/>
    <w:rsid w:val="00FF1A21"/>
    <w:rsid w:val="16EF7402"/>
    <w:rsid w:val="1F253438"/>
    <w:rsid w:val="29743E25"/>
    <w:rsid w:val="35804216"/>
    <w:rsid w:val="41EB72E2"/>
    <w:rsid w:val="586B3A04"/>
    <w:rsid w:val="6BE4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3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5"/>
    <w:uiPriority w:val="0"/>
    <w:pPr>
      <w:jc w:val="left"/>
    </w:pPr>
  </w:style>
  <w:style w:type="paragraph" w:styleId="6">
    <w:name w:val="toc 3"/>
    <w:basedOn w:val="1"/>
    <w:next w:val="1"/>
    <w:uiPriority w:val="39"/>
    <w:pPr>
      <w:tabs>
        <w:tab w:val="left" w:pos="1680"/>
        <w:tab w:val="right" w:leader="dot" w:pos="8296"/>
      </w:tabs>
      <w:spacing w:line="360" w:lineRule="auto"/>
      <w:ind w:left="840" w:leftChars="400"/>
    </w:pPr>
    <w:rPr>
      <w:rFonts w:asciiTheme="minorEastAsia" w:hAnsiTheme="minorEastAsia"/>
      <w:sz w:val="24"/>
    </w:rPr>
  </w:style>
  <w:style w:type="paragraph" w:styleId="7">
    <w:name w:val="Date"/>
    <w:basedOn w:val="1"/>
    <w:next w:val="1"/>
    <w:link w:val="33"/>
    <w:uiPriority w:val="0"/>
    <w:pPr>
      <w:ind w:left="100" w:leftChars="2500"/>
    </w:pPr>
  </w:style>
  <w:style w:type="paragraph" w:styleId="8">
    <w:name w:val="Balloon Text"/>
    <w:basedOn w:val="1"/>
    <w:link w:val="24"/>
    <w:uiPriority w:val="0"/>
    <w:rPr>
      <w:sz w:val="18"/>
      <w:szCs w:val="18"/>
    </w:rPr>
  </w:style>
  <w:style w:type="paragraph" w:styleId="9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296"/>
      </w:tabs>
    </w:pPr>
    <w:rPr>
      <w:szCs w:val="2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  <w:rPr>
      <w:szCs w:val="22"/>
    </w:rPr>
  </w:style>
  <w:style w:type="paragraph" w:styleId="13">
    <w:name w:val="annotation subject"/>
    <w:basedOn w:val="5"/>
    <w:next w:val="5"/>
    <w:link w:val="26"/>
    <w:qFormat/>
    <w:uiPriority w:val="0"/>
    <w:rPr>
      <w:b/>
      <w:bCs/>
    </w:rPr>
  </w:style>
  <w:style w:type="table" w:styleId="15">
    <w:name w:val="Table Grid"/>
    <w:basedOn w:val="14"/>
    <w:qFormat/>
    <w:uiPriority w:val="3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qFormat/>
    <w:uiPriority w:val="99"/>
    <w:rPr>
      <w:color w:val="0000FF"/>
      <w:u w:val="single"/>
    </w:rPr>
  </w:style>
  <w:style w:type="character" w:styleId="19">
    <w:name w:val="annotation reference"/>
    <w:basedOn w:val="16"/>
    <w:qFormat/>
    <w:uiPriority w:val="0"/>
    <w:rPr>
      <w:sz w:val="21"/>
      <w:szCs w:val="21"/>
    </w:rPr>
  </w:style>
  <w:style w:type="character" w:customStyle="1" w:styleId="20">
    <w:name w:val="页眉 字符"/>
    <w:basedOn w:val="16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字符"/>
    <w:basedOn w:val="16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批注框文本 字符"/>
    <w:basedOn w:val="16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批注文字 字符"/>
    <w:basedOn w:val="16"/>
    <w:link w:val="5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6">
    <w:name w:val="批注主题 字符"/>
    <w:basedOn w:val="25"/>
    <w:link w:val="13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27">
    <w:name w:val="未处理的提及2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1 字符"/>
    <w:basedOn w:val="16"/>
    <w:link w:val="2"/>
    <w:qFormat/>
    <w:uiPriority w:val="9"/>
    <w:rPr>
      <w:rFonts w:asciiTheme="minorHAnsi" w:hAnsiTheme="minorHAnsi" w:cstheme="minorBidi"/>
      <w:b/>
      <w:bCs/>
      <w:kern w:val="44"/>
      <w:sz w:val="32"/>
      <w:szCs w:val="44"/>
    </w:rPr>
  </w:style>
  <w:style w:type="character" w:customStyle="1" w:styleId="29">
    <w:name w:val="标题 2 字符"/>
    <w:basedOn w:val="16"/>
    <w:link w:val="3"/>
    <w:qFormat/>
    <w:uiPriority w:val="9"/>
    <w:rPr>
      <w:rFonts w:asciiTheme="majorHAnsi" w:hAnsiTheme="majorHAnsi" w:cstheme="majorBidi"/>
      <w:b/>
      <w:bCs/>
      <w:kern w:val="2"/>
      <w:sz w:val="30"/>
      <w:szCs w:val="32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  <w:rPr>
      <w:szCs w:val="22"/>
    </w:rPr>
  </w:style>
  <w:style w:type="table" w:customStyle="1" w:styleId="31">
    <w:name w:val="网格表 4 - 着色 11"/>
    <w:basedOn w:val="14"/>
    <w:qFormat/>
    <w:uiPriority w:val="49"/>
    <w:rPr>
      <w:rFonts w:asciiTheme="minorHAnsi" w:hAnsiTheme="minorHAnsi" w:cstheme="minorBidi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33">
    <w:name w:val="日期 字符"/>
    <w:basedOn w:val="16"/>
    <w:link w:val="7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4">
    <w:name w:val="Unresolved Mention"/>
    <w:basedOn w:val="16"/>
    <w:semiHidden/>
    <w:unhideWhenUsed/>
    <w:uiPriority w:val="99"/>
    <w:rPr>
      <w:color w:val="605E5C"/>
      <w:shd w:val="clear" w:color="auto" w:fill="E1DFDD"/>
    </w:rPr>
  </w:style>
  <w:style w:type="paragraph" w:customStyle="1" w:styleId="35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6">
    <w:name w:val="TOC Heading"/>
    <w:basedOn w:val="2"/>
    <w:next w:val="1"/>
    <w:unhideWhenUsed/>
    <w:qFormat/>
    <w:uiPriority w:val="39"/>
    <w:pPr>
      <w:outlineLvl w:val="9"/>
    </w:pPr>
    <w:rPr>
      <w:rFonts w:eastAsiaTheme="minorEastAsia"/>
      <w:sz w:val="44"/>
    </w:rPr>
  </w:style>
  <w:style w:type="character" w:customStyle="1" w:styleId="37">
    <w:name w:val="标题 3 字符"/>
    <w:basedOn w:val="16"/>
    <w:link w:val="4"/>
    <w:uiPriority w:val="0"/>
    <w:rPr>
      <w:rFonts w:asciiTheme="minorHAnsi" w:hAnsiTheme="minorHAnsi" w:cstheme="minorBidi"/>
      <w:b/>
      <w:bCs/>
      <w:kern w:val="2"/>
      <w:sz w:val="32"/>
      <w:szCs w:val="32"/>
    </w:rPr>
  </w:style>
  <w:style w:type="paragraph" w:customStyle="1" w:styleId="38">
    <w:name w:val="列表段落1"/>
    <w:basedOn w:val="1"/>
    <w:qFormat/>
    <w:uiPriority w:val="34"/>
    <w:pPr>
      <w:ind w:firstLine="420" w:firstLineChars="200"/>
    </w:pPr>
    <w:rPr>
      <w:szCs w:val="22"/>
    </w:rPr>
  </w:style>
  <w:style w:type="paragraph" w:customStyle="1" w:styleId="39">
    <w:name w:val="列出段落4"/>
    <w:basedOn w:val="1"/>
    <w:qFormat/>
    <w:uiPriority w:val="99"/>
    <w:pPr>
      <w:ind w:firstLine="420" w:firstLineChars="200"/>
    </w:pPr>
    <w:rPr>
      <w:rFonts w:ascii="Calibri" w:hAnsi="Calibri" w:eastAsia="宋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04475-EC5F-4ECA-AFF2-803D48B2BA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434</Words>
  <Characters>2480</Characters>
  <Lines>20</Lines>
  <Paragraphs>5</Paragraphs>
  <TotalTime>92</TotalTime>
  <ScaleCrop>false</ScaleCrop>
  <LinksUpToDate>false</LinksUpToDate>
  <CharactersWithSpaces>2909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2021-03-15T10:23:00Z</dcterms:created>
  <dc:creator>24/7</dc:creator>
  <cp:lastModifiedBy>浩鸳.</cp:lastModifiedBy>
  <cp:lastPrinted>2021-01-21T01:56:00Z</cp:lastPrinted>
  <dcterms:modified xsi:type="dcterms:W3CDTF">2023-04-26T06:16:54Z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EF25A8DCA4FA4EF790F43BC4230DD941_12</vt:lpwstr>
  </property>
</Properties>
</file>