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黑体" w:eastAsia="黑体" w:cs="Times New Roman"/>
          <w:sz w:val="52"/>
          <w:szCs w:val="52"/>
        </w:rPr>
      </w:pPr>
      <w:r>
        <w:rPr>
          <w:rFonts w:ascii="黑体" w:hAnsi="黑体" w:eastAsia="黑体" w:cs="Times New Roman"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2459355</wp:posOffset>
            </wp:positionH>
            <wp:positionV relativeFrom="paragraph">
              <wp:posOffset>701040</wp:posOffset>
            </wp:positionV>
            <wp:extent cx="3147060" cy="647700"/>
            <wp:effectExtent l="0" t="0" r="0" b="0"/>
            <wp:wrapTight wrapText="bothSides">
              <wp:wrapPolygon>
                <wp:start x="0" y="0"/>
                <wp:lineTo x="0" y="20965"/>
                <wp:lineTo x="21443" y="20965"/>
                <wp:lineTo x="21443" y="0"/>
                <wp:lineTo x="0" y="0"/>
              </wp:wrapPolygon>
            </wp:wrapTight>
            <wp:docPr id="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64770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Times New Roman"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-351790</wp:posOffset>
            </wp:positionH>
            <wp:positionV relativeFrom="page">
              <wp:posOffset>1531620</wp:posOffset>
            </wp:positionV>
            <wp:extent cx="2676525" cy="830580"/>
            <wp:effectExtent l="0" t="0" r="9525" b="0"/>
            <wp:wrapTight wrapText="bothSides">
              <wp:wrapPolygon>
                <wp:start x="3382" y="0"/>
                <wp:lineTo x="2152" y="1982"/>
                <wp:lineTo x="307" y="6936"/>
                <wp:lineTo x="307" y="10899"/>
                <wp:lineTo x="1076" y="16844"/>
                <wp:lineTo x="2921" y="19817"/>
                <wp:lineTo x="3228" y="20807"/>
                <wp:lineTo x="5535" y="20807"/>
                <wp:lineTo x="9685" y="19817"/>
                <wp:lineTo x="21369" y="17835"/>
                <wp:lineTo x="21523" y="4954"/>
                <wp:lineTo x="5535" y="0"/>
                <wp:lineTo x="3382" y="0"/>
              </wp:wrapPolygon>
            </wp:wrapTight>
            <wp:docPr id="3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3058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光学与电子信息</w:t>
      </w:r>
      <w:r>
        <w:rPr>
          <w:rFonts w:hint="eastAsia" w:ascii="Times New Roman" w:hAnsi="Times New Roman" w:cs="Times New Roman"/>
          <w:b/>
          <w:sz w:val="52"/>
          <w:szCs w:val="52"/>
        </w:rPr>
        <w:t>学院</w:t>
      </w:r>
      <w:r>
        <w:rPr>
          <w:rFonts w:ascii="Times New Roman" w:hAnsi="Times New Roman" w:cs="Times New Roman"/>
          <w:b/>
          <w:sz w:val="52"/>
          <w:szCs w:val="52"/>
        </w:rPr>
        <w:t>学业发展与</w:t>
      </w:r>
    </w:p>
    <w:p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支持中心四六级打卡活动</w:t>
      </w:r>
    </w:p>
    <w:p>
      <w:pPr>
        <w:jc w:val="center"/>
        <w:rPr>
          <w:rFonts w:ascii="Times New Roman" w:hAnsi="Times New Roman" w:eastAsia="华文行楷" w:cs="Times New Roman"/>
          <w:b/>
          <w:sz w:val="160"/>
          <w:szCs w:val="22"/>
        </w:rPr>
      </w:pPr>
      <w:r>
        <w:rPr>
          <w:rFonts w:ascii="Times New Roman" w:hAnsi="Times New Roman" w:eastAsia="华文行楷" w:cs="Times New Roman"/>
          <w:b/>
          <w:sz w:val="160"/>
          <w:szCs w:val="22"/>
        </w:rPr>
        <w:t>策</w:t>
      </w:r>
    </w:p>
    <w:p>
      <w:pPr>
        <w:jc w:val="center"/>
        <w:rPr>
          <w:rFonts w:ascii="Times New Roman" w:hAnsi="Times New Roman" w:eastAsia="华文行楷" w:cs="Times New Roman"/>
          <w:b/>
          <w:sz w:val="160"/>
          <w:szCs w:val="22"/>
        </w:rPr>
      </w:pPr>
      <w:r>
        <w:rPr>
          <w:rFonts w:ascii="Times New Roman" w:hAnsi="Times New Roman" w:eastAsia="华文行楷" w:cs="Times New Roman"/>
          <w:b/>
          <w:sz w:val="160"/>
          <w:szCs w:val="22"/>
        </w:rPr>
        <w:t>划</w:t>
      </w:r>
    </w:p>
    <w:p>
      <w:pPr>
        <w:jc w:val="center"/>
        <w:rPr>
          <w:rFonts w:ascii="Times New Roman" w:hAnsi="Times New Roman" w:eastAsia="华文行楷" w:cs="Times New Roman"/>
          <w:b/>
          <w:sz w:val="160"/>
          <w:szCs w:val="22"/>
        </w:rPr>
      </w:pPr>
      <w:r>
        <w:rPr>
          <w:rFonts w:ascii="Times New Roman" w:hAnsi="Times New Roman" w:eastAsia="华文行楷" w:cs="Times New Roman"/>
          <w:b/>
          <w:sz w:val="160"/>
          <w:szCs w:val="22"/>
        </w:rPr>
        <w:t>书</w:t>
      </w:r>
    </w:p>
    <w:p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主办方：光学与电子信息学院学业发展与支持中心</w:t>
      </w:r>
    </w:p>
    <w:p>
      <w:pPr>
        <w:jc w:val="center"/>
        <w:rPr>
          <w:rFonts w:ascii="宋体" w:hAnsi="宋体" w:cs="Times New Roman"/>
          <w:b/>
          <w:sz w:val="30"/>
          <w:szCs w:val="30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26" w:charSpace="0"/>
        </w:sectPr>
      </w:pPr>
      <w:r>
        <w:rPr>
          <w:rFonts w:ascii="Times New Roman" w:hAnsi="Times New Roman" w:cs="Times New Roman"/>
          <w:b/>
          <w:sz w:val="30"/>
          <w:szCs w:val="30"/>
        </w:rPr>
        <w:t>2023 年 4 月</w:t>
      </w:r>
    </w:p>
    <w:p>
      <w:pPr>
        <w:rPr>
          <w:rFonts w:ascii="Times New Roman" w:hAnsi="Times New Roman" w:cs="Times New Roman"/>
          <w:b/>
          <w:sz w:val="30"/>
          <w:szCs w:val="30"/>
        </w:rPr>
      </w:pPr>
    </w:p>
    <w:p>
      <w:pPr>
        <w:pStyle w:val="36"/>
        <w:spacing w:before="0" w:after="0"/>
        <w:jc w:val="center"/>
        <w:rPr>
          <w:rFonts w:ascii="Times New Roman" w:hAnsi="Times New Roman" w:eastAsia="华文行楷" w:cs="Times New Roman"/>
          <w:color w:val="000000"/>
          <w:sz w:val="72"/>
          <w:szCs w:val="72"/>
          <w:lang w:val="zh-CN"/>
        </w:rPr>
      </w:pPr>
      <w:r>
        <w:rPr>
          <w:rFonts w:ascii="Times New Roman" w:hAnsi="Times New Roman" w:eastAsia="华文行楷" w:cs="Times New Roman"/>
          <w:color w:val="000000"/>
          <w:sz w:val="72"/>
          <w:szCs w:val="72"/>
          <w:lang w:val="zh-CN"/>
        </w:rPr>
        <w:t>目录</w:t>
      </w:r>
    </w:p>
    <w:p>
      <w:pPr>
        <w:pStyle w:val="6"/>
        <w:rPr>
          <w:rFonts w:asciiTheme="minorHAnsi" w:hAnsiTheme="minorHAnsi" w:eastAsiaTheme="minorEastAsia" w:cstheme="minorBidi"/>
          <w:sz w:val="21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"_Toc133570189" </w:instrText>
      </w:r>
      <w:r>
        <w:fldChar w:fldCharType="separate"/>
      </w:r>
      <w:r>
        <w:rPr>
          <w:rStyle w:val="18"/>
          <w:rFonts w:ascii="Times New Roman" w:hAnsi="Times New Roman" w:eastAsia="黑体" w:cs="Times New Roman"/>
        </w:rPr>
        <w:t>一、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8"/>
          <w:rFonts w:ascii="Times New Roman" w:hAnsi="Times New Roman" w:eastAsia="黑体" w:cs="Times New Roman"/>
        </w:rPr>
        <w:t>活动名称</w:t>
      </w:r>
      <w:r>
        <w:tab/>
      </w:r>
      <w:r>
        <w:fldChar w:fldCharType="begin"/>
      </w:r>
      <w:r>
        <w:instrText xml:space="preserve"> PAGEREF _Toc133570189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"_Toc133570190" </w:instrText>
      </w:r>
      <w:r>
        <w:fldChar w:fldCharType="separate"/>
      </w:r>
      <w:r>
        <w:rPr>
          <w:rStyle w:val="18"/>
          <w:rFonts w:ascii="Times New Roman" w:hAnsi="Times New Roman" w:eastAsia="黑体" w:cs="Times New Roman"/>
        </w:rPr>
        <w:t>二、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8"/>
          <w:rFonts w:ascii="Times New Roman" w:hAnsi="Times New Roman" w:eastAsia="黑体" w:cs="Times New Roman"/>
        </w:rPr>
        <w:t>活动对象</w:t>
      </w:r>
      <w:r>
        <w:tab/>
      </w:r>
      <w:r>
        <w:fldChar w:fldCharType="begin"/>
      </w:r>
      <w:r>
        <w:instrText xml:space="preserve"> PAGEREF _Toc133570190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"_Toc133570191" </w:instrText>
      </w:r>
      <w:r>
        <w:fldChar w:fldCharType="separate"/>
      </w:r>
      <w:r>
        <w:rPr>
          <w:rStyle w:val="18"/>
          <w:rFonts w:ascii="Times New Roman" w:hAnsi="Times New Roman" w:eastAsia="黑体" w:cs="Times New Roman"/>
        </w:rPr>
        <w:t>三、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8"/>
          <w:rFonts w:ascii="Times New Roman" w:hAnsi="Times New Roman" w:eastAsia="黑体" w:cs="Times New Roman"/>
        </w:rPr>
        <w:t>活动地点</w:t>
      </w:r>
      <w:r>
        <w:tab/>
      </w:r>
      <w:r>
        <w:fldChar w:fldCharType="begin"/>
      </w:r>
      <w:r>
        <w:instrText xml:space="preserve"> PAGEREF _Toc133570191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"_Toc133570192" </w:instrText>
      </w:r>
      <w:r>
        <w:fldChar w:fldCharType="separate"/>
      </w:r>
      <w:r>
        <w:rPr>
          <w:rStyle w:val="18"/>
          <w:rFonts w:ascii="Times New Roman" w:hAnsi="Times New Roman" w:eastAsia="黑体" w:cs="Times New Roman"/>
        </w:rPr>
        <w:t>四、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8"/>
          <w:rFonts w:ascii="Times New Roman" w:hAnsi="Times New Roman" w:eastAsia="黑体" w:cs="Times New Roman"/>
        </w:rPr>
        <w:t>活动时间</w:t>
      </w:r>
      <w:r>
        <w:tab/>
      </w:r>
      <w:r>
        <w:fldChar w:fldCharType="begin"/>
      </w:r>
      <w:r>
        <w:instrText xml:space="preserve"> PAGEREF _Toc133570192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"_Toc133570193" </w:instrText>
      </w:r>
      <w:r>
        <w:fldChar w:fldCharType="separate"/>
      </w:r>
      <w:r>
        <w:rPr>
          <w:rStyle w:val="18"/>
          <w:rFonts w:ascii="Times New Roman" w:hAnsi="Times New Roman" w:eastAsia="黑体" w:cs="Times New Roman"/>
        </w:rPr>
        <w:t>五、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8"/>
          <w:rFonts w:ascii="Times New Roman" w:hAnsi="Times New Roman" w:eastAsia="黑体" w:cs="Times New Roman"/>
        </w:rPr>
        <w:t>活动主办单位</w:t>
      </w:r>
      <w:r>
        <w:tab/>
      </w:r>
      <w:r>
        <w:fldChar w:fldCharType="begin"/>
      </w:r>
      <w:r>
        <w:instrText xml:space="preserve"> PAGEREF _Toc133570193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"_Toc133570194" </w:instrText>
      </w:r>
      <w:r>
        <w:fldChar w:fldCharType="separate"/>
      </w:r>
      <w:r>
        <w:rPr>
          <w:rStyle w:val="18"/>
          <w:rFonts w:ascii="Times New Roman" w:hAnsi="Times New Roman" w:eastAsia="黑体" w:cs="Times New Roman"/>
        </w:rPr>
        <w:t>六、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8"/>
          <w:rFonts w:ascii="Times New Roman" w:hAnsi="Times New Roman" w:eastAsia="黑体" w:cs="Times New Roman"/>
        </w:rPr>
        <w:t>活动目的</w:t>
      </w:r>
      <w:r>
        <w:tab/>
      </w:r>
      <w:r>
        <w:fldChar w:fldCharType="begin"/>
      </w:r>
      <w:r>
        <w:instrText xml:space="preserve"> PAGEREF _Toc133570194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"_Toc133570195" </w:instrText>
      </w:r>
      <w:r>
        <w:fldChar w:fldCharType="separate"/>
      </w:r>
      <w:r>
        <w:rPr>
          <w:rStyle w:val="18"/>
          <w:rFonts w:ascii="Times New Roman" w:hAnsi="Times New Roman" w:eastAsia="黑体" w:cs="Times New Roman"/>
        </w:rPr>
        <w:t>七、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8"/>
          <w:rFonts w:ascii="Times New Roman" w:hAnsi="Times New Roman" w:eastAsia="黑体" w:cs="Times New Roman"/>
        </w:rPr>
        <w:t>活动具体事项及细则</w:t>
      </w:r>
      <w:r>
        <w:tab/>
      </w:r>
      <w:r>
        <w:fldChar w:fldCharType="begin"/>
      </w:r>
      <w:r>
        <w:instrText xml:space="preserve"> PAGEREF _Toc133570195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"_Toc133570196" </w:instrText>
      </w:r>
      <w:r>
        <w:fldChar w:fldCharType="separate"/>
      </w:r>
      <w:r>
        <w:rPr>
          <w:rStyle w:val="18"/>
          <w:rFonts w:ascii="Times New Roman" w:hAnsi="Times New Roman" w:eastAsia="黑体" w:cs="Times New Roman"/>
        </w:rPr>
        <w:t>八、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8"/>
          <w:rFonts w:ascii="Times New Roman" w:hAnsi="Times New Roman" w:eastAsia="黑体" w:cs="Times New Roman"/>
        </w:rPr>
        <w:t>准备工作</w:t>
      </w:r>
      <w:r>
        <w:tab/>
      </w:r>
      <w:r>
        <w:fldChar w:fldCharType="begin"/>
      </w:r>
      <w:r>
        <w:instrText xml:space="preserve"> PAGEREF _Toc133570196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"_Toc133570197" </w:instrText>
      </w:r>
      <w:r>
        <w:fldChar w:fldCharType="separate"/>
      </w:r>
      <w:r>
        <w:rPr>
          <w:rStyle w:val="18"/>
          <w:rFonts w:ascii="Times New Roman" w:hAnsi="Times New Roman" w:eastAsia="黑体" w:cs="Times New Roman"/>
        </w:rPr>
        <w:t>九、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8"/>
          <w:rFonts w:ascii="Times New Roman" w:hAnsi="Times New Roman" w:eastAsia="黑体" w:cs="Times New Roman"/>
        </w:rPr>
        <w:t>物资准备及预算</w:t>
      </w:r>
      <w:r>
        <w:tab/>
      </w:r>
      <w:r>
        <w:fldChar w:fldCharType="begin"/>
      </w:r>
      <w:r>
        <w:instrText xml:space="preserve"> PAGEREF _Toc133570197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"_Toc133570198" </w:instrText>
      </w:r>
      <w:r>
        <w:fldChar w:fldCharType="separate"/>
      </w:r>
      <w:r>
        <w:rPr>
          <w:rStyle w:val="18"/>
          <w:rFonts w:ascii="Times New Roman" w:hAnsi="Times New Roman" w:eastAsia="黑体" w:cs="Times New Roman"/>
        </w:rPr>
        <w:t>十、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18"/>
          <w:rFonts w:ascii="Times New Roman" w:hAnsi="Times New Roman" w:eastAsia="黑体" w:cs="Times New Roman"/>
        </w:rPr>
        <w:t>附录</w:t>
      </w:r>
      <w:r>
        <w:tab/>
      </w:r>
      <w:r>
        <w:fldChar w:fldCharType="begin"/>
      </w:r>
      <w:r>
        <w:instrText xml:space="preserve"> PAGEREF _Toc133570198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spacing w:before="0" w:line="360" w:lineRule="auto"/>
        <w:ind w:left="420" w:leftChars="200"/>
        <w:jc w:val="center"/>
        <w:rPr>
          <w:rFonts w:ascii="Times New Roman" w:hAnsi="Times New Roman" w:cs="Times New Roman"/>
          <w:b/>
          <w:bCs/>
          <w:sz w:val="28"/>
          <w:szCs w:val="28"/>
          <w:lang w:val="zh-CN"/>
        </w:rPr>
      </w:pPr>
      <w:r>
        <w:rPr>
          <w:rFonts w:ascii="Times New Roman" w:hAnsi="Times New Roman" w:cs="Times New Roman"/>
          <w:bCs/>
          <w:szCs w:val="28"/>
          <w:lang w:val="zh-CN"/>
        </w:rPr>
        <w:fldChar w:fldCharType="end"/>
      </w:r>
    </w:p>
    <w:p>
      <w:pPr>
        <w:widowControl/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zh-CN"/>
        </w:rPr>
      </w:pPr>
      <w:r>
        <w:br w:type="page"/>
      </w:r>
    </w:p>
    <w:p>
      <w:pPr>
        <w:rPr>
          <w:rFonts w:ascii="Times New Roman" w:hAnsi="Times New Roman" w:cs="Times New Roman"/>
          <w:lang w:val="zh-CN"/>
        </w:rPr>
      </w:pPr>
    </w:p>
    <w:p>
      <w:pPr>
        <w:pStyle w:val="4"/>
        <w:numPr>
          <w:ilvl w:val="0"/>
          <w:numId w:val="1"/>
        </w:numPr>
        <w:spacing w:before="0" w:after="0"/>
        <w:rPr>
          <w:rFonts w:ascii="Times New Roman" w:hAnsi="Times New Roman" w:eastAsia="黑体" w:cs="Times New Roman"/>
        </w:rPr>
      </w:pPr>
      <w:bookmarkStart w:id="0" w:name="_Toc133570189"/>
      <w:r>
        <w:rPr>
          <w:rFonts w:ascii="Times New Roman" w:hAnsi="Times New Roman" w:eastAsia="黑体" w:cs="Times New Roman"/>
        </w:rPr>
        <w:t>活动名称</w:t>
      </w:r>
      <w:bookmarkEnd w:id="0"/>
    </w:p>
    <w:p>
      <w:pPr>
        <w:ind w:firstLine="560" w:firstLineChars="200"/>
        <w:rPr>
          <w:rFonts w:ascii="Times New Roman" w:hAnsi="Times New Roman" w:eastAsia="仿宋" w:cs="Times New Roman"/>
          <w:sz w:val="28"/>
          <w:szCs w:val="36"/>
        </w:rPr>
      </w:pPr>
      <w:r>
        <w:rPr>
          <w:rFonts w:ascii="Times New Roman" w:hAnsi="Times New Roman" w:eastAsia="仿宋" w:cs="Times New Roman"/>
          <w:sz w:val="28"/>
          <w:szCs w:val="36"/>
        </w:rPr>
        <w:t>光学与电子信息学院学业发展与支持中心四六级打卡活动</w:t>
      </w:r>
    </w:p>
    <w:p>
      <w:pPr>
        <w:pStyle w:val="4"/>
        <w:numPr>
          <w:ilvl w:val="0"/>
          <w:numId w:val="1"/>
        </w:numPr>
        <w:spacing w:before="0" w:after="0"/>
        <w:rPr>
          <w:rFonts w:ascii="Times New Roman" w:hAnsi="Times New Roman" w:eastAsia="黑体" w:cs="Times New Roman"/>
        </w:rPr>
      </w:pPr>
      <w:bookmarkStart w:id="1" w:name="_Toc133570190"/>
      <w:r>
        <w:rPr>
          <w:rFonts w:ascii="Times New Roman" w:hAnsi="Times New Roman" w:eastAsia="黑体" w:cs="Times New Roman"/>
        </w:rPr>
        <w:t>活动对象</w:t>
      </w:r>
      <w:bookmarkEnd w:id="1"/>
    </w:p>
    <w:p>
      <w:pPr>
        <w:ind w:firstLine="560" w:firstLineChars="200"/>
        <w:rPr>
          <w:rFonts w:ascii="Times New Roman" w:hAnsi="Times New Roman" w:eastAsia="仿宋" w:cs="Times New Roman"/>
          <w:sz w:val="28"/>
          <w:szCs w:val="36"/>
        </w:rPr>
      </w:pPr>
      <w:r>
        <w:rPr>
          <w:rFonts w:ascii="Times New Roman" w:hAnsi="Times New Roman" w:eastAsia="仿宋" w:cs="Times New Roman"/>
          <w:sz w:val="28"/>
          <w:szCs w:val="36"/>
        </w:rPr>
        <w:t>光电学院全体本科生</w:t>
      </w:r>
    </w:p>
    <w:p>
      <w:pPr>
        <w:pStyle w:val="4"/>
        <w:numPr>
          <w:ilvl w:val="0"/>
          <w:numId w:val="1"/>
        </w:numPr>
        <w:spacing w:before="0" w:after="0"/>
        <w:rPr>
          <w:rFonts w:ascii="Times New Roman" w:hAnsi="Times New Roman" w:eastAsia="黑体" w:cs="Times New Roman"/>
        </w:rPr>
      </w:pPr>
      <w:bookmarkStart w:id="2" w:name="_Toc133570191"/>
      <w:r>
        <w:rPr>
          <w:rFonts w:ascii="Times New Roman" w:hAnsi="Times New Roman" w:eastAsia="黑体" w:cs="Times New Roman"/>
        </w:rPr>
        <w:t>活动地点</w:t>
      </w:r>
      <w:bookmarkEnd w:id="2"/>
    </w:p>
    <w:p>
      <w:pPr>
        <w:ind w:firstLine="560" w:firstLineChars="200"/>
        <w:rPr>
          <w:rFonts w:ascii="Times New Roman" w:hAnsi="Times New Roman" w:eastAsia="仿宋" w:cs="Times New Roman"/>
          <w:sz w:val="28"/>
          <w:szCs w:val="36"/>
        </w:rPr>
      </w:pPr>
      <w:r>
        <w:rPr>
          <w:rFonts w:ascii="Times New Roman" w:hAnsi="Times New Roman" w:eastAsia="仿宋" w:cs="Times New Roman"/>
          <w:sz w:val="28"/>
          <w:szCs w:val="36"/>
        </w:rPr>
        <w:t>线上开展</w:t>
      </w:r>
    </w:p>
    <w:p>
      <w:pPr>
        <w:pStyle w:val="4"/>
        <w:numPr>
          <w:ilvl w:val="0"/>
          <w:numId w:val="1"/>
        </w:numPr>
        <w:spacing w:before="0" w:after="0"/>
        <w:rPr>
          <w:rFonts w:ascii="Times New Roman" w:hAnsi="Times New Roman" w:eastAsia="黑体" w:cs="Times New Roman"/>
        </w:rPr>
      </w:pPr>
      <w:bookmarkStart w:id="3" w:name="_Toc133570192"/>
      <w:r>
        <w:rPr>
          <w:rFonts w:ascii="Times New Roman" w:hAnsi="Times New Roman" w:eastAsia="黑体" w:cs="Times New Roman"/>
        </w:rPr>
        <w:t>活动时间</w:t>
      </w:r>
      <w:bookmarkEnd w:id="3"/>
    </w:p>
    <w:p>
      <w:pPr>
        <w:ind w:firstLine="560" w:firstLineChars="200"/>
        <w:rPr>
          <w:rFonts w:ascii="Times New Roman" w:hAnsi="Times New Roman" w:eastAsia="仿宋" w:cs="Times New Roman"/>
          <w:sz w:val="28"/>
          <w:szCs w:val="36"/>
        </w:rPr>
      </w:pPr>
      <w:r>
        <w:rPr>
          <w:rFonts w:ascii="Times New Roman" w:hAnsi="Times New Roman" w:eastAsia="仿宋" w:cs="Times New Roman"/>
          <w:sz w:val="28"/>
          <w:szCs w:val="36"/>
        </w:rPr>
        <w:t>2023年5月4日至2023年6月16日</w:t>
      </w:r>
    </w:p>
    <w:p>
      <w:pPr>
        <w:pStyle w:val="4"/>
        <w:numPr>
          <w:ilvl w:val="0"/>
          <w:numId w:val="1"/>
        </w:numPr>
        <w:spacing w:before="0" w:after="0"/>
        <w:rPr>
          <w:rFonts w:ascii="Times New Roman" w:hAnsi="Times New Roman" w:eastAsia="黑体" w:cs="Times New Roman"/>
        </w:rPr>
      </w:pPr>
      <w:bookmarkStart w:id="4" w:name="_Toc133570193"/>
      <w:r>
        <w:rPr>
          <w:rFonts w:ascii="Times New Roman" w:hAnsi="Times New Roman" w:eastAsia="黑体" w:cs="Times New Roman"/>
        </w:rPr>
        <w:t>活动主办单位</w:t>
      </w:r>
      <w:bookmarkEnd w:id="4"/>
    </w:p>
    <w:p>
      <w:pPr>
        <w:ind w:firstLine="560" w:firstLineChars="200"/>
        <w:rPr>
          <w:rFonts w:ascii="Times New Roman" w:hAnsi="Times New Roman" w:eastAsia="仿宋" w:cs="Times New Roman"/>
          <w:sz w:val="28"/>
          <w:szCs w:val="36"/>
        </w:rPr>
      </w:pPr>
      <w:r>
        <w:rPr>
          <w:rFonts w:ascii="Times New Roman" w:hAnsi="Times New Roman" w:eastAsia="仿宋" w:cs="Times New Roman"/>
          <w:sz w:val="28"/>
          <w:szCs w:val="36"/>
        </w:rPr>
        <w:t>华中科技大学光学与电子信息学院学业发展与支持中心</w:t>
      </w:r>
    </w:p>
    <w:p>
      <w:pPr>
        <w:pStyle w:val="4"/>
        <w:numPr>
          <w:ilvl w:val="0"/>
          <w:numId w:val="1"/>
        </w:numPr>
        <w:spacing w:before="0" w:after="0"/>
        <w:rPr>
          <w:rFonts w:ascii="Times New Roman" w:hAnsi="Times New Roman" w:eastAsia="黑体" w:cs="Times New Roman"/>
        </w:rPr>
      </w:pPr>
      <w:bookmarkStart w:id="5" w:name="_Toc133570194"/>
      <w:r>
        <w:rPr>
          <w:rFonts w:ascii="Times New Roman" w:hAnsi="Times New Roman" w:eastAsia="黑体" w:cs="Times New Roman"/>
        </w:rPr>
        <w:t>活动目的</w:t>
      </w:r>
      <w:bookmarkEnd w:id="5"/>
    </w:p>
    <w:p>
      <w:pPr>
        <w:ind w:firstLine="560" w:firstLineChars="200"/>
        <w:rPr>
          <w:rFonts w:ascii="Times New Roman" w:hAnsi="Times New Roman" w:eastAsia="仿宋" w:cs="Times New Roman"/>
          <w:sz w:val="28"/>
          <w:szCs w:val="28"/>
        </w:rPr>
      </w:pPr>
      <w:r>
        <w:rPr>
          <w:rFonts w:ascii="Times New Roman" w:hAnsi="Times New Roman" w:eastAsia="仿宋" w:cs="Times New Roman"/>
          <w:sz w:val="28"/>
          <w:szCs w:val="28"/>
        </w:rPr>
        <w:t>为鼓励我院同学积极报名备考6月份的四六级考试，营造我院优良的学习氛围，发扬“学在华中大”的求知精神，同时落实构建好专项工作有落实、体系完善有制度、学风建设有成效、学业帮扶有保障的学业中心工作职能。拟定于</w:t>
      </w:r>
      <w:r>
        <w:rPr>
          <w:rFonts w:ascii="Times New Roman" w:hAnsi="Times New Roman" w:eastAsia="仿宋" w:cs="Times New Roman"/>
          <w:sz w:val="28"/>
          <w:szCs w:val="36"/>
        </w:rPr>
        <w:t>5月4日至6月16日期间开展四六级打卡活动。</w:t>
      </w:r>
    </w:p>
    <w:p>
      <w:pPr>
        <w:pStyle w:val="4"/>
        <w:numPr>
          <w:ilvl w:val="0"/>
          <w:numId w:val="1"/>
        </w:numPr>
        <w:spacing w:before="0" w:after="0"/>
        <w:rPr>
          <w:rFonts w:ascii="Times New Roman" w:hAnsi="Times New Roman" w:eastAsia="黑体" w:cs="Times New Roman"/>
        </w:rPr>
      </w:pPr>
      <w:bookmarkStart w:id="6" w:name="_Toc133570195"/>
      <w:r>
        <w:rPr>
          <w:rFonts w:ascii="Times New Roman" w:hAnsi="Times New Roman" w:eastAsia="黑体" w:cs="Times New Roman"/>
        </w:rPr>
        <w:t>活动具体事项及细则</w:t>
      </w:r>
      <w:bookmarkEnd w:id="6"/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2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5812" w:type="dxa"/>
          </w:tcPr>
          <w:p>
            <w:pPr>
              <w:jc w:val="center"/>
              <w:rPr>
                <w:rFonts w:ascii="Times New Roman" w:hAnsi="Times New Roman" w:eastAsia="仿宋" w:cs="Times New Roman"/>
                <w:b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/>
                <w:bCs/>
                <w:sz w:val="24"/>
              </w:rPr>
              <w:t>事项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ascii="Times New Roman" w:hAnsi="Times New Roman" w:eastAsia="仿宋" w:cs="Times New Roman"/>
                <w:b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/>
                <w:bCs/>
                <w:sz w:val="24"/>
              </w:rPr>
              <w:t>具体注意事项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  <w:jc w:val="center"/>
        </w:trPr>
        <w:tc>
          <w:tcPr>
            <w:tcW w:w="5812" w:type="dxa"/>
          </w:tcPr>
          <w:p>
            <w:pPr>
              <w:rPr>
                <w:rFonts w:ascii="Times New Roman" w:hAnsi="Times New Roman" w:eastAsia="仿宋" w:cs="Times New Roman"/>
                <w:sz w:val="24"/>
              </w:rPr>
            </w:pPr>
            <w:r>
              <w:rPr>
                <w:rFonts w:ascii="Times New Roman" w:hAnsi="Times New Roman" w:eastAsia="仿宋" w:cs="Times New Roman"/>
                <w:sz w:val="24"/>
              </w:rPr>
              <w:t>1.活动开始前，预先准备好宣传推文和海报，吸引有意向参与活动的同学进群了解详情</w:t>
            </w:r>
          </w:p>
        </w:tc>
        <w:tc>
          <w:tcPr>
            <w:tcW w:w="2064" w:type="dxa"/>
          </w:tcPr>
          <w:p>
            <w:pPr>
              <w:rPr>
                <w:rFonts w:ascii="Times New Roman" w:hAnsi="Times New Roman" w:eastAsia="仿宋" w:cs="Times New Roman"/>
                <w:sz w:val="24"/>
              </w:rPr>
            </w:pPr>
            <w:r>
              <w:rPr>
                <w:rFonts w:ascii="Times New Roman" w:hAnsi="Times New Roman" w:eastAsia="仿宋" w:cs="Times New Roman"/>
                <w:sz w:val="24"/>
              </w:rPr>
              <w:t>提前组建打卡群和打卡表格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  <w:jc w:val="center"/>
        </w:trPr>
        <w:tc>
          <w:tcPr>
            <w:tcW w:w="5812" w:type="dxa"/>
          </w:tcPr>
          <w:p>
            <w:pPr>
              <w:rPr>
                <w:rFonts w:ascii="Times New Roman" w:hAnsi="Times New Roman" w:eastAsia="仿宋" w:cs="Times New Roman"/>
                <w:sz w:val="24"/>
              </w:rPr>
            </w:pPr>
            <w:r>
              <w:rPr>
                <w:rFonts w:ascii="Times New Roman" w:hAnsi="Times New Roman" w:eastAsia="仿宋" w:cs="Times New Roman"/>
                <w:sz w:val="24"/>
              </w:rPr>
              <w:t>2.在打卡过程中由部员在群内提醒大家完成打卡（利用收集表上传截图的形式，标明打卡日期和坚持天数）。由督察员每日督察打卡结果并记录</w:t>
            </w:r>
          </w:p>
        </w:tc>
        <w:tc>
          <w:tcPr>
            <w:tcW w:w="2064" w:type="dxa"/>
          </w:tcPr>
          <w:p>
            <w:pPr>
              <w:rPr>
                <w:rFonts w:ascii="Times New Roman" w:hAnsi="Times New Roman" w:eastAsia="仿宋" w:cs="Times New Roman"/>
                <w:color w:val="000000"/>
                <w:sz w:val="24"/>
              </w:rPr>
            </w:pPr>
            <w:r>
              <w:rPr>
                <w:rFonts w:ascii="Times New Roman" w:hAnsi="Times New Roman" w:eastAsia="仿宋" w:cs="Times New Roman"/>
                <w:color w:val="000000"/>
                <w:sz w:val="24"/>
              </w:rPr>
              <w:t>每天晚上6:30左右提醒</w:t>
            </w:r>
          </w:p>
        </w:tc>
      </w:tr>
    </w:tbl>
    <w:p>
      <w:pPr>
        <w:rPr>
          <w:rFonts w:ascii="Times New Roman" w:hAnsi="Times New Roman" w:eastAsia="仿宋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eastAsia="仿宋" w:cs="Times New Roman"/>
        </w:rPr>
        <w:t>(续表)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2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  <w:jc w:val="center"/>
        </w:trPr>
        <w:tc>
          <w:tcPr>
            <w:tcW w:w="5812" w:type="dxa"/>
          </w:tcPr>
          <w:p>
            <w:pPr>
              <w:pStyle w:val="38"/>
              <w:ind w:firstLine="0" w:firstLineChars="0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3.活动结束后，导出完成打卡的同学名单，通知并颁发奖品</w:t>
            </w:r>
          </w:p>
        </w:tc>
        <w:tc>
          <w:tcPr>
            <w:tcW w:w="2064" w:type="dxa"/>
          </w:tcPr>
          <w:p>
            <w:pPr>
              <w:rPr>
                <w:rFonts w:ascii="Times New Roman" w:hAnsi="Times New Roman" w:eastAsia="仿宋" w:cs="Times New Roman"/>
                <w:sz w:val="24"/>
              </w:rPr>
            </w:pPr>
            <w:r>
              <w:rPr>
                <w:rFonts w:ascii="Times New Roman" w:hAnsi="Times New Roman" w:eastAsia="仿宋" w:cs="Times New Roman"/>
                <w:sz w:val="24"/>
              </w:rPr>
              <w:t>提前准备好奖品</w:t>
            </w:r>
          </w:p>
        </w:tc>
      </w:tr>
    </w:tbl>
    <w:p>
      <w:pPr>
        <w:pStyle w:val="4"/>
        <w:numPr>
          <w:ilvl w:val="0"/>
          <w:numId w:val="1"/>
        </w:numPr>
        <w:spacing w:before="0" w:after="0"/>
        <w:rPr>
          <w:rFonts w:ascii="Times New Roman" w:hAnsi="Times New Roman" w:eastAsia="黑体" w:cs="Times New Roman"/>
          <w:sz w:val="36"/>
          <w:szCs w:val="36"/>
        </w:rPr>
      </w:pPr>
      <w:bookmarkStart w:id="7" w:name="_Toc133570196"/>
      <w:r>
        <w:rPr>
          <w:rFonts w:ascii="Times New Roman" w:hAnsi="Times New Roman" w:eastAsia="黑体" w:cs="Times New Roman"/>
          <w:sz w:val="36"/>
          <w:szCs w:val="36"/>
        </w:rPr>
        <w:t>准备工作</w:t>
      </w:r>
      <w:bookmarkEnd w:id="7"/>
    </w:p>
    <w:p>
      <w:pPr>
        <w:rPr>
          <w:rFonts w:ascii="Times New Roman" w:hAnsi="Times New Roman" w:cs="Times New Roman"/>
        </w:rPr>
      </w:pPr>
    </w:p>
    <w:tbl>
      <w:tblPr>
        <w:tblStyle w:val="15"/>
        <w:tblpPr w:leftFromText="180" w:rightFromText="180" w:vertAnchor="text" w:tblpXSpec="center" w:tblpY="1"/>
        <w:tblOverlap w:val="never"/>
        <w:tblW w:w="90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6"/>
        <w:gridCol w:w="3670"/>
        <w:gridCol w:w="1292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84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  <w:t>具体事项</w:t>
            </w:r>
          </w:p>
        </w:tc>
        <w:tc>
          <w:tcPr>
            <w:tcW w:w="367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  <w:t>细节</w:t>
            </w:r>
          </w:p>
        </w:tc>
        <w:tc>
          <w:tcPr>
            <w:tcW w:w="129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123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84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筹备活动并组建打卡群和打卡表</w:t>
            </w:r>
          </w:p>
        </w:tc>
        <w:tc>
          <w:tcPr>
            <w:tcW w:w="367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提前建好群聊，设置好群公告，准确传达活动形式以及打卡方式</w:t>
            </w:r>
          </w:p>
        </w:tc>
        <w:tc>
          <w:tcPr>
            <w:tcW w:w="129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应杰</w:t>
            </w:r>
          </w:p>
        </w:tc>
        <w:tc>
          <w:tcPr>
            <w:tcW w:w="123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84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设计活动海报和宣传文案</w:t>
            </w:r>
          </w:p>
        </w:tc>
        <w:tc>
          <w:tcPr>
            <w:tcW w:w="367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宣传海报需在五一假期结束前提前打印好并张贴</w:t>
            </w:r>
          </w:p>
        </w:tc>
        <w:tc>
          <w:tcPr>
            <w:tcW w:w="129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曹欣爽</w:t>
            </w:r>
          </w:p>
        </w:tc>
        <w:tc>
          <w:tcPr>
            <w:tcW w:w="123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84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相关资料和文档的制作</w:t>
            </w:r>
          </w:p>
        </w:tc>
        <w:tc>
          <w:tcPr>
            <w:tcW w:w="367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打卡要求文件，包含打卡要求和评奖细则</w:t>
            </w:r>
          </w:p>
        </w:tc>
        <w:tc>
          <w:tcPr>
            <w:tcW w:w="129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梁鹤严</w:t>
            </w:r>
          </w:p>
        </w:tc>
        <w:tc>
          <w:tcPr>
            <w:tcW w:w="123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284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年级内宣传和活动推进</w:t>
            </w:r>
          </w:p>
        </w:tc>
        <w:tc>
          <w:tcPr>
            <w:tcW w:w="367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联系辅导员和年级助理，通过年级QQ群和公众号协同的方式宣传活动</w:t>
            </w:r>
          </w:p>
        </w:tc>
        <w:tc>
          <w:tcPr>
            <w:tcW w:w="129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应杰、</w:t>
            </w:r>
          </w:p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吴心怡</w:t>
            </w:r>
          </w:p>
        </w:tc>
        <w:tc>
          <w:tcPr>
            <w:tcW w:w="123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84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购买奖品</w:t>
            </w:r>
          </w:p>
        </w:tc>
        <w:tc>
          <w:tcPr>
            <w:tcW w:w="367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准备发票、清点奖品数量</w:t>
            </w:r>
          </w:p>
        </w:tc>
        <w:tc>
          <w:tcPr>
            <w:tcW w:w="129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应杰</w:t>
            </w:r>
          </w:p>
        </w:tc>
        <w:tc>
          <w:tcPr>
            <w:tcW w:w="1230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5.3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spacing w:before="0" w:after="0"/>
        <w:rPr>
          <w:rFonts w:ascii="Times New Roman" w:hAnsi="Times New Roman" w:eastAsia="黑体" w:cs="Times New Roman"/>
          <w:sz w:val="36"/>
          <w:szCs w:val="36"/>
        </w:rPr>
      </w:pPr>
      <w:bookmarkStart w:id="8" w:name="_Toc133570197"/>
      <w:r>
        <w:rPr>
          <w:rFonts w:ascii="Times New Roman" w:hAnsi="Times New Roman" w:eastAsia="黑体" w:cs="Times New Roman"/>
          <w:sz w:val="36"/>
          <w:szCs w:val="36"/>
        </w:rPr>
        <w:t>物资准备及预算</w:t>
      </w:r>
      <w:bookmarkEnd w:id="8"/>
    </w:p>
    <w:tbl>
      <w:tblPr>
        <w:tblStyle w:val="15"/>
        <w:tblW w:w="0" w:type="auto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015"/>
        <w:gridCol w:w="2052"/>
        <w:gridCol w:w="1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  <w:t>物品</w:t>
            </w:r>
          </w:p>
        </w:tc>
        <w:tc>
          <w:tcPr>
            <w:tcW w:w="2015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205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  <w:t>备注</w:t>
            </w:r>
          </w:p>
        </w:tc>
        <w:tc>
          <w:tcPr>
            <w:tcW w:w="196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Times New Roman"/>
                <w:b/>
                <w:bCs/>
                <w:sz w:val="24"/>
                <w:szCs w:val="24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Times New Roman"/>
                <w:sz w:val="24"/>
              </w:rPr>
              <w:t>文印材料</w:t>
            </w:r>
          </w:p>
        </w:tc>
        <w:tc>
          <w:tcPr>
            <w:tcW w:w="2015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/</w:t>
            </w:r>
          </w:p>
        </w:tc>
        <w:tc>
          <w:tcPr>
            <w:tcW w:w="2052" w:type="dxa"/>
          </w:tcPr>
          <w:p>
            <w:pPr>
              <w:pStyle w:val="39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>线下奖品领取表、宣传海报</w:t>
            </w:r>
          </w:p>
        </w:tc>
        <w:tc>
          <w:tcPr>
            <w:tcW w:w="196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125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运动手环</w:t>
            </w:r>
          </w:p>
        </w:tc>
        <w:tc>
          <w:tcPr>
            <w:tcW w:w="2015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个</w:t>
            </w:r>
          </w:p>
        </w:tc>
        <w:tc>
          <w:tcPr>
            <w:tcW w:w="205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单价160元</w:t>
            </w:r>
          </w:p>
        </w:tc>
        <w:tc>
          <w:tcPr>
            <w:tcW w:w="196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800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玩偶抱枕</w:t>
            </w:r>
          </w:p>
        </w:tc>
        <w:tc>
          <w:tcPr>
            <w:tcW w:w="2015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10个</w:t>
            </w:r>
          </w:p>
        </w:tc>
        <w:tc>
          <w:tcPr>
            <w:tcW w:w="2052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单价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27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元</w:t>
            </w:r>
          </w:p>
        </w:tc>
        <w:tc>
          <w:tcPr>
            <w:tcW w:w="1966" w:type="dxa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27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Align w:val="top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书签</w:t>
            </w:r>
          </w:p>
        </w:tc>
        <w:tc>
          <w:tcPr>
            <w:tcW w:w="2015" w:type="dxa"/>
            <w:vAlign w:val="top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25个</w:t>
            </w:r>
          </w:p>
        </w:tc>
        <w:tc>
          <w:tcPr>
            <w:tcW w:w="2052" w:type="dxa"/>
            <w:vAlign w:val="top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单价10元</w:t>
            </w:r>
          </w:p>
        </w:tc>
        <w:tc>
          <w:tcPr>
            <w:tcW w:w="1966" w:type="dxa"/>
            <w:vAlign w:val="top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250元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Align w:val="top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仿宋" w:cs="Times New Roman"/>
                <w:color w:val="000000"/>
                <w:sz w:val="24"/>
              </w:rPr>
              <w:t>纪念胸章</w:t>
            </w:r>
          </w:p>
        </w:tc>
        <w:tc>
          <w:tcPr>
            <w:tcW w:w="2015" w:type="dxa"/>
            <w:vAlign w:val="top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30个</w:t>
            </w:r>
          </w:p>
        </w:tc>
        <w:tc>
          <w:tcPr>
            <w:tcW w:w="2052" w:type="dxa"/>
            <w:vAlign w:val="top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单价5元</w:t>
            </w:r>
          </w:p>
        </w:tc>
        <w:tc>
          <w:tcPr>
            <w:tcW w:w="1966" w:type="dxa"/>
            <w:vAlign w:val="top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ascii="Times New Roman" w:hAnsi="Times New Roman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150元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Align w:val="top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Times New Roman" w:hAnsi="Times New Roman" w:eastAsia="仿宋" w:cs="Times New Roman"/>
                <w:color w:val="00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color w:val="000000"/>
                <w:sz w:val="24"/>
                <w:lang w:val="en-US" w:eastAsia="zh-CN"/>
              </w:rPr>
              <w:t>奖品分发袋</w:t>
            </w:r>
          </w:p>
        </w:tc>
        <w:tc>
          <w:tcPr>
            <w:tcW w:w="2015" w:type="dxa"/>
            <w:vAlign w:val="top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Times New Roman" w:hAnsi="Times New Roman" w:eastAsia="仿宋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1组</w:t>
            </w:r>
          </w:p>
        </w:tc>
        <w:tc>
          <w:tcPr>
            <w:tcW w:w="2052" w:type="dxa"/>
            <w:vAlign w:val="top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Times New Roman" w:hAnsi="Times New Roman" w:eastAsia="仿宋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奖品分类与分发</w:t>
            </w:r>
          </w:p>
        </w:tc>
        <w:tc>
          <w:tcPr>
            <w:tcW w:w="1966" w:type="dxa"/>
            <w:vAlign w:val="top"/>
          </w:tcPr>
          <w:p>
            <w:pPr>
              <w:pStyle w:val="39"/>
              <w:spacing w:line="360" w:lineRule="auto"/>
              <w:ind w:firstLine="0" w:firstLineChars="0"/>
              <w:jc w:val="left"/>
              <w:rPr>
                <w:rFonts w:hint="default" w:ascii="Times New Roman" w:hAnsi="Times New Roman" w:eastAsia="仿宋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16元</w:t>
            </w:r>
          </w:p>
        </w:tc>
      </w:tr>
    </w:tbl>
    <w:p>
      <w:pPr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>总费用：</w:t>
      </w:r>
      <w:r>
        <w:rPr>
          <w:rFonts w:hint="eastAsia" w:ascii="Times New Roman" w:hAnsi="Times New Roman" w:eastAsia="仿宋" w:cs="Times New Roman"/>
          <w:lang w:val="en-US" w:eastAsia="zh-CN"/>
        </w:rPr>
        <w:t>1611</w:t>
      </w:r>
      <w:bookmarkStart w:id="10" w:name="_GoBack"/>
      <w:bookmarkEnd w:id="10"/>
      <w:r>
        <w:rPr>
          <w:rFonts w:ascii="Times New Roman" w:hAnsi="Times New Roman" w:eastAsia="仿宋" w:cs="Times New Roman"/>
        </w:rPr>
        <w:t>元</w:t>
      </w:r>
    </w:p>
    <w:p>
      <w:pPr>
        <w:rPr>
          <w:rFonts w:ascii="Times New Roman" w:hAnsi="Times New Roman" w:cs="Times New Roman"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26" w:charSpace="0"/>
        </w:sectPr>
      </w:pPr>
    </w:p>
    <w:p>
      <w:pPr>
        <w:pStyle w:val="4"/>
        <w:numPr>
          <w:ilvl w:val="0"/>
          <w:numId w:val="1"/>
        </w:numPr>
        <w:spacing w:before="0" w:after="0"/>
        <w:rPr>
          <w:rFonts w:ascii="Times New Roman" w:hAnsi="Times New Roman" w:eastAsia="黑体" w:cs="Times New Roman"/>
          <w:sz w:val="36"/>
          <w:szCs w:val="36"/>
        </w:rPr>
      </w:pPr>
      <w:bookmarkStart w:id="9" w:name="_Toc133570198"/>
      <w:r>
        <w:rPr>
          <w:rFonts w:ascii="Times New Roman" w:hAnsi="Times New Roman" w:eastAsia="黑体" w:cs="Times New Roman"/>
          <w:sz w:val="36"/>
          <w:szCs w:val="36"/>
        </w:rPr>
        <w:t>附录</w:t>
      </w:r>
      <w:bookmarkEnd w:id="9"/>
    </w:p>
    <w:p>
      <w:pPr>
        <w:widowControl/>
        <w:spacing w:line="360" w:lineRule="auto"/>
        <w:ind w:firstLine="2161" w:firstLineChars="600"/>
        <w:jc w:val="left"/>
        <w:rPr>
          <w:rFonts w:ascii="Times New Roman" w:hAnsi="Times New Roman" w:eastAsia="方正小标宋_GBK" w:cs="Times New Roman"/>
          <w:b/>
          <w:bCs/>
          <w:sz w:val="36"/>
          <w:szCs w:val="44"/>
        </w:rPr>
      </w:pPr>
      <w:r>
        <w:rPr>
          <w:rFonts w:ascii="Times New Roman" w:hAnsi="Times New Roman" w:eastAsia="方正小标宋_GBK" w:cs="Times New Roman"/>
          <w:b/>
          <w:bCs/>
          <w:sz w:val="36"/>
          <w:szCs w:val="44"/>
        </w:rPr>
        <w:t>打卡活动奖项设置细则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eastAsia="仿宋" w:cs="Times New Roman"/>
                <w:b/>
                <w:bCs/>
                <w:sz w:val="36"/>
                <w:szCs w:val="44"/>
              </w:rPr>
            </w:pPr>
            <w:r>
              <w:rPr>
                <w:rFonts w:ascii="Times New Roman" w:hAnsi="Times New Roman" w:eastAsia="仿宋" w:cs="Times New Roman"/>
                <w:sz w:val="24"/>
              </w:rPr>
              <w:t xml:space="preserve">      获奖级别</w:t>
            </w:r>
          </w:p>
        </w:tc>
        <w:tc>
          <w:tcPr>
            <w:tcW w:w="284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eastAsia="方正小标宋_GBK" w:cs="Times New Roman"/>
                <w:b/>
                <w:bCs/>
                <w:sz w:val="36"/>
                <w:szCs w:val="44"/>
              </w:rPr>
            </w:pPr>
            <w:r>
              <w:rPr>
                <w:rFonts w:ascii="Times New Roman" w:hAnsi="Times New Roman" w:eastAsia="方正小标宋_GBK" w:cs="Times New Roman"/>
                <w:b/>
                <w:bCs/>
                <w:sz w:val="36"/>
                <w:szCs w:val="44"/>
              </w:rPr>
              <w:t xml:space="preserve"> </w:t>
            </w:r>
            <w:r>
              <w:rPr>
                <w:rFonts w:ascii="Times New Roman" w:hAnsi="Times New Roman" w:eastAsia="仿宋" w:cs="Times New Roman"/>
                <w:sz w:val="24"/>
              </w:rPr>
              <w:t xml:space="preserve">     获奖要求</w:t>
            </w:r>
          </w:p>
        </w:tc>
        <w:tc>
          <w:tcPr>
            <w:tcW w:w="2841" w:type="dxa"/>
          </w:tcPr>
          <w:p>
            <w:pPr>
              <w:widowControl/>
              <w:spacing w:line="360" w:lineRule="auto"/>
              <w:ind w:firstLine="720" w:firstLineChars="300"/>
              <w:jc w:val="left"/>
              <w:rPr>
                <w:rFonts w:ascii="Times New Roman" w:hAnsi="Times New Roman" w:eastAsia="方正小标宋_GBK" w:cs="Times New Roman"/>
                <w:b/>
                <w:bCs/>
                <w:sz w:val="36"/>
                <w:szCs w:val="44"/>
              </w:rPr>
            </w:pPr>
            <w:r>
              <w:rPr>
                <w:rFonts w:ascii="Times New Roman" w:hAnsi="Times New Roman" w:eastAsia="仿宋" w:cs="Times New Roman"/>
                <w:sz w:val="24"/>
              </w:rPr>
              <w:t>奖品数量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方正小标宋_GBK" w:cs="Times New Roman"/>
                <w:b/>
                <w:bCs/>
                <w:sz w:val="36"/>
                <w:szCs w:val="44"/>
              </w:rPr>
            </w:pPr>
            <w:r>
              <w:rPr>
                <w:rFonts w:ascii="Times New Roman" w:hAnsi="Times New Roman" w:eastAsia="仿宋" w:cs="Times New Roman"/>
                <w:sz w:val="24"/>
              </w:rPr>
              <w:t>特等奖</w:t>
            </w:r>
          </w:p>
        </w:tc>
        <w:tc>
          <w:tcPr>
            <w:tcW w:w="284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eastAsia="方正小标宋_GBK" w:cs="Times New Roman"/>
                <w:b/>
                <w:bCs/>
                <w:sz w:val="36"/>
                <w:szCs w:val="44"/>
              </w:rPr>
            </w:pPr>
            <w:r>
              <w:rPr>
                <w:rFonts w:ascii="Times New Roman" w:hAnsi="Times New Roman" w:eastAsia="仿宋" w:cs="Times New Roman"/>
                <w:sz w:val="24"/>
              </w:rPr>
              <w:t>活动期间每天都能坚持打卡</w:t>
            </w:r>
          </w:p>
        </w:tc>
        <w:tc>
          <w:tcPr>
            <w:tcW w:w="2841" w:type="dxa"/>
          </w:tcPr>
          <w:p>
            <w:pPr>
              <w:widowControl/>
              <w:spacing w:line="360" w:lineRule="auto"/>
              <w:ind w:firstLine="1200" w:firstLineChars="500"/>
              <w:jc w:val="left"/>
              <w:rPr>
                <w:rFonts w:ascii="Times New Roman" w:hAnsi="Times New Roman" w:eastAsia="方正小标宋_GBK" w:cs="Times New Roman"/>
                <w:b/>
                <w:bCs/>
                <w:sz w:val="36"/>
                <w:szCs w:val="44"/>
              </w:rPr>
            </w:pPr>
            <w:r>
              <w:rPr>
                <w:rFonts w:ascii="Times New Roman" w:hAnsi="Times New Roman" w:eastAsia="仿宋" w:cs="Times New Roman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方正小标宋_GBK" w:cs="Times New Roman"/>
                <w:b/>
                <w:bCs/>
                <w:sz w:val="36"/>
                <w:szCs w:val="44"/>
              </w:rPr>
            </w:pPr>
            <w:r>
              <w:rPr>
                <w:rFonts w:ascii="Times New Roman" w:hAnsi="Times New Roman" w:eastAsia="仿宋" w:cs="Times New Roman"/>
                <w:sz w:val="24"/>
              </w:rPr>
              <w:t>“打卡之星”奖</w:t>
            </w:r>
          </w:p>
        </w:tc>
        <w:tc>
          <w:tcPr>
            <w:tcW w:w="284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eastAsia="方正小标宋_GBK" w:cs="Times New Roman"/>
                <w:b/>
                <w:bCs/>
                <w:sz w:val="36"/>
                <w:szCs w:val="44"/>
              </w:rPr>
            </w:pPr>
            <w:r>
              <w:rPr>
                <w:rFonts w:ascii="Times New Roman" w:hAnsi="Times New Roman" w:eastAsia="仿宋" w:cs="Times New Roman"/>
                <w:sz w:val="24"/>
              </w:rPr>
              <w:t>活动期间内每天都能坚持打卡，且缺勤次数不超过2天</w:t>
            </w:r>
          </w:p>
        </w:tc>
        <w:tc>
          <w:tcPr>
            <w:tcW w:w="2841" w:type="dxa"/>
          </w:tcPr>
          <w:p>
            <w:pPr>
              <w:widowControl/>
              <w:spacing w:line="360" w:lineRule="auto"/>
              <w:ind w:firstLine="1200" w:firstLineChars="500"/>
              <w:jc w:val="left"/>
              <w:rPr>
                <w:rFonts w:ascii="Times New Roman" w:hAnsi="Times New Roman" w:eastAsia="方正小标宋_GBK" w:cs="Times New Roman"/>
                <w:b/>
                <w:bCs/>
                <w:sz w:val="36"/>
                <w:szCs w:val="44"/>
              </w:rPr>
            </w:pPr>
            <w:r>
              <w:rPr>
                <w:rFonts w:ascii="Times New Roman" w:hAnsi="Times New Roman" w:eastAsia="仿宋" w:cs="Times New Roman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方正小标宋_GBK" w:cs="Times New Roman"/>
                <w:b/>
                <w:bCs/>
                <w:sz w:val="36"/>
                <w:szCs w:val="44"/>
              </w:rPr>
            </w:pPr>
            <w:r>
              <w:rPr>
                <w:rFonts w:ascii="Times New Roman" w:hAnsi="Times New Roman" w:eastAsia="仿宋" w:cs="Times New Roman"/>
                <w:sz w:val="24"/>
              </w:rPr>
              <w:t>“贵在坚持”奖</w:t>
            </w:r>
          </w:p>
        </w:tc>
        <w:tc>
          <w:tcPr>
            <w:tcW w:w="284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eastAsia="方正小标宋_GBK" w:cs="Times New Roman"/>
                <w:b/>
                <w:bCs/>
                <w:sz w:val="36"/>
                <w:szCs w:val="44"/>
              </w:rPr>
            </w:pPr>
            <w:r>
              <w:rPr>
                <w:rFonts w:ascii="Times New Roman" w:hAnsi="Times New Roman" w:eastAsia="仿宋" w:cs="Times New Roman"/>
                <w:sz w:val="24"/>
              </w:rPr>
              <w:t>活动期间内连续打卡天数超过28天</w:t>
            </w:r>
          </w:p>
        </w:tc>
        <w:tc>
          <w:tcPr>
            <w:tcW w:w="2841" w:type="dxa"/>
          </w:tcPr>
          <w:p>
            <w:pPr>
              <w:widowControl/>
              <w:spacing w:line="360" w:lineRule="auto"/>
              <w:ind w:firstLine="1200" w:firstLineChars="500"/>
              <w:jc w:val="left"/>
              <w:rPr>
                <w:rFonts w:hint="default" w:ascii="Times New Roman" w:hAnsi="Times New Roman" w:eastAsia="仿宋" w:cs="Times New Roman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方正小标宋_GBK" w:cs="Times New Roman"/>
                <w:b/>
                <w:bCs/>
                <w:sz w:val="36"/>
                <w:szCs w:val="44"/>
              </w:rPr>
            </w:pPr>
            <w:r>
              <w:rPr>
                <w:rFonts w:ascii="Times New Roman" w:hAnsi="Times New Roman" w:eastAsia="仿宋" w:cs="Times New Roman"/>
                <w:sz w:val="24"/>
              </w:rPr>
              <w:t>“小试牛刀”奖</w:t>
            </w:r>
          </w:p>
        </w:tc>
        <w:tc>
          <w:tcPr>
            <w:tcW w:w="2841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eastAsia="方正小标宋_GBK" w:cs="Times New Roman"/>
                <w:b/>
                <w:bCs/>
                <w:sz w:val="36"/>
                <w:szCs w:val="44"/>
              </w:rPr>
            </w:pPr>
            <w:r>
              <w:rPr>
                <w:rFonts w:ascii="Times New Roman" w:hAnsi="Times New Roman" w:eastAsia="仿宋" w:cs="Times New Roman"/>
                <w:sz w:val="24"/>
              </w:rPr>
              <w:t>活动期间内连续打卡天数超过14天</w:t>
            </w:r>
          </w:p>
        </w:tc>
        <w:tc>
          <w:tcPr>
            <w:tcW w:w="2841" w:type="dxa"/>
          </w:tcPr>
          <w:p>
            <w:pPr>
              <w:widowControl/>
              <w:spacing w:line="360" w:lineRule="auto"/>
              <w:ind w:firstLine="1200" w:firstLineChars="500"/>
              <w:jc w:val="left"/>
              <w:rPr>
                <w:rFonts w:hint="default" w:ascii="Times New Roman" w:hAnsi="Times New Roman" w:eastAsia="仿宋" w:cs="Times New Roman"/>
                <w:b/>
                <w:bCs/>
                <w:sz w:val="36"/>
                <w:szCs w:val="4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lang w:val="en-US" w:eastAsia="zh-CN"/>
              </w:rPr>
              <w:t>30</w:t>
            </w:r>
          </w:p>
        </w:tc>
      </w:tr>
    </w:tbl>
    <w:p>
      <w:pPr>
        <w:widowControl/>
        <w:spacing w:line="360" w:lineRule="auto"/>
        <w:jc w:val="left"/>
        <w:rPr>
          <w:rFonts w:ascii="Times New Roman" w:hAnsi="Times New Roman" w:eastAsia="方正小标宋_GBK" w:cs="Times New Roman"/>
          <w:b/>
          <w:bCs/>
          <w:sz w:val="36"/>
          <w:szCs w:val="44"/>
        </w:rPr>
      </w:pPr>
    </w:p>
    <w:p>
      <w:pPr>
        <w:widowControl/>
        <w:spacing w:line="360" w:lineRule="auto"/>
        <w:jc w:val="left"/>
        <w:rPr>
          <w:rFonts w:ascii="Times New Roman" w:hAnsi="Times New Roman" w:eastAsia="仿宋_GB2312" w:cs="Times New Roman"/>
          <w:b/>
          <w:bCs/>
          <w:sz w:val="32"/>
          <w:szCs w:val="40"/>
        </w:rPr>
      </w:pPr>
      <w:r>
        <w:rPr>
          <w:rFonts w:ascii="Times New Roman" w:hAnsi="Times New Roman" w:eastAsia="仿宋_GB2312" w:cs="Times New Roman"/>
          <w:sz w:val="28"/>
          <w:szCs w:val="28"/>
        </w:rPr>
        <w:t>注：如果出现多位同学打卡天数相同，则取完成量更高的同学排在奖项前面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ascii="仿宋" w:hAnsi="仿宋" w:eastAsia="仿宋"/>
      </w:rPr>
    </w:pPr>
    <w:r>
      <w:rPr>
        <w:rFonts w:hint="eastAsia" w:ascii="仿宋" w:hAnsi="仿宋" w:eastAsia="仿宋"/>
        <w:sz w:val="20"/>
        <w:szCs w:val="20"/>
      </w:rPr>
      <w:t>华中科技大学光学与电子信息学院学业发展与支持中心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EF3C81"/>
    <w:multiLevelType w:val="multilevel"/>
    <w:tmpl w:val="2EEF3C8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E52F86"/>
    <w:rsid w:val="00131F52"/>
    <w:rsid w:val="00201653"/>
    <w:rsid w:val="00962585"/>
    <w:rsid w:val="00B63F1C"/>
    <w:rsid w:val="00C30F5E"/>
    <w:rsid w:val="00D22123"/>
    <w:rsid w:val="00E52F86"/>
    <w:rsid w:val="00EB70B2"/>
    <w:rsid w:val="29041764"/>
    <w:rsid w:val="77A7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0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5"/>
    <w:qFormat/>
    <w:uiPriority w:val="0"/>
    <w:pPr>
      <w:jc w:val="left"/>
    </w:pPr>
  </w:style>
  <w:style w:type="paragraph" w:styleId="6">
    <w:name w:val="toc 3"/>
    <w:basedOn w:val="1"/>
    <w:next w:val="1"/>
    <w:qFormat/>
    <w:uiPriority w:val="39"/>
    <w:pPr>
      <w:tabs>
        <w:tab w:val="left" w:pos="1680"/>
        <w:tab w:val="right" w:leader="dot" w:pos="8296"/>
      </w:tabs>
      <w:spacing w:line="360" w:lineRule="auto"/>
      <w:ind w:left="840" w:leftChars="400"/>
    </w:pPr>
    <w:rPr>
      <w:rFonts w:ascii="宋体" w:hAnsi="宋体"/>
      <w:sz w:val="24"/>
    </w:rPr>
  </w:style>
  <w:style w:type="paragraph" w:styleId="7">
    <w:name w:val="Date"/>
    <w:basedOn w:val="1"/>
    <w:next w:val="1"/>
    <w:link w:val="33"/>
    <w:qFormat/>
    <w:uiPriority w:val="0"/>
    <w:pPr>
      <w:ind w:left="100" w:leftChars="2500"/>
    </w:pPr>
  </w:style>
  <w:style w:type="paragraph" w:styleId="8">
    <w:name w:val="Balloon Text"/>
    <w:basedOn w:val="1"/>
    <w:link w:val="24"/>
    <w:qFormat/>
    <w:uiPriority w:val="0"/>
    <w:rPr>
      <w:sz w:val="18"/>
      <w:szCs w:val="18"/>
    </w:rPr>
  </w:style>
  <w:style w:type="paragraph" w:styleId="9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tabs>
        <w:tab w:val="right" w:leader="dot" w:pos="8296"/>
      </w:tabs>
    </w:pPr>
    <w:rPr>
      <w:szCs w:val="22"/>
    </w:rPr>
  </w:style>
  <w:style w:type="paragraph" w:styleId="12">
    <w:name w:val="toc 2"/>
    <w:basedOn w:val="1"/>
    <w:next w:val="1"/>
    <w:qFormat/>
    <w:uiPriority w:val="39"/>
    <w:pPr>
      <w:ind w:left="420" w:leftChars="200"/>
    </w:pPr>
    <w:rPr>
      <w:szCs w:val="22"/>
    </w:rPr>
  </w:style>
  <w:style w:type="paragraph" w:styleId="13">
    <w:name w:val="annotation subject"/>
    <w:basedOn w:val="5"/>
    <w:next w:val="5"/>
    <w:link w:val="26"/>
    <w:qFormat/>
    <w:uiPriority w:val="0"/>
    <w:rPr>
      <w:b/>
      <w:bCs/>
    </w:rPr>
  </w:style>
  <w:style w:type="table" w:styleId="15">
    <w:name w:val="Table Grid"/>
    <w:basedOn w:val="14"/>
    <w:qFormat/>
    <w:uiPriority w:val="3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qFormat/>
    <w:uiPriority w:val="0"/>
    <w:rPr>
      <w:color w:val="954F72"/>
      <w:u w:val="none"/>
    </w:rPr>
  </w:style>
  <w:style w:type="character" w:styleId="18">
    <w:name w:val="Hyperlink"/>
    <w:basedOn w:val="16"/>
    <w:qFormat/>
    <w:uiPriority w:val="99"/>
    <w:rPr>
      <w:color w:val="0000FF"/>
      <w:u w:val="none"/>
    </w:rPr>
  </w:style>
  <w:style w:type="character" w:styleId="19">
    <w:name w:val="annotation reference"/>
    <w:basedOn w:val="16"/>
    <w:qFormat/>
    <w:uiPriority w:val="0"/>
    <w:rPr>
      <w:sz w:val="21"/>
      <w:szCs w:val="21"/>
    </w:rPr>
  </w:style>
  <w:style w:type="character" w:customStyle="1" w:styleId="20">
    <w:name w:val="页眉 字符"/>
    <w:basedOn w:val="16"/>
    <w:link w:val="10"/>
    <w:qFormat/>
    <w:uiPriority w:val="99"/>
    <w:rPr>
      <w:rFonts w:ascii="Calibri" w:hAnsi="Calibri" w:eastAsia="宋体" w:cs="宋体"/>
      <w:kern w:val="2"/>
      <w:sz w:val="18"/>
      <w:szCs w:val="18"/>
    </w:rPr>
  </w:style>
  <w:style w:type="character" w:customStyle="1" w:styleId="21">
    <w:name w:val="页脚 字符"/>
    <w:basedOn w:val="16"/>
    <w:link w:val="9"/>
    <w:qFormat/>
    <w:uiPriority w:val="99"/>
    <w:rPr>
      <w:rFonts w:ascii="Calibri" w:hAnsi="Calibri" w:eastAsia="宋体" w:cs="宋体"/>
      <w:kern w:val="2"/>
      <w:sz w:val="18"/>
      <w:szCs w:val="18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未处理的提及1"/>
    <w:basedOn w:val="16"/>
    <w:qFormat/>
    <w:uiPriority w:val="99"/>
    <w:rPr>
      <w:color w:val="605E5C"/>
      <w:shd w:val="clear" w:color="auto" w:fill="E1DFDD"/>
    </w:rPr>
  </w:style>
  <w:style w:type="character" w:customStyle="1" w:styleId="24">
    <w:name w:val="批注框文本 字符"/>
    <w:basedOn w:val="16"/>
    <w:link w:val="8"/>
    <w:qFormat/>
    <w:uiPriority w:val="0"/>
    <w:rPr>
      <w:rFonts w:ascii="Calibri" w:hAnsi="Calibri" w:eastAsia="宋体" w:cs="宋体"/>
      <w:kern w:val="2"/>
      <w:sz w:val="18"/>
      <w:szCs w:val="18"/>
    </w:rPr>
  </w:style>
  <w:style w:type="character" w:customStyle="1" w:styleId="25">
    <w:name w:val="批注文字 字符"/>
    <w:basedOn w:val="16"/>
    <w:link w:val="5"/>
    <w:qFormat/>
    <w:uiPriority w:val="0"/>
    <w:rPr>
      <w:rFonts w:ascii="Calibri" w:hAnsi="Calibri" w:eastAsia="宋体" w:cs="宋体"/>
      <w:kern w:val="2"/>
      <w:sz w:val="21"/>
      <w:szCs w:val="24"/>
    </w:rPr>
  </w:style>
  <w:style w:type="character" w:customStyle="1" w:styleId="26">
    <w:name w:val="批注主题 字符"/>
    <w:basedOn w:val="25"/>
    <w:link w:val="13"/>
    <w:qFormat/>
    <w:uiPriority w:val="0"/>
    <w:rPr>
      <w:rFonts w:ascii="Calibri" w:hAnsi="Calibri" w:eastAsia="宋体" w:cs="宋体"/>
      <w:b/>
      <w:bCs/>
      <w:kern w:val="2"/>
      <w:sz w:val="21"/>
      <w:szCs w:val="24"/>
    </w:rPr>
  </w:style>
  <w:style w:type="character" w:customStyle="1" w:styleId="27">
    <w:name w:val="未处理的提及2"/>
    <w:basedOn w:val="16"/>
    <w:qFormat/>
    <w:uiPriority w:val="99"/>
    <w:rPr>
      <w:color w:val="605E5C"/>
      <w:shd w:val="clear" w:color="auto" w:fill="E1DFDD"/>
    </w:rPr>
  </w:style>
  <w:style w:type="character" w:customStyle="1" w:styleId="28">
    <w:name w:val="标题 1 字符"/>
    <w:basedOn w:val="16"/>
    <w:link w:val="2"/>
    <w:qFormat/>
    <w:uiPriority w:val="9"/>
    <w:rPr>
      <w:rFonts w:ascii="Calibri" w:hAnsi="Calibri" w:cs="宋体"/>
      <w:b/>
      <w:bCs/>
      <w:kern w:val="44"/>
      <w:sz w:val="32"/>
      <w:szCs w:val="44"/>
    </w:rPr>
  </w:style>
  <w:style w:type="character" w:customStyle="1" w:styleId="29">
    <w:name w:val="标题 2 字符"/>
    <w:basedOn w:val="16"/>
    <w:link w:val="3"/>
    <w:qFormat/>
    <w:uiPriority w:val="9"/>
    <w:rPr>
      <w:rFonts w:ascii="Calibri Light" w:hAnsi="Calibri Light" w:cs="宋体"/>
      <w:b/>
      <w:bCs/>
      <w:kern w:val="2"/>
      <w:sz w:val="30"/>
      <w:szCs w:val="32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  <w:rPr>
      <w:szCs w:val="22"/>
    </w:rPr>
  </w:style>
  <w:style w:type="table" w:customStyle="1" w:styleId="31">
    <w:name w:val="网格表 4 - 着色 11"/>
    <w:basedOn w:val="14"/>
    <w:qFormat/>
    <w:uiPriority w:val="49"/>
    <w:rPr>
      <w:rFonts w:ascii="Calibri" w:hAnsi="Calibri" w:cs="宋体"/>
    </w:rPr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</w:style>
  <w:style w:type="paragraph" w:customStyle="1" w:styleId="32">
    <w:name w:val="TOC 标题1"/>
    <w:basedOn w:val="2"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character" w:customStyle="1" w:styleId="33">
    <w:name w:val="日期 字符"/>
    <w:basedOn w:val="16"/>
    <w:link w:val="7"/>
    <w:qFormat/>
    <w:uiPriority w:val="0"/>
    <w:rPr>
      <w:rFonts w:ascii="Calibri" w:hAnsi="Calibri" w:eastAsia="宋体" w:cs="宋体"/>
      <w:kern w:val="2"/>
      <w:sz w:val="21"/>
      <w:szCs w:val="24"/>
    </w:rPr>
  </w:style>
  <w:style w:type="character" w:customStyle="1" w:styleId="34">
    <w:name w:val="未处理的提及3"/>
    <w:basedOn w:val="16"/>
    <w:qFormat/>
    <w:uiPriority w:val="99"/>
    <w:rPr>
      <w:color w:val="605E5C"/>
      <w:shd w:val="clear" w:color="auto" w:fill="E1DFDD"/>
    </w:rPr>
  </w:style>
  <w:style w:type="paragraph" w:customStyle="1" w:styleId="35">
    <w:name w:val="修订1"/>
    <w:qFormat/>
    <w:uiPriority w:val="99"/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customStyle="1" w:styleId="36">
    <w:name w:val="TOC 标题2"/>
    <w:basedOn w:val="2"/>
    <w:qFormat/>
    <w:uiPriority w:val="39"/>
    <w:pPr>
      <w:outlineLvl w:val="9"/>
    </w:pPr>
    <w:rPr>
      <w:sz w:val="44"/>
    </w:rPr>
  </w:style>
  <w:style w:type="character" w:customStyle="1" w:styleId="37">
    <w:name w:val="标题 3 字符"/>
    <w:basedOn w:val="16"/>
    <w:link w:val="4"/>
    <w:qFormat/>
    <w:uiPriority w:val="0"/>
    <w:rPr>
      <w:rFonts w:ascii="Calibri" w:hAnsi="Calibri" w:cs="宋体"/>
      <w:b/>
      <w:bCs/>
      <w:kern w:val="2"/>
      <w:sz w:val="32"/>
      <w:szCs w:val="32"/>
    </w:rPr>
  </w:style>
  <w:style w:type="paragraph" w:customStyle="1" w:styleId="38">
    <w:name w:val="列表段落1"/>
    <w:basedOn w:val="1"/>
    <w:qFormat/>
    <w:uiPriority w:val="34"/>
    <w:pPr>
      <w:ind w:firstLine="420" w:firstLineChars="200"/>
    </w:pPr>
    <w:rPr>
      <w:szCs w:val="22"/>
    </w:rPr>
  </w:style>
  <w:style w:type="paragraph" w:customStyle="1" w:styleId="39">
    <w:name w:val="列出段落4"/>
    <w:basedOn w:val="1"/>
    <w:qFormat/>
    <w:uiPriority w:val="99"/>
    <w:pPr>
      <w:ind w:firstLine="420" w:firstLineChars="200"/>
    </w:pPr>
    <w:rPr>
      <w:rFonts w:cs="黑体"/>
      <w:szCs w:val="22"/>
    </w:rPr>
  </w:style>
  <w:style w:type="paragraph" w:customStyle="1" w:styleId="40">
    <w:name w:val="TOC Heading"/>
    <w:basedOn w:val="2"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284</Words>
  <Characters>1621</Characters>
  <Lines>13</Lines>
  <Paragraphs>3</Paragraphs>
  <TotalTime>13</TotalTime>
  <ScaleCrop>false</ScaleCrop>
  <LinksUpToDate>false</LinksUpToDate>
  <CharactersWithSpaces>1902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2023-04-28T02:28:00Z</dcterms:created>
  <dc:creator>Zhou Yunshan</dc:creator>
  <cp:lastModifiedBy>浩鸳.</cp:lastModifiedBy>
  <dcterms:modified xsi:type="dcterms:W3CDTF">2023-07-04T01:54:58Z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EF25A8DCA4FA4EF790F43BC4230DD941_12</vt:lpwstr>
  </property>
</Properties>
</file>