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表 2. </w:t>
      </w:r>
      <w:r>
        <w:rPr>
          <w:rFonts w:ascii="宋体" w:hAnsi="宋体"/>
          <w:b w:val="0"/>
          <w:sz w:val="21"/>
        </w:rPr>
        <w:t>使用双行表头的三线表示例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c>
          <w:tcPr>
            <w:tcW w:type="dxa" w:w="1344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index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032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0.0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3.0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344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4.0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344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417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