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3F6BF" w14:textId="77777777" w:rsidR="00D43F7B" w:rsidRPr="00D43F7B" w:rsidRDefault="00D43F7B">
      <w:pPr>
        <w:rPr>
          <w:rFonts w:ascii="Helvetica" w:hAnsi="Helvetica"/>
          <w:sz w:val="12"/>
          <w:szCs w:val="12"/>
        </w:rPr>
      </w:pPr>
    </w:p>
    <w:p w14:paraId="29474CA0" w14:textId="35A5CDA4" w:rsidR="00D43F7B" w:rsidRDefault="00D43F7B" w:rsidP="00CF600C">
      <w:pPr>
        <w:jc w:val="center"/>
        <w:rPr>
          <w:rFonts w:ascii="Helvetica" w:hAnsi="Helvetica"/>
          <w:sz w:val="12"/>
          <w:szCs w:val="12"/>
        </w:rPr>
      </w:pPr>
      <w:r w:rsidRPr="00D43F7B">
        <w:rPr>
          <w:rFonts w:ascii="Helvetica" w:hAnsi="Helvetica"/>
          <w:noProof/>
          <w:sz w:val="12"/>
          <w:szCs w:val="12"/>
        </w:rPr>
        <w:drawing>
          <wp:inline distT="0" distB="0" distL="0" distR="0" wp14:anchorId="14F21ACF" wp14:editId="4796EF4E">
            <wp:extent cx="4176979" cy="4176979"/>
            <wp:effectExtent l="0" t="0" r="1905" b="1905"/>
            <wp:docPr id="109103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38212" name="Picture 10910382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0275" cy="418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0198" w14:textId="79A4A8F5" w:rsidR="00E67AB9" w:rsidRDefault="00D43F7B" w:rsidP="00CF600C">
      <w:pPr>
        <w:rPr>
          <w:rFonts w:ascii="Helvetica" w:hAnsi="Helvetica"/>
          <w:sz w:val="16"/>
          <w:szCs w:val="16"/>
        </w:rPr>
      </w:pPr>
      <w:r w:rsidRPr="00D43F7B">
        <w:rPr>
          <w:rFonts w:ascii="Helvetica" w:hAnsi="Helvetica"/>
          <w:b/>
          <w:bCs/>
          <w:sz w:val="16"/>
          <w:szCs w:val="16"/>
        </w:rPr>
        <w:t xml:space="preserve">Supplementary Figure </w:t>
      </w:r>
      <w:r w:rsidR="005369AB">
        <w:rPr>
          <w:rFonts w:ascii="Helvetica" w:hAnsi="Helvetica"/>
          <w:b/>
          <w:bCs/>
          <w:sz w:val="16"/>
          <w:szCs w:val="16"/>
        </w:rPr>
        <w:t>1</w:t>
      </w:r>
      <w:r w:rsidRPr="00D43F7B">
        <w:rPr>
          <w:rFonts w:ascii="Helvetica" w:hAnsi="Helvetica"/>
          <w:b/>
          <w:bCs/>
          <w:sz w:val="16"/>
          <w:szCs w:val="16"/>
        </w:rPr>
        <w:t xml:space="preserve"> </w:t>
      </w:r>
      <w:r w:rsidR="005369AB">
        <w:rPr>
          <w:rFonts w:ascii="Helvetica" w:hAnsi="Helvetica"/>
          <w:b/>
          <w:bCs/>
          <w:sz w:val="16"/>
          <w:szCs w:val="16"/>
        </w:rPr>
        <w:t xml:space="preserve">| </w:t>
      </w:r>
      <w:r w:rsidRPr="00D43F7B">
        <w:rPr>
          <w:rFonts w:ascii="Helvetica" w:hAnsi="Helvetica"/>
          <w:b/>
          <w:bCs/>
          <w:sz w:val="16"/>
          <w:szCs w:val="16"/>
        </w:rPr>
        <w:t xml:space="preserve">Comparison of magnetic activity between bright </w:t>
      </w:r>
      <w:r>
        <w:rPr>
          <w:rFonts w:ascii="Helvetica" w:hAnsi="Helvetica"/>
          <w:b/>
          <w:bCs/>
          <w:sz w:val="16"/>
          <w:szCs w:val="16"/>
        </w:rPr>
        <w:t>(</w:t>
      </w:r>
      <w:r w:rsidRPr="00D43F7B">
        <w:rPr>
          <w:rFonts w:ascii="Helvetica" w:hAnsi="Helvetica"/>
          <w:b/>
          <w:bCs/>
          <w:i/>
          <w:iCs/>
          <w:sz w:val="16"/>
          <w:szCs w:val="16"/>
        </w:rPr>
        <w:t>Gaia</w:t>
      </w:r>
      <w:r>
        <w:rPr>
          <w:rFonts w:ascii="Helvetica" w:hAnsi="Helvetica"/>
          <w:b/>
          <w:bCs/>
          <w:sz w:val="16"/>
          <w:szCs w:val="16"/>
        </w:rPr>
        <w:t xml:space="preserve"> </w:t>
      </w:r>
      <w:r w:rsidRPr="00D43F7B">
        <w:rPr>
          <w:rFonts w:ascii="Helvetica" w:hAnsi="Helvetica"/>
          <w:b/>
          <w:bCs/>
          <w:sz w:val="16"/>
          <w:szCs w:val="16"/>
        </w:rPr>
        <w:t>G &lt; 13) single and binary stars.</w:t>
      </w:r>
      <w:r w:rsidRPr="00D43F7B">
        <w:rPr>
          <w:rFonts w:ascii="Helvetica" w:hAnsi="Helvetica"/>
          <w:sz w:val="16"/>
          <w:szCs w:val="16"/>
        </w:rPr>
        <w:t xml:space="preserve"> </w:t>
      </w:r>
      <w:r w:rsidRPr="00D43F7B">
        <w:rPr>
          <w:rFonts w:ascii="Helvetica" w:hAnsi="Helvetica"/>
          <w:b/>
          <w:bCs/>
          <w:sz w:val="16"/>
          <w:szCs w:val="16"/>
        </w:rPr>
        <w:t>Top</w:t>
      </w:r>
      <w:r w:rsidRPr="00D43F7B">
        <w:rPr>
          <w:rFonts w:ascii="Helvetica" w:hAnsi="Helvetica"/>
          <w:sz w:val="16"/>
          <w:szCs w:val="16"/>
        </w:rPr>
        <w:t xml:space="preserve">: Period–activity diagram for </w:t>
      </w:r>
      <w:r w:rsidRPr="00D43F7B">
        <w:rPr>
          <w:rFonts w:ascii="Helvetica" w:hAnsi="Helvetica"/>
          <w:i/>
          <w:iCs/>
          <w:sz w:val="16"/>
          <w:szCs w:val="16"/>
        </w:rPr>
        <w:t>Kepler</w:t>
      </w:r>
      <w:r w:rsidRPr="00D43F7B">
        <w:rPr>
          <w:rFonts w:ascii="Helvetica" w:hAnsi="Helvetica"/>
          <w:sz w:val="16"/>
          <w:szCs w:val="16"/>
        </w:rPr>
        <w:t>/K2 single stars, with known binaries removed, and rotation periods adopted from the literature</w:t>
      </w:r>
      <w:r w:rsidR="00CF600C" w:rsidRPr="00CF600C">
        <w:rPr>
          <w:rFonts w:ascii="Helvetica" w:hAnsi="Helvetica"/>
          <w:sz w:val="16"/>
          <w:szCs w:val="16"/>
          <w:vertAlign w:val="superscript"/>
        </w:rPr>
        <w:t>1,2,3</w:t>
      </w:r>
      <w:r w:rsidRPr="00D43F7B">
        <w:rPr>
          <w:rFonts w:ascii="Helvetica" w:hAnsi="Helvetica"/>
          <w:sz w:val="16"/>
          <w:szCs w:val="16"/>
        </w:rPr>
        <w:t>. The red symbols represent</w:t>
      </w:r>
      <w:r w:rsidR="004C59B7">
        <w:rPr>
          <w:rFonts w:ascii="Helvetica" w:hAnsi="Helvetica"/>
          <w:sz w:val="16"/>
          <w:szCs w:val="16"/>
        </w:rPr>
        <w:t xml:space="preserve"> a sample of reference</w:t>
      </w:r>
      <w:r w:rsidRPr="00D43F7B">
        <w:rPr>
          <w:rFonts w:ascii="Helvetica" w:hAnsi="Helvetica"/>
          <w:sz w:val="16"/>
          <w:szCs w:val="16"/>
        </w:rPr>
        <w:t xml:space="preserve"> stars observed by LAMOST and studied by Wright et al. (2011)</w:t>
      </w:r>
      <w:r w:rsidR="00CF600C" w:rsidRPr="00CF600C">
        <w:rPr>
          <w:rFonts w:ascii="Helvetica" w:hAnsi="Helvetica"/>
          <w:sz w:val="16"/>
          <w:szCs w:val="16"/>
          <w:vertAlign w:val="superscript"/>
        </w:rPr>
        <w:t>4</w:t>
      </w:r>
      <w:r w:rsidRPr="00D43F7B">
        <w:rPr>
          <w:rFonts w:ascii="Helvetica" w:hAnsi="Helvetica"/>
          <w:sz w:val="16"/>
          <w:szCs w:val="16"/>
        </w:rPr>
        <w:t xml:space="preserve"> (red squares) and Fang et al. (2018)</w:t>
      </w:r>
      <w:r w:rsidR="00CF600C" w:rsidRPr="00CF600C">
        <w:rPr>
          <w:rFonts w:ascii="Helvetica" w:hAnsi="Helvetica"/>
          <w:sz w:val="16"/>
          <w:szCs w:val="16"/>
          <w:vertAlign w:val="superscript"/>
        </w:rPr>
        <w:t>5</w:t>
      </w:r>
      <w:r w:rsidRPr="00D43F7B">
        <w:rPr>
          <w:rFonts w:ascii="Helvetica" w:hAnsi="Helvetica"/>
          <w:sz w:val="16"/>
          <w:szCs w:val="16"/>
        </w:rPr>
        <w:t xml:space="preserve"> (red triangles). The vertical dashed line at </w:t>
      </w:r>
      <w:r w:rsidRPr="005369AB">
        <w:rPr>
          <w:rFonts w:ascii="Helvetica" w:hAnsi="Helvetica"/>
          <w:i/>
          <w:iCs/>
          <w:sz w:val="16"/>
          <w:szCs w:val="16"/>
        </w:rPr>
        <w:t>P</w:t>
      </w:r>
      <w:r w:rsidRPr="00D43F7B">
        <w:rPr>
          <w:rFonts w:ascii="Helvetica" w:hAnsi="Helvetica"/>
          <w:sz w:val="16"/>
          <w:szCs w:val="16"/>
        </w:rPr>
        <w:t xml:space="preserve"> = 2 days marks a conservative threshold below which magnetic activity is widely considered to be saturated</w:t>
      </w:r>
      <w:r w:rsidR="00CF600C" w:rsidRPr="00CF600C">
        <w:rPr>
          <w:rFonts w:ascii="Helvetica" w:hAnsi="Helvetica"/>
          <w:sz w:val="16"/>
          <w:szCs w:val="16"/>
          <w:vertAlign w:val="superscript"/>
        </w:rPr>
        <w:t>6</w:t>
      </w:r>
      <w:r w:rsidR="00CF600C">
        <w:rPr>
          <w:rFonts w:ascii="Helvetica" w:hAnsi="Helvetica"/>
          <w:sz w:val="16"/>
          <w:szCs w:val="16"/>
        </w:rPr>
        <w:t>.</w:t>
      </w:r>
      <w:r w:rsidRPr="00D43F7B">
        <w:rPr>
          <w:rFonts w:ascii="Helvetica" w:hAnsi="Helvetica"/>
          <w:sz w:val="16"/>
          <w:szCs w:val="16"/>
        </w:rPr>
        <w:t xml:space="preserve"> The horizontal blue dashed line shows the mean</w:t>
      </w:r>
      <w:r w:rsidR="005369AB">
        <w:rPr>
          <w:rFonts w:ascii="Helvetica" w:hAnsi="Helvetica"/>
          <w:sz w:val="16"/>
          <w:szCs w:val="16"/>
        </w:rPr>
        <w:t xml:space="preserve"> </w:t>
      </w:r>
      <w:proofErr w:type="gramStart"/>
      <w:r w:rsidR="005369AB">
        <w:rPr>
          <w:rFonts w:ascii="Helvetica" w:hAnsi="Helvetica"/>
          <w:sz w:val="16"/>
          <w:szCs w:val="16"/>
        </w:rPr>
        <w:t>log(</w:t>
      </w:r>
      <w:proofErr w:type="gramEnd"/>
      <w:r w:rsidR="005369AB" w:rsidRPr="005369AB">
        <w:rPr>
          <w:rFonts w:ascii="Helvetica" w:hAnsi="Helvetica"/>
          <w:i/>
          <w:iCs/>
          <w:sz w:val="16"/>
          <w:szCs w:val="16"/>
        </w:rPr>
        <w:t>R</w:t>
      </w:r>
      <w:r w:rsidR="005369AB">
        <w:rPr>
          <w:rFonts w:ascii="Helvetica" w:hAnsi="Helvetica"/>
          <w:sz w:val="16"/>
          <w:szCs w:val="16"/>
        </w:rPr>
        <w:t>’</w:t>
      </w:r>
      <w:r w:rsidR="005369AB" w:rsidRPr="005369AB">
        <w:rPr>
          <w:rFonts w:ascii="Helvetica" w:hAnsi="Helvetica"/>
          <w:sz w:val="16"/>
          <w:szCs w:val="16"/>
          <w:vertAlign w:val="subscript"/>
        </w:rPr>
        <w:t>HK</w:t>
      </w:r>
      <w:r w:rsidR="005369AB" w:rsidRPr="005369AB">
        <w:rPr>
          <w:rFonts w:ascii="Helvetica" w:hAnsi="Helvetica"/>
          <w:sz w:val="16"/>
          <w:szCs w:val="16"/>
        </w:rPr>
        <w:t>)</w:t>
      </w:r>
      <w:r w:rsidR="005369AB">
        <w:rPr>
          <w:rFonts w:ascii="Helvetica" w:hAnsi="Helvetica"/>
          <w:sz w:val="16"/>
          <w:szCs w:val="16"/>
        </w:rPr>
        <w:t xml:space="preserve"> </w:t>
      </w:r>
      <w:r w:rsidRPr="00D43F7B">
        <w:rPr>
          <w:rFonts w:ascii="Helvetica" w:hAnsi="Helvetica"/>
          <w:sz w:val="16"/>
          <w:szCs w:val="16"/>
        </w:rPr>
        <w:t xml:space="preserve">of </w:t>
      </w:r>
      <w:r w:rsidR="00923BE9">
        <w:rPr>
          <w:rFonts w:ascii="Helvetica" w:hAnsi="Helvetica"/>
          <w:sz w:val="16"/>
          <w:szCs w:val="16"/>
        </w:rPr>
        <w:t xml:space="preserve">the </w:t>
      </w:r>
      <w:r w:rsidRPr="00D43F7B">
        <w:rPr>
          <w:rFonts w:ascii="Helvetica" w:hAnsi="Helvetica"/>
          <w:sz w:val="16"/>
          <w:szCs w:val="16"/>
        </w:rPr>
        <w:t xml:space="preserve">reference stars in the saturated regime, with the shaded region indicating twice the standard error. Orange squares connected by lines depict the mean </w:t>
      </w:r>
      <w:r w:rsidR="005369AB">
        <w:rPr>
          <w:rFonts w:ascii="Helvetica" w:hAnsi="Helvetica"/>
          <w:sz w:val="16"/>
          <w:szCs w:val="16"/>
        </w:rPr>
        <w:t>log(R</w:t>
      </w:r>
      <w:r w:rsidR="005369AB">
        <w:rPr>
          <w:rFonts w:ascii="Helvetica" w:hAnsi="Helvetica" w:hint="eastAsia"/>
          <w:sz w:val="16"/>
          <w:szCs w:val="16"/>
        </w:rPr>
        <w:t>’</w:t>
      </w:r>
      <w:r w:rsidR="005369AB" w:rsidRPr="005369AB">
        <w:rPr>
          <w:rFonts w:ascii="Helvetica" w:hAnsi="Helvetica"/>
          <w:sz w:val="16"/>
          <w:szCs w:val="16"/>
          <w:vertAlign w:val="subscript"/>
        </w:rPr>
        <w:t>HK</w:t>
      </w:r>
      <w:r w:rsidR="005369AB">
        <w:rPr>
          <w:rFonts w:ascii="Helvetica" w:hAnsi="Helvetica"/>
          <w:sz w:val="16"/>
          <w:szCs w:val="16"/>
        </w:rPr>
        <w:t xml:space="preserve">) </w:t>
      </w:r>
      <w:r w:rsidRPr="00D43F7B">
        <w:rPr>
          <w:rFonts w:ascii="Helvetica" w:hAnsi="Helvetica"/>
          <w:sz w:val="16"/>
          <w:szCs w:val="16"/>
        </w:rPr>
        <w:t xml:space="preserve">values within </w:t>
      </w:r>
      <w:proofErr w:type="spellStart"/>
      <w:r w:rsidR="005369AB" w:rsidRPr="00D43F7B">
        <w:rPr>
          <w:rFonts w:ascii="Helvetica" w:hAnsi="Helvetica"/>
          <w:sz w:val="16"/>
          <w:szCs w:val="16"/>
        </w:rPr>
        <w:t>log</w:t>
      </w:r>
      <w:r w:rsidR="005369AB" w:rsidRPr="005369AB">
        <w:rPr>
          <w:rFonts w:ascii="Helvetica" w:hAnsi="Helvetica"/>
          <w:i/>
          <w:iCs/>
          <w:sz w:val="16"/>
          <w:szCs w:val="16"/>
        </w:rPr>
        <w:t>P</w:t>
      </w:r>
      <w:proofErr w:type="spellEnd"/>
      <w:r w:rsidR="005369AB" w:rsidRPr="00D43F7B">
        <w:rPr>
          <w:rFonts w:ascii="Helvetica" w:hAnsi="Helvetica"/>
          <w:sz w:val="16"/>
          <w:szCs w:val="16"/>
        </w:rPr>
        <w:t xml:space="preserve"> </w:t>
      </w:r>
      <w:r w:rsidRPr="00D43F7B">
        <w:rPr>
          <w:rFonts w:ascii="Helvetica" w:hAnsi="Helvetica"/>
          <w:sz w:val="16"/>
          <w:szCs w:val="16"/>
        </w:rPr>
        <w:t xml:space="preserve">bins of width 0.11. The median formal </w:t>
      </w:r>
      <w:r w:rsidR="005369AB">
        <w:rPr>
          <w:rFonts w:ascii="Helvetica" w:hAnsi="Helvetica"/>
          <w:sz w:val="16"/>
          <w:szCs w:val="16"/>
        </w:rPr>
        <w:t>log(R</w:t>
      </w:r>
      <w:r w:rsidR="005369AB">
        <w:rPr>
          <w:rFonts w:ascii="Helvetica" w:hAnsi="Helvetica" w:hint="eastAsia"/>
          <w:sz w:val="16"/>
          <w:szCs w:val="16"/>
        </w:rPr>
        <w:t>’</w:t>
      </w:r>
      <w:r w:rsidR="005369AB" w:rsidRPr="005369AB">
        <w:rPr>
          <w:rFonts w:ascii="Helvetica" w:hAnsi="Helvetica"/>
          <w:sz w:val="16"/>
          <w:szCs w:val="16"/>
          <w:vertAlign w:val="subscript"/>
        </w:rPr>
        <w:t>HK</w:t>
      </w:r>
      <w:r w:rsidR="005369AB">
        <w:rPr>
          <w:rFonts w:ascii="Helvetica" w:hAnsi="Helvetica"/>
          <w:sz w:val="16"/>
          <w:szCs w:val="16"/>
        </w:rPr>
        <w:t xml:space="preserve">) </w:t>
      </w:r>
      <w:r w:rsidRPr="00D43F7B">
        <w:rPr>
          <w:rFonts w:ascii="Helvetica" w:hAnsi="Helvetica"/>
          <w:sz w:val="16"/>
          <w:szCs w:val="16"/>
        </w:rPr>
        <w:t>uncertainty and its conservative counterpart are shown in the lower-left corner (see Methods for details).</w:t>
      </w:r>
      <w:r w:rsidR="005369AB" w:rsidRPr="00D43F7B">
        <w:rPr>
          <w:rFonts w:ascii="Helvetica" w:hAnsi="Helvetica"/>
          <w:sz w:val="16"/>
          <w:szCs w:val="16"/>
        </w:rPr>
        <w:t xml:space="preserve"> </w:t>
      </w:r>
      <w:r w:rsidRPr="005369AB">
        <w:rPr>
          <w:rFonts w:ascii="Helvetica" w:hAnsi="Helvetica"/>
          <w:b/>
          <w:bCs/>
          <w:sz w:val="16"/>
          <w:szCs w:val="16"/>
        </w:rPr>
        <w:t>Bottom</w:t>
      </w:r>
      <w:r w:rsidRPr="00D43F7B">
        <w:rPr>
          <w:rFonts w:ascii="Helvetica" w:hAnsi="Helvetica"/>
          <w:sz w:val="16"/>
          <w:szCs w:val="16"/>
        </w:rPr>
        <w:t xml:space="preserve">: Similar to the top panel, except the horizontal axis shows orbital period for </w:t>
      </w:r>
      <w:r w:rsidR="002B365E" w:rsidRPr="002B365E">
        <w:rPr>
          <w:rFonts w:ascii="Helvetica" w:hAnsi="Helvetica"/>
          <w:i/>
          <w:iCs/>
          <w:sz w:val="16"/>
          <w:szCs w:val="16"/>
        </w:rPr>
        <w:t>Gaia</w:t>
      </w:r>
      <w:r w:rsidRPr="00D43F7B">
        <w:rPr>
          <w:rFonts w:ascii="Helvetica" w:hAnsi="Helvetica"/>
          <w:sz w:val="16"/>
          <w:szCs w:val="16"/>
        </w:rPr>
        <w:t xml:space="preserve"> binary systems with circulari</w:t>
      </w:r>
      <w:r w:rsidR="00BB1927">
        <w:rPr>
          <w:rFonts w:ascii="Helvetica" w:hAnsi="Helvetica"/>
          <w:sz w:val="16"/>
          <w:szCs w:val="16"/>
        </w:rPr>
        <w:t>s</w:t>
      </w:r>
      <w:r w:rsidRPr="00D43F7B">
        <w:rPr>
          <w:rFonts w:ascii="Helvetica" w:hAnsi="Helvetica"/>
          <w:sz w:val="16"/>
          <w:szCs w:val="16"/>
        </w:rPr>
        <w:t xml:space="preserve">ed orbits (eccentricity &lt; 0.03). Spectroscopic binaries are shown as squares, and eclipsing binaries as triangles. Magenta circles connected by lines represent mean </w:t>
      </w:r>
      <w:r w:rsidR="005369AB">
        <w:rPr>
          <w:rFonts w:ascii="Helvetica" w:hAnsi="Helvetica"/>
          <w:sz w:val="16"/>
          <w:szCs w:val="16"/>
        </w:rPr>
        <w:t>log(R</w:t>
      </w:r>
      <w:r w:rsidR="005369AB">
        <w:rPr>
          <w:rFonts w:ascii="Helvetica" w:hAnsi="Helvetica" w:hint="eastAsia"/>
          <w:sz w:val="16"/>
          <w:szCs w:val="16"/>
        </w:rPr>
        <w:t>’</w:t>
      </w:r>
      <w:r w:rsidR="005369AB" w:rsidRPr="005369AB">
        <w:rPr>
          <w:rFonts w:ascii="Helvetica" w:hAnsi="Helvetica"/>
          <w:sz w:val="16"/>
          <w:szCs w:val="16"/>
          <w:vertAlign w:val="subscript"/>
        </w:rPr>
        <w:t>HK</w:t>
      </w:r>
      <w:r w:rsidR="005369AB">
        <w:rPr>
          <w:rFonts w:ascii="Helvetica" w:hAnsi="Helvetica"/>
          <w:sz w:val="16"/>
          <w:szCs w:val="16"/>
        </w:rPr>
        <w:t xml:space="preserve">) </w:t>
      </w:r>
      <w:r w:rsidRPr="00D43F7B">
        <w:rPr>
          <w:rFonts w:ascii="Helvetica" w:hAnsi="Helvetica"/>
          <w:sz w:val="16"/>
          <w:szCs w:val="16"/>
        </w:rPr>
        <w:t xml:space="preserve">values within </w:t>
      </w:r>
      <w:proofErr w:type="spellStart"/>
      <w:r w:rsidRPr="00D43F7B">
        <w:rPr>
          <w:rFonts w:ascii="Helvetica" w:hAnsi="Helvetica"/>
          <w:sz w:val="16"/>
          <w:szCs w:val="16"/>
        </w:rPr>
        <w:t>log</w:t>
      </w:r>
      <w:r w:rsidR="005369AB" w:rsidRPr="005369AB">
        <w:rPr>
          <w:rFonts w:ascii="Helvetica" w:hAnsi="Helvetica"/>
          <w:i/>
          <w:iCs/>
          <w:sz w:val="16"/>
          <w:szCs w:val="16"/>
        </w:rPr>
        <w:t>P</w:t>
      </w:r>
      <w:proofErr w:type="spellEnd"/>
      <w:r w:rsidRPr="00D43F7B">
        <w:rPr>
          <w:rFonts w:ascii="Helvetica" w:hAnsi="Helvetica"/>
          <w:sz w:val="16"/>
          <w:szCs w:val="16"/>
        </w:rPr>
        <w:t xml:space="preserve"> bins of width 0.11; their standard errors are </w:t>
      </w:r>
      <w:r w:rsidR="000247BF">
        <w:rPr>
          <w:rFonts w:ascii="Helvetica" w:hAnsi="Helvetica"/>
          <w:sz w:val="16"/>
          <w:szCs w:val="16"/>
        </w:rPr>
        <w:t>generally t</w:t>
      </w:r>
      <w:r w:rsidRPr="00D43F7B">
        <w:rPr>
          <w:rFonts w:ascii="Helvetica" w:hAnsi="Helvetica"/>
          <w:sz w:val="16"/>
          <w:szCs w:val="16"/>
        </w:rPr>
        <w:t xml:space="preserve">oo small to be visually discerned. The orange squares, connecting lines, and dashed line are identical to those in the top panel. The median formal and conservative </w:t>
      </w:r>
      <w:r w:rsidR="005369AB">
        <w:rPr>
          <w:rFonts w:ascii="Helvetica" w:hAnsi="Helvetica"/>
          <w:sz w:val="16"/>
          <w:szCs w:val="16"/>
        </w:rPr>
        <w:t>log(R</w:t>
      </w:r>
      <w:r w:rsidR="005369AB">
        <w:rPr>
          <w:rFonts w:ascii="Helvetica" w:hAnsi="Helvetica" w:hint="eastAsia"/>
          <w:sz w:val="16"/>
          <w:szCs w:val="16"/>
        </w:rPr>
        <w:t>’</w:t>
      </w:r>
      <w:r w:rsidR="005369AB" w:rsidRPr="005369AB">
        <w:rPr>
          <w:rFonts w:ascii="Helvetica" w:hAnsi="Helvetica"/>
          <w:sz w:val="16"/>
          <w:szCs w:val="16"/>
          <w:vertAlign w:val="subscript"/>
        </w:rPr>
        <w:t>HK</w:t>
      </w:r>
      <w:r w:rsidR="005369AB">
        <w:rPr>
          <w:rFonts w:ascii="Helvetica" w:hAnsi="Helvetica"/>
          <w:sz w:val="16"/>
          <w:szCs w:val="16"/>
        </w:rPr>
        <w:t xml:space="preserve">) </w:t>
      </w:r>
      <w:r w:rsidRPr="00D43F7B">
        <w:rPr>
          <w:rFonts w:ascii="Helvetica" w:hAnsi="Helvetica"/>
          <w:sz w:val="16"/>
          <w:szCs w:val="16"/>
        </w:rPr>
        <w:t>uncertainties for the binary sample are shown in the lower-left corner.</w:t>
      </w:r>
      <w:r w:rsidR="00CF600C">
        <w:rPr>
          <w:rFonts w:ascii="Helvetica" w:hAnsi="Helvetica"/>
          <w:sz w:val="16"/>
          <w:szCs w:val="16"/>
        </w:rPr>
        <w:t xml:space="preserve"> </w:t>
      </w:r>
      <w:r w:rsidR="00CF600C">
        <w:rPr>
          <w:rFonts w:ascii="Helvetica" w:hAnsi="Helvetica"/>
          <w:sz w:val="16"/>
          <w:szCs w:val="16"/>
        </w:rPr>
        <w:br/>
      </w:r>
      <w:r w:rsidR="00CF600C">
        <w:rPr>
          <w:rFonts w:ascii="Helvetica" w:hAnsi="Helvetica"/>
          <w:sz w:val="16"/>
          <w:szCs w:val="16"/>
        </w:rPr>
        <w:br/>
      </w:r>
      <w:r w:rsidR="00E67AB9" w:rsidRPr="00851386">
        <w:rPr>
          <w:rFonts w:ascii="Helvetica" w:hAnsi="Helvetica"/>
          <w:b/>
          <w:bCs/>
          <w:sz w:val="16"/>
          <w:szCs w:val="16"/>
        </w:rPr>
        <w:t>References</w:t>
      </w:r>
    </w:p>
    <w:p w14:paraId="24DF5869" w14:textId="1CDC6AC0" w:rsidR="00CF600C" w:rsidRPr="00CF600C" w:rsidRDefault="00CF600C" w:rsidP="00CF600C">
      <w:pPr>
        <w:rPr>
          <w:rFonts w:ascii="Helvetica" w:hAnsi="Helvetica"/>
          <w:sz w:val="16"/>
          <w:szCs w:val="16"/>
        </w:rPr>
      </w:pPr>
      <w:r>
        <w:rPr>
          <w:rFonts w:ascii="Helvetica" w:hAnsi="Helvetica"/>
          <w:sz w:val="16"/>
          <w:szCs w:val="16"/>
        </w:rPr>
        <w:t xml:space="preserve">1. </w:t>
      </w:r>
      <w:r w:rsidRPr="00CF600C">
        <w:rPr>
          <w:rFonts w:ascii="Helvetica" w:hAnsi="Helvetica"/>
          <w:sz w:val="16"/>
          <w:szCs w:val="16"/>
        </w:rPr>
        <w:t>Santos, A. R. G. et al. Surface Rotation and Photometric Activity for Kepler Targets. I. M and</w:t>
      </w:r>
      <w:r>
        <w:rPr>
          <w:rFonts w:ascii="Helvetica" w:hAnsi="Helvetica"/>
          <w:sz w:val="16"/>
          <w:szCs w:val="16"/>
        </w:rPr>
        <w:t xml:space="preserve"> </w:t>
      </w:r>
      <w:r w:rsidRPr="00CF600C">
        <w:rPr>
          <w:rFonts w:ascii="Helvetica" w:hAnsi="Helvetica"/>
          <w:sz w:val="16"/>
          <w:szCs w:val="16"/>
        </w:rPr>
        <w:t>K Main-sequence Stars. The Astrophysical Journal Supplement Series 244, 21 (2019).</w:t>
      </w:r>
    </w:p>
    <w:p w14:paraId="3D2F2E9B" w14:textId="4424C2BB" w:rsidR="00CF600C" w:rsidRPr="00CF600C" w:rsidRDefault="00CF600C" w:rsidP="00CF600C">
      <w:pPr>
        <w:rPr>
          <w:rFonts w:ascii="Helvetica" w:hAnsi="Helvetica"/>
          <w:sz w:val="16"/>
          <w:szCs w:val="16"/>
        </w:rPr>
      </w:pPr>
      <w:r>
        <w:rPr>
          <w:rFonts w:ascii="Helvetica" w:hAnsi="Helvetica"/>
          <w:sz w:val="16"/>
          <w:szCs w:val="16"/>
        </w:rPr>
        <w:t xml:space="preserve">2. </w:t>
      </w:r>
      <w:r w:rsidRPr="00CF600C">
        <w:rPr>
          <w:rFonts w:ascii="Helvetica" w:hAnsi="Helvetica"/>
          <w:sz w:val="16"/>
          <w:szCs w:val="16"/>
        </w:rPr>
        <w:t>Santos, A. R. G., Breton, S. N., Mathur, S. &amp; García, R. A. Surface Rotation and Photometric</w:t>
      </w:r>
      <w:r>
        <w:rPr>
          <w:rFonts w:ascii="Helvetica" w:hAnsi="Helvetica"/>
          <w:sz w:val="16"/>
          <w:szCs w:val="16"/>
        </w:rPr>
        <w:t xml:space="preserve"> </w:t>
      </w:r>
      <w:r w:rsidRPr="00CF600C">
        <w:rPr>
          <w:rFonts w:ascii="Helvetica" w:hAnsi="Helvetica"/>
          <w:sz w:val="16"/>
          <w:szCs w:val="16"/>
        </w:rPr>
        <w:t>Activity for Kepler Targets. II. G and F Main-sequence Stars and Cool Subgiant Stars. The</w:t>
      </w:r>
      <w:r>
        <w:rPr>
          <w:rFonts w:ascii="Helvetica" w:hAnsi="Helvetica"/>
          <w:sz w:val="16"/>
          <w:szCs w:val="16"/>
        </w:rPr>
        <w:t xml:space="preserve"> </w:t>
      </w:r>
      <w:r w:rsidRPr="00CF600C">
        <w:rPr>
          <w:rFonts w:ascii="Helvetica" w:hAnsi="Helvetica"/>
          <w:sz w:val="16"/>
          <w:szCs w:val="16"/>
        </w:rPr>
        <w:t>Astrophysical Journal Supplement Series 255, 17 (2021).</w:t>
      </w:r>
    </w:p>
    <w:p w14:paraId="4100A41F" w14:textId="69373500" w:rsidR="00CF600C" w:rsidRPr="00CF600C" w:rsidRDefault="00CF600C" w:rsidP="00CF600C">
      <w:pPr>
        <w:rPr>
          <w:rFonts w:ascii="Helvetica" w:hAnsi="Helvetica"/>
          <w:sz w:val="16"/>
          <w:szCs w:val="16"/>
        </w:rPr>
      </w:pPr>
      <w:r>
        <w:rPr>
          <w:rFonts w:ascii="Helvetica" w:hAnsi="Helvetica"/>
          <w:sz w:val="16"/>
          <w:szCs w:val="16"/>
        </w:rPr>
        <w:t>3</w:t>
      </w:r>
      <w:r w:rsidRPr="00CF600C">
        <w:rPr>
          <w:rFonts w:ascii="Helvetica" w:hAnsi="Helvetica"/>
          <w:sz w:val="16"/>
          <w:szCs w:val="16"/>
        </w:rPr>
        <w:t>. Reinhold, T. &amp; Hekker, S. Stellar rotation periods from K2 Campaigns 0–18: Evidence for</w:t>
      </w:r>
      <w:r>
        <w:rPr>
          <w:rFonts w:ascii="Helvetica" w:hAnsi="Helvetica"/>
          <w:sz w:val="16"/>
          <w:szCs w:val="16"/>
        </w:rPr>
        <w:t xml:space="preserve"> </w:t>
      </w:r>
      <w:r w:rsidRPr="00CF600C">
        <w:rPr>
          <w:rFonts w:ascii="Helvetica" w:hAnsi="Helvetica"/>
          <w:sz w:val="16"/>
          <w:szCs w:val="16"/>
        </w:rPr>
        <w:t>rotation period bimodality and simultaneous variability decrease. Astronomy &amp; Astrophysics</w:t>
      </w:r>
      <w:r>
        <w:rPr>
          <w:rFonts w:ascii="Helvetica" w:hAnsi="Helvetica"/>
          <w:sz w:val="16"/>
          <w:szCs w:val="16"/>
        </w:rPr>
        <w:t xml:space="preserve"> </w:t>
      </w:r>
      <w:r w:rsidRPr="00CF600C">
        <w:rPr>
          <w:rFonts w:ascii="Helvetica" w:hAnsi="Helvetica"/>
          <w:sz w:val="16"/>
          <w:szCs w:val="16"/>
        </w:rPr>
        <w:t>635, A43 (2020).</w:t>
      </w:r>
    </w:p>
    <w:p w14:paraId="69E8A673" w14:textId="43C35688" w:rsidR="00CF600C" w:rsidRPr="00CF600C" w:rsidRDefault="00CF600C" w:rsidP="00CF600C">
      <w:pPr>
        <w:rPr>
          <w:rFonts w:ascii="Helvetica" w:hAnsi="Helvetica"/>
          <w:sz w:val="16"/>
          <w:szCs w:val="16"/>
        </w:rPr>
      </w:pPr>
      <w:r>
        <w:rPr>
          <w:rFonts w:ascii="Helvetica" w:hAnsi="Helvetica"/>
          <w:sz w:val="16"/>
          <w:szCs w:val="16"/>
        </w:rPr>
        <w:t>4</w:t>
      </w:r>
      <w:r w:rsidRPr="00CF600C">
        <w:rPr>
          <w:rFonts w:ascii="Helvetica" w:hAnsi="Helvetica"/>
          <w:sz w:val="16"/>
          <w:szCs w:val="16"/>
        </w:rPr>
        <w:t xml:space="preserve">. Wright, N. J., Drake, J. J., </w:t>
      </w:r>
      <w:proofErr w:type="spellStart"/>
      <w:r w:rsidRPr="00CF600C">
        <w:rPr>
          <w:rFonts w:ascii="Helvetica" w:hAnsi="Helvetica"/>
          <w:sz w:val="16"/>
          <w:szCs w:val="16"/>
        </w:rPr>
        <w:t xml:space="preserve">Mamajek, E. </w:t>
      </w:r>
      <w:proofErr w:type="spellEnd"/>
      <w:r w:rsidRPr="00CF600C">
        <w:rPr>
          <w:rFonts w:ascii="Helvetica" w:hAnsi="Helvetica"/>
          <w:sz w:val="16"/>
          <w:szCs w:val="16"/>
        </w:rPr>
        <w:t>E. &amp; Henry, G. W. The Stellar-activity-Rotation</w:t>
      </w:r>
      <w:r>
        <w:rPr>
          <w:rFonts w:ascii="Helvetica" w:hAnsi="Helvetica"/>
          <w:sz w:val="16"/>
          <w:szCs w:val="16"/>
        </w:rPr>
        <w:t xml:space="preserve"> </w:t>
      </w:r>
      <w:r w:rsidRPr="00CF600C">
        <w:rPr>
          <w:rFonts w:ascii="Helvetica" w:hAnsi="Helvetica"/>
          <w:sz w:val="16"/>
          <w:szCs w:val="16"/>
        </w:rPr>
        <w:t>Relationship and the Evolution of Stellar Dynamos. The Astrophysical Journal 743, 48 (2011).</w:t>
      </w:r>
    </w:p>
    <w:p w14:paraId="58796E3A" w14:textId="64036398" w:rsidR="00CF600C" w:rsidRDefault="00CF600C" w:rsidP="00CF600C">
      <w:pPr>
        <w:rPr>
          <w:rFonts w:ascii="Helvetica" w:hAnsi="Helvetica"/>
          <w:sz w:val="16"/>
          <w:szCs w:val="16"/>
        </w:rPr>
      </w:pPr>
      <w:r>
        <w:rPr>
          <w:rFonts w:ascii="Helvetica" w:hAnsi="Helvetica"/>
          <w:sz w:val="16"/>
          <w:szCs w:val="16"/>
        </w:rPr>
        <w:t>5</w:t>
      </w:r>
      <w:r w:rsidRPr="00CF600C">
        <w:rPr>
          <w:rFonts w:ascii="Helvetica" w:hAnsi="Helvetica"/>
          <w:sz w:val="16"/>
          <w:szCs w:val="16"/>
        </w:rPr>
        <w:t>. Fang, X.-S., Zhao, G., Zhao, J.-K. &amp; Bharat Kumar, Y. Stellar activity with LAMOST – II.</w:t>
      </w:r>
      <w:r>
        <w:rPr>
          <w:rFonts w:ascii="Helvetica" w:hAnsi="Helvetica"/>
          <w:sz w:val="16"/>
          <w:szCs w:val="16"/>
        </w:rPr>
        <w:t xml:space="preserve"> </w:t>
      </w:r>
      <w:proofErr w:type="spellStart"/>
      <w:r w:rsidRPr="00CF600C">
        <w:rPr>
          <w:rFonts w:ascii="Helvetica" w:hAnsi="Helvetica"/>
          <w:sz w:val="16"/>
          <w:szCs w:val="16"/>
        </w:rPr>
        <w:t>Chromospheric</w:t>
      </w:r>
      <w:proofErr w:type="spellEnd"/>
      <w:r w:rsidRPr="00CF600C">
        <w:rPr>
          <w:rFonts w:ascii="Helvetica" w:hAnsi="Helvetica"/>
          <w:sz w:val="16"/>
          <w:szCs w:val="16"/>
        </w:rPr>
        <w:t xml:space="preserve"> activity in open clusters. Monthly Notices of the Royal Astronomical Society</w:t>
      </w:r>
      <w:r>
        <w:rPr>
          <w:rFonts w:ascii="Helvetica" w:hAnsi="Helvetica"/>
          <w:sz w:val="16"/>
          <w:szCs w:val="16"/>
        </w:rPr>
        <w:t xml:space="preserve"> </w:t>
      </w:r>
      <w:r w:rsidRPr="00CF600C">
        <w:rPr>
          <w:rFonts w:ascii="Helvetica" w:hAnsi="Helvetica"/>
          <w:sz w:val="16"/>
          <w:szCs w:val="16"/>
        </w:rPr>
        <w:t>476, 908–926 (2018)</w:t>
      </w:r>
      <w:r>
        <w:rPr>
          <w:rFonts w:ascii="Helvetica" w:hAnsi="Helvetica"/>
          <w:sz w:val="16"/>
          <w:szCs w:val="16"/>
        </w:rPr>
        <w:t>.</w:t>
      </w:r>
    </w:p>
    <w:p w14:paraId="29032477" w14:textId="0BAAE1D1" w:rsidR="00CF600C" w:rsidRPr="00CF600C" w:rsidRDefault="00CF600C" w:rsidP="00CF600C">
      <w:pPr>
        <w:rPr>
          <w:rFonts w:ascii="Helvetica" w:hAnsi="Helvetica"/>
          <w:sz w:val="16"/>
          <w:szCs w:val="16"/>
        </w:rPr>
      </w:pPr>
      <w:r>
        <w:rPr>
          <w:rFonts w:ascii="Helvetica" w:hAnsi="Helvetica"/>
          <w:sz w:val="16"/>
          <w:szCs w:val="16"/>
        </w:rPr>
        <w:t>6.</w:t>
      </w:r>
      <w:r w:rsidRPr="00CF600C">
        <w:rPr>
          <w:rFonts w:ascii="Helvetica" w:hAnsi="Helvetica"/>
          <w:sz w:val="16"/>
          <w:szCs w:val="16"/>
        </w:rPr>
        <w:t>Basri, G. An Introduction to Stellar Magnetic Activity (IOP Publishing, 2021).</w:t>
      </w:r>
    </w:p>
    <w:sectPr w:rsidR="00CF600C" w:rsidRPr="00CF6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F7B"/>
    <w:rsid w:val="000247BF"/>
    <w:rsid w:val="001748D2"/>
    <w:rsid w:val="002B365E"/>
    <w:rsid w:val="004C59B7"/>
    <w:rsid w:val="004E401D"/>
    <w:rsid w:val="005369AB"/>
    <w:rsid w:val="0064377C"/>
    <w:rsid w:val="007C25AA"/>
    <w:rsid w:val="00851386"/>
    <w:rsid w:val="00923BE9"/>
    <w:rsid w:val="00BB1927"/>
    <w:rsid w:val="00CF600C"/>
    <w:rsid w:val="00D43F7B"/>
    <w:rsid w:val="00E67AB9"/>
    <w:rsid w:val="00E7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AB2CE"/>
  <w15:chartTrackingRefBased/>
  <w15:docId w15:val="{50AF8AC6-263B-604C-9582-F480E7258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F7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43F7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369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5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1EBD39E-90B9-4643-86BD-7D1E45B5E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447</Words>
  <Characters>2235</Characters>
  <Application>Microsoft Office Word</Application>
  <DocSecurity>0</DocSecurity>
  <Lines>32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Yu</dc:creator>
  <cp:keywords/>
  <dc:description/>
  <cp:lastModifiedBy>Jie Yu</cp:lastModifiedBy>
  <cp:revision>9</cp:revision>
  <cp:lastPrinted>2025-04-02T05:58:00Z</cp:lastPrinted>
  <dcterms:created xsi:type="dcterms:W3CDTF">2025-04-02T05:58:00Z</dcterms:created>
  <dcterms:modified xsi:type="dcterms:W3CDTF">2025-04-04T02:46:00Z</dcterms:modified>
</cp:coreProperties>
</file>