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 w:val="0"/>
          <w:sz w:val="28"/>
        </w:rPr>
      </w:pPr>
      <w:r>
        <w:rPr>
          <w:b/>
          <w:sz w:val="32"/>
        </w:rPr>
        <w:t>Результаты проверки гипотезы о нормальном распределении</w:t>
      </w:r>
    </w:p>
    <w:p w:rsidR="00A77B3E">
      <w:pPr>
        <w:rPr>
          <w:b w:val="0"/>
          <w:sz w:val="28"/>
        </w:rPr>
      </w:pPr>
      <w:r>
        <w:rPr>
          <w:b w:val="0"/>
          <w:sz w:val="28"/>
        </w:rPr>
        <w:t>Таблица 1 - Входные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021"/>
        <w:gridCol w:w="3821"/>
        <w:gridCol w:w="457"/>
        <w:gridCol w:w="457"/>
        <w:gridCol w:w="457"/>
        <w:gridCol w:w="45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Начало интервала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Конец интервала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</w:tr>
    </w:tbl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t>Таблица 2 - Вычисляемые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−</m:t>
                    </m:r>
                    <m:sSub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s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ˉ"/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num>
                    <m:r>
                      <w:rPr>
                        <w:rFonts w:ascii="Cambria Math" w:eastAsia="Cambria Math" w:hAnsi="Cambria Math" w:cs="Cambria Math"/>
                      </w:rPr>
                      <m:t>∑</m:t>
                    </m:r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ad>
                  <m:radPr>
                    <m:degHide/>
                  </m:radPr>
                  <m:deg/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sSub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−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acc>
                      <m:accPr>
                        <m:chr m:val="ˉ"/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acc>
                    <m:s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</w:tr>
    </w:tbl>
    <w:p w:rsidR="00A77B3E">
      <w:pPr>
        <w:rPr>
          <w:b w:val="0"/>
          <w:sz w:val="28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