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444C"/>
          <w:sz w:val="24"/>
        </w:rPr>
        <w:t>REGRESIÓN LINEAL MÚLTIPLE Y POLINOMIAL</w:t>
      </w:r>
    </w:p>
    <w:p>
      <w:pPr>
        <w:spacing w:before="200" w:after="120"/>
        <w:jc w:val="center"/>
      </w:pPr>
      <w:r>
        <w:rPr>
          <w:b/>
          <w:color w:val="1F4E79"/>
          <w:sz w:val="52"/>
        </w:rPr>
        <w:t>Informe Técnico Consolidado</w:t>
      </w:r>
    </w:p>
    <w:p>
      <w:pPr>
        <w:spacing w:after="600"/>
        <w:jc w:val="center"/>
        <w:pBdr>
          <w:bottom w:val="single" w:sz="12" w:space="4" w:color="1F4E79"/>
        </w:pBdr>
      </w:pPr>
      <w:r>
        <w:rPr>
          <w:color w:val="44444C"/>
          <w:sz w:val="26"/>
        </w:rPr>
        <w:t>Caso 3 — Diabetes · Regresión Lineal Múltiple y Regresión Polinomial</w:t>
      </w:r>
    </w:p>
    <w:tbl>
      <w:tblPr>
        <w:tblStyle w:val="TableGrid"/>
        <w:tblW w:type="auto" w:w="0"/>
        <w:jc w:val="center"/>
        <w:tblLayout w:type="fixed"/>
        <w:tblLook w:firstColumn="1" w:firstRow="1" w:lastColumn="0" w:lastRow="0" w:noHBand="0" w:noVBand="1" w:val="04A0"/>
      </w:tblPr>
      <w:tblGrid>
        <w:gridCol w:w="4536"/>
        <w:gridCol w:w="4536"/>
      </w:tblGrid>
      <w:tr>
        <w:tc>
          <w:tcPr>
            <w:tcW w:type="dxa" w:w="2381"/>
            <w:shd w:val="clear" w:color="auto" w:fill="EAF1F8"/>
          </w:tcPr>
          <w:p>
            <w:r>
              <w:rPr>
                <w:b/>
                <w:color w:val="1F4E79"/>
                <w:sz w:val="20"/>
              </w:rPr>
              <w:t>Dataset</w:t>
            </w:r>
          </w:p>
        </w:tc>
        <w:tc>
          <w:tcPr>
            <w:tcW w:type="dxa" w:w="6690"/>
          </w:tcPr>
          <w:p>
            <w:r>
              <w:rPr>
                <w:b w:val="0"/>
                <w:i w:val="0"/>
                <w:sz w:val="20"/>
              </w:rPr>
              <w:t>sklearn.datasets.load_diabetes (442 muestras, 10 variables)</w:t>
            </w:r>
          </w:p>
        </w:tc>
      </w:tr>
      <w:tr>
        <w:tc>
          <w:tcPr>
            <w:tcW w:type="dxa" w:w="2381"/>
            <w:shd w:val="clear" w:color="auto" w:fill="EAF1F8"/>
          </w:tcPr>
          <w:p>
            <w:r>
              <w:rPr>
                <w:b/>
                <w:color w:val="1F4E79"/>
                <w:sz w:val="20"/>
              </w:rPr>
              <w:t>Contexto</w:t>
            </w:r>
          </w:p>
        </w:tc>
        <w:tc>
          <w:tcPr>
            <w:tcW w:type="dxa" w:w="6690"/>
          </w:tcPr>
          <w:p>
            <w:r>
              <w:rPr>
                <w:b w:val="0"/>
                <w:i w:val="0"/>
                <w:sz w:val="20"/>
              </w:rPr>
              <w:t>Progresión cuantitativa de la enfermedad un año después del inicio</w:t>
            </w:r>
          </w:p>
        </w:tc>
      </w:tr>
      <w:tr>
        <w:tc>
          <w:tcPr>
            <w:tcW w:type="dxa" w:w="2381"/>
            <w:shd w:val="clear" w:color="auto" w:fill="EAF1F8"/>
          </w:tcPr>
          <w:p>
            <w:r>
              <w:rPr>
                <w:b/>
                <w:color w:val="1F4E79"/>
                <w:sz w:val="20"/>
              </w:rPr>
              <w:t>Metodología</w:t>
            </w:r>
          </w:p>
        </w:tc>
        <w:tc>
          <w:tcPr>
            <w:tcW w:type="dxa" w:w="6690"/>
          </w:tcPr>
          <w:p>
            <w:r>
              <w:rPr>
                <w:b w:val="0"/>
                <w:i w:val="0"/>
                <w:sz w:val="20"/>
              </w:rPr>
              <w:t>Regresión Lineal Múltiple y Regresión Polinomial</w:t>
            </w:r>
          </w:p>
        </w:tc>
      </w:tr>
      <w:tr>
        <w:tc>
          <w:tcPr>
            <w:tcW w:type="dxa" w:w="2381"/>
            <w:shd w:val="clear" w:color="auto" w:fill="EAF1F8"/>
          </w:tcPr>
          <w:p>
            <w:r>
              <w:rPr>
                <w:b/>
                <w:color w:val="1F4E79"/>
                <w:sz w:val="20"/>
              </w:rPr>
              <w:t>Partición</w:t>
            </w:r>
          </w:p>
        </w:tc>
        <w:tc>
          <w:tcPr>
            <w:tcW w:type="dxa" w:w="6690"/>
          </w:tcPr>
          <w:p>
            <w:r>
              <w:rPr>
                <w:b w:val="0"/>
                <w:i w:val="0"/>
                <w:sz w:val="20"/>
              </w:rPr>
              <w:t>75 % entrenamiento / 25 % prueba (random_state = 42)</w:t>
            </w:r>
          </w:p>
        </w:tc>
      </w:tr>
      <w:tr>
        <w:tc>
          <w:tcPr>
            <w:tcW w:type="dxa" w:w="2381"/>
            <w:shd w:val="clear" w:color="auto" w:fill="EAF1F8"/>
          </w:tcPr>
          <w:p>
            <w:r>
              <w:rPr>
                <w:b/>
                <w:color w:val="1F4E79"/>
                <w:sz w:val="20"/>
              </w:rPr>
              <w:t>Herramientas</w:t>
            </w:r>
          </w:p>
        </w:tc>
        <w:tc>
          <w:tcPr>
            <w:tcW w:type="dxa" w:w="6690"/>
          </w:tcPr>
          <w:p>
            <w:r>
              <w:rPr>
                <w:b w:val="0"/>
                <w:i w:val="0"/>
                <w:sz w:val="20"/>
              </w:rPr>
              <w:t>Python 3.13 · scikit-learn 1.9 · pandas · NumPy · SciPy · Matplotlib</w:t>
            </w:r>
          </w:p>
        </w:tc>
      </w:tr>
      <w:tr>
        <w:tc>
          <w:tcPr>
            <w:tcW w:type="dxa" w:w="2381"/>
            <w:shd w:val="clear" w:color="auto" w:fill="EAF1F8"/>
          </w:tcPr>
          <w:p>
            <w:r>
              <w:rPr>
                <w:b/>
                <w:color w:val="1F4E79"/>
                <w:sz w:val="20"/>
              </w:rPr>
              <w:t>Reproducción</w:t>
            </w:r>
          </w:p>
        </w:tc>
        <w:tc>
          <w:tcPr>
            <w:tcW w:type="dxa" w:w="6690"/>
          </w:tcPr>
          <w:p>
            <w:r>
              <w:rPr>
                <w:b w:val="0"/>
                <w:i w:val="0"/>
                <w:sz w:val="20"/>
              </w:rPr>
              <w:t>python train.py</w:t>
            </w:r>
          </w:p>
        </w:tc>
      </w:tr>
    </w:tbl>
    <w:p>
      <w:pPr>
        <w:spacing w:after="480"/>
      </w:pPr>
    </w:p>
    <w:p>
      <w:pPr>
        <w:spacing w:after="160"/>
        <w:jc w:val="center"/>
      </w:pPr>
      <w:r>
        <w:rPr>
          <w:b/>
          <w:color w:val="1F4E79"/>
          <w:sz w:val="22"/>
        </w:rPr>
        <w:t>INTEGRANTES Y DIVISIÓN DE FUNCIONES</w:t>
      </w:r>
    </w:p>
    <w:tbl>
      <w:tblPr>
        <w:tblStyle w:val="TableGrid"/>
        <w:tblW w:type="auto" w:w="0"/>
        <w:jc w:val="center"/>
        <w:tblLayout w:type="fixed"/>
        <w:tblLook w:firstColumn="1" w:firstRow="1" w:lastColumn="0" w:lastRow="0" w:noHBand="0" w:noVBand="1" w:val="04A0"/>
      </w:tblPr>
      <w:tblGrid>
        <w:gridCol w:w="4536"/>
        <w:gridCol w:w="4536"/>
      </w:tblGrid>
      <w:tr>
        <w:tc>
          <w:tcPr>
            <w:tcW w:type="dxa" w:w="3969"/>
            <w:shd w:val="clear" w:color="auto" w:fill="1F4E79"/>
          </w:tcPr>
          <w:p>
            <w:r>
              <w:rPr>
                <w:b/>
                <w:color w:val="FFFFFF"/>
                <w:sz w:val="20"/>
              </w:rPr>
              <w:t>Integrante</w:t>
            </w:r>
          </w:p>
        </w:tc>
        <w:tc>
          <w:tcPr>
            <w:tcW w:type="dxa" w:w="5102"/>
            <w:shd w:val="clear" w:color="auto" w:fill="1F4E79"/>
          </w:tcPr>
          <w:p>
            <w:r>
              <w:rPr>
                <w:b/>
                <w:color w:val="FFFFFF"/>
                <w:sz w:val="20"/>
              </w:rPr>
              <w:t>Función desempeñada</w:t>
            </w:r>
          </w:p>
        </w:tc>
      </w:tr>
      <w:tr>
        <w:tc>
          <w:tcPr>
            <w:tcW w:type="dxa" w:w="3969"/>
          </w:tcPr>
          <w:p>
            <w:r>
              <w:rPr>
                <w:sz w:val="22"/>
              </w:rPr>
              <w:t xml:space="preserve"> </w:t>
            </w:r>
          </w:p>
        </w:tc>
        <w:tc>
          <w:tcPr>
            <w:tcW w:type="dxa" w:w="5102"/>
          </w:tcPr>
          <w:p>
            <w:r>
              <w:rPr>
                <w:sz w:val="22"/>
              </w:rPr>
              <w:t xml:space="preserve"> </w:t>
            </w:r>
          </w:p>
        </w:tc>
      </w:tr>
      <w:tr>
        <w:tc>
          <w:tcPr>
            <w:tcW w:type="dxa" w:w="3969"/>
          </w:tcPr>
          <w:p>
            <w:r>
              <w:rPr>
                <w:sz w:val="22"/>
              </w:rPr>
              <w:t xml:space="preserve"> </w:t>
            </w:r>
          </w:p>
        </w:tc>
        <w:tc>
          <w:tcPr>
            <w:tcW w:type="dxa" w:w="5102"/>
          </w:tcPr>
          <w:p>
            <w:r>
              <w:rPr>
                <w:sz w:val="22"/>
              </w:rPr>
              <w:t xml:space="preserve"> </w:t>
            </w:r>
          </w:p>
        </w:tc>
      </w:tr>
      <w:tr>
        <w:tc>
          <w:tcPr>
            <w:tcW w:type="dxa" w:w="3969"/>
          </w:tcPr>
          <w:p>
            <w:r>
              <w:rPr>
                <w:sz w:val="22"/>
              </w:rPr>
              <w:t xml:space="preserve"> </w:t>
            </w:r>
          </w:p>
        </w:tc>
        <w:tc>
          <w:tcPr>
            <w:tcW w:type="dxa" w:w="5102"/>
          </w:tcPr>
          <w:p>
            <w:r>
              <w:rPr>
                <w:sz w:val="22"/>
              </w:rPr>
              <w:t xml:space="preserve"> </w:t>
            </w:r>
          </w:p>
        </w:tc>
      </w:tr>
      <w:tr>
        <w:tc>
          <w:tcPr>
            <w:tcW w:type="dxa" w:w="3969"/>
          </w:tcPr>
          <w:p>
            <w:r>
              <w:rPr>
                <w:sz w:val="22"/>
              </w:rPr>
              <w:t xml:space="preserve"> </w:t>
            </w:r>
          </w:p>
        </w:tc>
        <w:tc>
          <w:tcPr>
            <w:tcW w:type="dxa" w:w="5102"/>
          </w:tcPr>
          <w:p>
            <w:r>
              <w:rPr>
                <w:sz w:val="22"/>
              </w:rPr>
              <w:t xml:space="preserve"> </w:t>
            </w:r>
          </w:p>
        </w:tc>
      </w:tr>
    </w:tbl>
    <w:p>
      <w:pPr>
        <w:jc w:val="center"/>
      </w:pPr>
      <w:r>
        <w:rPr>
          <w:i/>
          <w:color w:val="44444C"/>
          <w:sz w:val="17"/>
        </w:rPr>
        <w:t>(completar antes de la entrega)</w:t>
      </w:r>
    </w:p>
    <w:p>
      <w:r>
        <w:br w:type="page"/>
      </w:r>
    </w:p>
    <w:p>
      <w:pPr>
        <w:pBdr>
          <w:bottom w:val="single" w:sz="6" w:space="4" w:color="1F4E79"/>
        </w:pBdr>
        <w:spacing w:after="200"/>
      </w:pPr>
      <w:r>
        <w:rPr>
          <w:b/>
          <w:color w:val="1F4E79"/>
          <w:sz w:val="32"/>
        </w:rPr>
        <w:t>Tabla de contenido</w:t>
      </w:r>
    </w:p>
    <w:p>
      <w:r>
        <w:fldChar w:fldCharType="begin"/>
      </w:r>
      <w:r>
        <w:instrText xml:space="preserve">TOC \o "1-3" \h \z \u</w:instrText>
      </w:r>
      <w:r>
        <w:fldChar w:fldCharType="separate"/>
      </w:r>
      <w:r>
        <w:t> </w:t>
      </w:r>
      <w:r>
        <w:fldChar w:fldCharType="end"/>
      </w:r>
    </w:p>
    <w:p>
      <w:r>
        <w:rPr>
          <w:i/>
          <w:color w:val="44444C"/>
          <w:sz w:val="17"/>
        </w:rPr>
        <w:t>Para actualizar el índice en Word: clic derecho sobre él → Actualizar campos → Actualizar toda la tabla.</w:t>
      </w:r>
    </w:p>
    <w:p>
      <w:r>
        <w:br w:type="page"/>
      </w:r>
    </w:p>
    <w:p>
      <w:pPr>
        <w:pStyle w:val="Heading2"/>
        <w:spacing w:before="200" w:after="120"/>
      </w:pPr>
      <w:r>
        <w:rPr>
          <w:color w:val="1F4E79"/>
        </w:rPr>
        <w:t>Estructura de la documentación</w:t>
      </w:r>
    </w:p>
    <w:p>
      <w:pPr>
        <w:jc w:val="both"/>
      </w:pPr>
      <w:r>
        <w:rPr>
          <w:b w:val="0"/>
          <w:i w:val="0"/>
        </w:rPr>
        <w:t xml:space="preserve">Las dos metodologías exigidas se documentan </w:t>
      </w:r>
      <w:r>
        <w:rPr>
          <w:b/>
          <w:i w:val="0"/>
        </w:rPr>
        <w:t>por separado</w:t>
      </w:r>
      <w:r>
        <w:rPr>
          <w:b w:val="0"/>
          <w:i w:val="0"/>
        </w:rPr>
        <w:t>, cada una en su propio informe autocontenido:</w:t>
      </w:r>
    </w:p>
    <w:tbl>
      <w:tblPr>
        <w:tblStyle w:val="TableGrid"/>
        <w:tblW w:type="auto" w:w="0"/>
        <w:jc w:val="center"/>
        <w:tblLayout w:type="fixed"/>
        <w:tblLook w:firstColumn="1" w:firstRow="1" w:lastColumn="0" w:lastRow="0" w:noHBand="0" w:noVBand="1" w:val="04A0"/>
      </w:tblPr>
      <w:tblGrid>
        <w:gridCol w:w="4536"/>
        <w:gridCol w:w="4536"/>
      </w:tblGrid>
      <w:tr>
        <w:tc>
          <w:tcPr>
            <w:tcW w:type="dxa" w:w="4995"/>
            <w:shd w:val="clear" w:color="auto" w:fill="1F4E79"/>
          </w:tcPr>
          <w:p>
            <w:pPr>
              <w:spacing w:before="40" w:after="40"/>
            </w:pPr>
            <w:r>
              <w:rPr>
                <w:color w:val="FFFFFF"/>
              </w:rPr>
            </w:r>
            <w:r>
              <w:rPr>
                <w:b/>
                <w:i w:val="0"/>
                <w:color w:val="FFFFFF"/>
                <w:sz w:val="19"/>
              </w:rPr>
              <w:t>Documento</w:t>
            </w:r>
          </w:p>
        </w:tc>
        <w:tc>
          <w:tcPr>
            <w:tcW w:type="dxa" w:w="4076"/>
            <w:shd w:val="clear" w:color="auto" w:fill="1F4E79"/>
          </w:tcPr>
          <w:p>
            <w:pPr>
              <w:spacing w:before="40" w:after="40"/>
            </w:pPr>
            <w:r>
              <w:rPr>
                <w:color w:val="FFFFFF"/>
              </w:rPr>
            </w:r>
            <w:r>
              <w:rPr>
                <w:b/>
                <w:i w:val="0"/>
                <w:color w:val="FFFFFF"/>
                <w:sz w:val="19"/>
              </w:rPr>
              <w:t>Contenido</w:t>
            </w:r>
          </w:p>
        </w:tc>
      </w:tr>
      <w:tr>
        <w:tc>
          <w:tcPr>
            <w:tcW w:type="dxa" w:w="4995"/>
          </w:tcPr>
          <w:p>
            <w:pPr>
              <w:spacing w:before="20" w:after="20"/>
            </w:pPr>
            <w:hyperlink r:id="rId10">
              <w:r>
                <w:rPr>
                  <w:color w:val="0563C1"/>
                  <w:u w:val="single"/>
                </w:rPr>
                <w:t xml:space="preserve">Informe 1 — Regresión Lineal Múltiple</w:t>
              </w:r>
            </w:hyperlink>
          </w:p>
        </w:tc>
        <w:tc>
          <w:tcPr>
            <w:tcW w:type="dxa" w:w="4076"/>
          </w:tcPr>
          <w:p>
            <w:pPr>
              <w:spacing w:before="20" w:after="20"/>
              <w:jc w:val="right"/>
            </w:pPr>
            <w:r>
              <w:rPr>
                <w:b w:val="0"/>
                <w:i w:val="0"/>
                <w:sz w:val="19"/>
              </w:rPr>
              <w:t>Fase A completa (EDA y preprocesamiento) + Fase B múltiple (OLS, Ridge, Lasso, significancia, residuos) + Fase C</w:t>
            </w:r>
          </w:p>
        </w:tc>
      </w:tr>
      <w:tr>
        <w:tc>
          <w:tcPr>
            <w:tcW w:type="dxa" w:w="4995"/>
            <w:shd w:val="clear" w:color="auto" w:fill="F7F9FC"/>
          </w:tcPr>
          <w:p>
            <w:pPr>
              <w:spacing w:before="20" w:after="20"/>
            </w:pPr>
            <w:hyperlink r:id="rId11">
              <w:r>
                <w:rPr>
                  <w:color w:val="0563C1"/>
                  <w:u w:val="single"/>
                </w:rPr>
                <w:t xml:space="preserve">Informe 2 — Regresión Polinomial</w:t>
              </w:r>
            </w:hyperlink>
          </w:p>
        </w:tc>
        <w:tc>
          <w:tcPr>
            <w:tcW w:type="dxa" w:w="4076"/>
            <w:shd w:val="clear" w:color="auto" w:fill="F7F9FC"/>
          </w:tcPr>
          <w:p>
            <w:pPr>
              <w:spacing w:before="20" w:after="20"/>
              <w:jc w:val="right"/>
            </w:pPr>
            <w:r>
              <w:rPr>
                <w:b w:val="0"/>
                <w:i w:val="0"/>
                <w:sz w:val="19"/>
              </w:rPr>
              <w:t>Fase A resumida + Fase B polinomial (grados 1–3, análisis de sobreajuste, comparativa) + Fase C</w:t>
            </w:r>
          </w:p>
        </w:tc>
      </w:tr>
      <w:tr>
        <w:tc>
          <w:tcPr>
            <w:tcW w:type="dxa" w:w="4995"/>
          </w:tcPr>
          <w:p>
            <w:pPr>
              <w:spacing w:before="20" w:after="20"/>
            </w:pPr>
            <w:r>
              <w:rPr>
                <w:b w:val="0"/>
                <w:i w:val="0"/>
                <w:sz w:val="19"/>
              </w:rPr>
              <w:t>Este documento</w:t>
            </w:r>
          </w:p>
        </w:tc>
        <w:tc>
          <w:tcPr>
            <w:tcW w:type="dxa" w:w="4076"/>
          </w:tcPr>
          <w:p>
            <w:pPr>
              <w:spacing w:before="20" w:after="20"/>
              <w:jc w:val="right"/>
            </w:pPr>
            <w:r>
              <w:rPr>
                <w:b w:val="0"/>
                <w:i w:val="0"/>
                <w:sz w:val="19"/>
              </w:rPr>
              <w:t>Síntesis, comparativa global y conclusiones conjuntas</w:t>
            </w:r>
          </w:p>
        </w:tc>
      </w:tr>
    </w:tbl>
    <w:p>
      <w:pPr>
        <w:spacing w:after="120"/>
      </w:pPr>
    </w:p>
    <w:p>
      <w:pPr>
        <w:jc w:val="both"/>
      </w:pPr>
      <w:r>
        <w:rPr>
          <w:b w:val="0"/>
          <w:i w:val="0"/>
        </w:rPr>
        <w:t xml:space="preserve">La </w:t>
      </w:r>
      <w:r>
        <w:rPr>
          <w:b/>
          <w:i w:val="0"/>
        </w:rPr>
        <w:t>Fase A es común</w:t>
      </w:r>
      <w:r>
        <w:rPr>
          <w:b w:val="0"/>
          <w:i w:val="0"/>
        </w:rPr>
        <w:t xml:space="preserve"> a ambas metodologías y se desarrolla íntegra en el Informe 1; el Informe 2 incluye el resumen necesario para ser leído de forma independiente.</w:t>
      </w:r>
    </w:p>
    <w:p>
      <w:pPr>
        <w:pStyle w:val="Heading2"/>
        <w:spacing w:before="200" w:after="120"/>
      </w:pPr>
      <w:r>
        <w:rPr>
          <w:color w:val="1F4E79"/>
        </w:rPr>
        <w:t>Síntesis por fases</w:t>
      </w:r>
    </w:p>
    <w:p>
      <w:pPr>
        <w:pStyle w:val="Heading3"/>
        <w:spacing w:before="200" w:after="120"/>
      </w:pPr>
      <w:r>
        <w:rPr>
          <w:color w:val="1F4E79"/>
        </w:rPr>
        <w:t>Fase A — Análisis exploratorio y preprocesamiento</w:t>
      </w:r>
    </w:p>
    <w:tbl>
      <w:tblPr>
        <w:tblStyle w:val="TableGrid"/>
        <w:tblW w:type="auto" w:w="0"/>
        <w:jc w:val="center"/>
        <w:tblLayout w:type="fixed"/>
        <w:tblLook w:firstColumn="1" w:firstRow="1" w:lastColumn="0" w:lastRow="0" w:noHBand="0" w:noVBand="1" w:val="04A0"/>
      </w:tblPr>
      <w:tblGrid>
        <w:gridCol w:w="4536"/>
        <w:gridCol w:w="4536"/>
      </w:tblGrid>
      <w:tr>
        <w:tc>
          <w:tcPr>
            <w:tcW w:type="dxa" w:w="2855"/>
            <w:shd w:val="clear" w:color="auto" w:fill="1F4E79"/>
          </w:tcPr>
          <w:p>
            <w:pPr>
              <w:spacing w:before="40" w:after="40"/>
            </w:pPr>
            <w:r>
              <w:rPr>
                <w:color w:val="FFFFFF"/>
              </w:rPr>
            </w:r>
            <w:r>
              <w:rPr>
                <w:b/>
                <w:i w:val="0"/>
                <w:color w:val="FFFFFF"/>
                <w:sz w:val="19"/>
              </w:rPr>
              <w:t>Requisito</w:t>
            </w:r>
          </w:p>
        </w:tc>
        <w:tc>
          <w:tcPr>
            <w:tcW w:type="dxa" w:w="6216"/>
            <w:shd w:val="clear" w:color="auto" w:fill="1F4E79"/>
          </w:tcPr>
          <w:p>
            <w:pPr>
              <w:spacing w:before="40" w:after="40"/>
            </w:pPr>
            <w:r>
              <w:rPr>
                <w:color w:val="FFFFFF"/>
              </w:rPr>
            </w:r>
            <w:r>
              <w:rPr>
                <w:b/>
                <w:i w:val="0"/>
                <w:color w:val="FFFFFF"/>
                <w:sz w:val="19"/>
              </w:rPr>
              <w:t>Resultado</w:t>
            </w:r>
          </w:p>
        </w:tc>
      </w:tr>
      <w:tr>
        <w:tc>
          <w:tcPr>
            <w:tcW w:type="dxa" w:w="2855"/>
          </w:tcPr>
          <w:p>
            <w:pPr>
              <w:spacing w:before="20" w:after="20"/>
            </w:pPr>
            <w:r>
              <w:rPr>
                <w:b w:val="0"/>
                <w:i w:val="0"/>
                <w:sz w:val="19"/>
              </w:rPr>
              <w:t>Dimensiones</w:t>
            </w:r>
          </w:p>
        </w:tc>
        <w:tc>
          <w:tcPr>
            <w:tcW w:type="dxa" w:w="6216"/>
          </w:tcPr>
          <w:p>
            <w:pPr>
              <w:spacing w:before="20" w:after="20"/>
              <w:jc w:val="right"/>
            </w:pPr>
            <w:r>
              <w:rPr>
                <w:b w:val="0"/>
                <w:i w:val="0"/>
                <w:sz w:val="19"/>
              </w:rPr>
              <w:t xml:space="preserve">442 × 10, todas </w:t>
            </w:r>
            <w:r>
              <w:rPr>
                <w:rFonts w:ascii="Consolas" w:hAnsi="Consolas"/>
                <w:b w:val="0"/>
                <w:i w:val="0"/>
                <w:color w:val="A31515"/>
                <w:sz w:val="17"/>
              </w:rPr>
              <w:t>float64</w:t>
            </w:r>
          </w:p>
        </w:tc>
      </w:tr>
      <w:tr>
        <w:tc>
          <w:tcPr>
            <w:tcW w:type="dxa" w:w="2855"/>
            <w:shd w:val="clear" w:color="auto" w:fill="F7F9FC"/>
          </w:tcPr>
          <w:p>
            <w:pPr>
              <w:spacing w:before="20" w:after="20"/>
            </w:pPr>
            <w:r>
              <w:rPr>
                <w:b w:val="0"/>
                <w:i w:val="0"/>
                <w:sz w:val="19"/>
              </w:rPr>
              <w:t>Limpieza / nulos</w:t>
            </w:r>
          </w:p>
        </w:tc>
        <w:tc>
          <w:tcPr>
            <w:tcW w:type="dxa" w:w="6216"/>
            <w:shd w:val="clear" w:color="auto" w:fill="F7F9FC"/>
          </w:tcPr>
          <w:p>
            <w:pPr>
              <w:spacing w:before="20" w:after="20"/>
              <w:jc w:val="right"/>
            </w:pPr>
            <w:r>
              <w:rPr>
                <w:b/>
                <w:i w:val="0"/>
                <w:sz w:val="19"/>
              </w:rPr>
              <w:t>0 nulos, 0 duplicados</w:t>
            </w:r>
            <w:r>
              <w:rPr>
                <w:b w:val="0"/>
                <w:i w:val="0"/>
                <w:sz w:val="19"/>
              </w:rPr>
              <w:t xml:space="preserve"> → no se requiere imputación</w:t>
            </w:r>
          </w:p>
        </w:tc>
      </w:tr>
      <w:tr>
        <w:tc>
          <w:tcPr>
            <w:tcW w:type="dxa" w:w="2855"/>
          </w:tcPr>
          <w:p>
            <w:pPr>
              <w:spacing w:before="20" w:after="20"/>
            </w:pPr>
            <w:r>
              <w:rPr>
                <w:b w:val="0"/>
                <w:i w:val="0"/>
                <w:sz w:val="19"/>
              </w:rPr>
              <w:t>Outliers</w:t>
            </w:r>
          </w:p>
        </w:tc>
        <w:tc>
          <w:tcPr>
            <w:tcW w:type="dxa" w:w="6216"/>
          </w:tcPr>
          <w:p>
            <w:pPr>
              <w:spacing w:before="20" w:after="20"/>
              <w:jc w:val="right"/>
            </w:pPr>
            <w:r>
              <w:rPr>
                <w:b w:val="0"/>
                <w:i w:val="0"/>
                <w:sz w:val="19"/>
              </w:rPr>
              <w:t xml:space="preserve">2 a 9 por variable (IQR); </w:t>
            </w:r>
            <w:r>
              <w:rPr>
                <w:b/>
                <w:i w:val="0"/>
                <w:sz w:val="19"/>
              </w:rPr>
              <w:t>ninguno en el target</w:t>
            </w:r>
            <w:r>
              <w:rPr>
                <w:b w:val="0"/>
                <w:i w:val="0"/>
                <w:sz w:val="19"/>
              </w:rPr>
              <w:t xml:space="preserve">. Se conservan: control winsorizado 1–99 % mueve el R² solo </w:t>
            </w:r>
            <w:r>
              <w:rPr>
                <w:b/>
                <w:i w:val="0"/>
                <w:sz w:val="19"/>
              </w:rPr>
              <w:t>+0.0016</w:t>
            </w:r>
          </w:p>
        </w:tc>
      </w:tr>
      <w:tr>
        <w:tc>
          <w:tcPr>
            <w:tcW w:type="dxa" w:w="2855"/>
            <w:shd w:val="clear" w:color="auto" w:fill="F7F9FC"/>
          </w:tcPr>
          <w:p>
            <w:pPr>
              <w:spacing w:before="20" w:after="20"/>
            </w:pPr>
            <w:r>
              <w:rPr>
                <w:b w:val="0"/>
                <w:i w:val="0"/>
                <w:sz w:val="19"/>
              </w:rPr>
              <w:t>Multicolinealidad</w:t>
            </w:r>
          </w:p>
        </w:tc>
        <w:tc>
          <w:tcPr>
            <w:tcW w:type="dxa" w:w="6216"/>
            <w:shd w:val="clear" w:color="auto" w:fill="F7F9FC"/>
          </w:tcPr>
          <w:p>
            <w:pPr>
              <w:spacing w:before="20" w:after="20"/>
              <w:jc w:val="right"/>
            </w:pPr>
            <w:r>
              <w:rPr>
                <w:b/>
                <w:i w:val="0"/>
                <w:sz w:val="19"/>
              </w:rPr>
              <w:t>Severa y estructural.</w:t>
            </w:r>
            <w:r>
              <w:rPr>
                <w:b w:val="0"/>
                <w:i w:val="0"/>
                <w:sz w:val="19"/>
              </w:rPr>
              <w:t xml:space="preserve"> VIF: </w:t>
            </w:r>
            <w:r>
              <w:rPr>
                <w:rFonts w:ascii="Consolas" w:hAnsi="Consolas"/>
                <w:b w:val="0"/>
                <w:i w:val="0"/>
                <w:color w:val="A31515"/>
                <w:sz w:val="17"/>
              </w:rPr>
              <w:t>s1</w:t>
            </w:r>
            <w:r>
              <w:rPr>
                <w:b w:val="0"/>
                <w:i w:val="0"/>
                <w:sz w:val="19"/>
              </w:rPr>
              <w:t xml:space="preserve"> 59.20, </w:t>
            </w:r>
            <w:r>
              <w:rPr>
                <w:rFonts w:ascii="Consolas" w:hAnsi="Consolas"/>
                <w:b w:val="0"/>
                <w:i w:val="0"/>
                <w:color w:val="A31515"/>
                <w:sz w:val="17"/>
              </w:rPr>
              <w:t>s2</w:t>
            </w:r>
            <w:r>
              <w:rPr>
                <w:b w:val="0"/>
                <w:i w:val="0"/>
                <w:sz w:val="19"/>
              </w:rPr>
              <w:t xml:space="preserve"> 39.19, </w:t>
            </w:r>
            <w:r>
              <w:rPr>
                <w:rFonts w:ascii="Consolas" w:hAnsi="Consolas"/>
                <w:b w:val="0"/>
                <w:i w:val="0"/>
                <w:color w:val="A31515"/>
                <w:sz w:val="17"/>
              </w:rPr>
              <w:t>s3</w:t>
            </w:r>
            <w:r>
              <w:rPr>
                <w:b w:val="0"/>
                <w:i w:val="0"/>
                <w:sz w:val="19"/>
              </w:rPr>
              <w:t xml:space="preserve"> 15.40, </w:t>
            </w:r>
            <w:r>
              <w:rPr>
                <w:rFonts w:ascii="Consolas" w:hAnsi="Consolas"/>
                <w:b w:val="0"/>
                <w:i w:val="0"/>
                <w:color w:val="A31515"/>
                <w:sz w:val="17"/>
              </w:rPr>
              <w:t>s5</w:t>
            </w:r>
            <w:r>
              <w:rPr>
                <w:b w:val="0"/>
                <w:i w:val="0"/>
                <w:sz w:val="19"/>
              </w:rPr>
              <w:t xml:space="preserve"> 10.08. r(</w:t>
            </w:r>
            <w:r>
              <w:rPr>
                <w:rFonts w:ascii="Consolas" w:hAnsi="Consolas"/>
                <w:b w:val="0"/>
                <w:i w:val="0"/>
                <w:color w:val="A31515"/>
                <w:sz w:val="17"/>
              </w:rPr>
              <w:t>s1</w:t>
            </w:r>
            <w:r>
              <w:rPr>
                <w:b w:val="0"/>
                <w:i w:val="0"/>
                <w:sz w:val="19"/>
              </w:rPr>
              <w:t>,</w:t>
            </w:r>
            <w:r>
              <w:rPr>
                <w:rFonts w:ascii="Consolas" w:hAnsi="Consolas"/>
                <w:b w:val="0"/>
                <w:i w:val="0"/>
                <w:color w:val="A31515"/>
                <w:sz w:val="17"/>
              </w:rPr>
              <w:t>s2</w:t>
            </w:r>
            <w:r>
              <w:rPr>
                <w:b w:val="0"/>
                <w:i w:val="0"/>
                <w:sz w:val="19"/>
              </w:rPr>
              <w:t xml:space="preserve">) = </w:t>
            </w:r>
            <w:r>
              <w:rPr>
                <w:b/>
                <w:i w:val="0"/>
                <w:sz w:val="19"/>
              </w:rPr>
              <w:t>+0.897</w:t>
            </w:r>
          </w:p>
        </w:tc>
      </w:tr>
      <w:tr>
        <w:tc>
          <w:tcPr>
            <w:tcW w:type="dxa" w:w="2855"/>
          </w:tcPr>
          <w:p>
            <w:pPr>
              <w:spacing w:before="20" w:after="20"/>
            </w:pPr>
            <w:r>
              <w:rPr>
                <w:b w:val="0"/>
                <w:i w:val="0"/>
                <w:sz w:val="19"/>
              </w:rPr>
              <w:t>Estandarización</w:t>
            </w:r>
          </w:p>
        </w:tc>
        <w:tc>
          <w:tcPr>
            <w:tcW w:type="dxa" w:w="6216"/>
          </w:tcPr>
          <w:p>
            <w:pPr>
              <w:spacing w:before="20" w:after="20"/>
              <w:jc w:val="right"/>
            </w:pPr>
            <w:r>
              <w:rPr>
                <w:rFonts w:ascii="Consolas" w:hAnsi="Consolas"/>
                <w:b w:val="0"/>
                <w:i w:val="0"/>
                <w:color w:val="A31515"/>
                <w:sz w:val="17"/>
              </w:rPr>
              <w:t>StandardScaler</w:t>
            </w:r>
            <w:r>
              <w:rPr>
                <w:b w:val="0"/>
                <w:i w:val="0"/>
                <w:sz w:val="19"/>
              </w:rPr>
              <w:t xml:space="preserve"> dentro del </w:t>
            </w:r>
            <w:r>
              <w:rPr>
                <w:rFonts w:ascii="Consolas" w:hAnsi="Consolas"/>
                <w:b w:val="0"/>
                <w:i w:val="0"/>
                <w:color w:val="A31515"/>
                <w:sz w:val="17"/>
              </w:rPr>
              <w:t>Pipeline</w:t>
            </w:r>
            <w:r>
              <w:rPr>
                <w:b w:val="0"/>
                <w:i w:val="0"/>
                <w:sz w:val="19"/>
              </w:rPr>
              <w:t xml:space="preserve"> (evita fuga de información en la validación cruzada)</w:t>
            </w:r>
          </w:p>
        </w:tc>
      </w:tr>
      <w:tr>
        <w:tc>
          <w:tcPr>
            <w:tcW w:type="dxa" w:w="2855"/>
            <w:shd w:val="clear" w:color="auto" w:fill="F7F9FC"/>
          </w:tcPr>
          <w:p>
            <w:pPr>
              <w:spacing w:before="20" w:after="20"/>
            </w:pPr>
            <w:r>
              <w:rPr>
                <w:b w:val="0"/>
                <w:i w:val="0"/>
                <w:sz w:val="19"/>
              </w:rPr>
              <w:t>Partición</w:t>
            </w:r>
          </w:p>
        </w:tc>
        <w:tc>
          <w:tcPr>
            <w:tcW w:type="dxa" w:w="6216"/>
            <w:shd w:val="clear" w:color="auto" w:fill="F7F9FC"/>
          </w:tcPr>
          <w:p>
            <w:pPr>
              <w:spacing w:before="20" w:after="20"/>
              <w:jc w:val="right"/>
            </w:pPr>
            <w:r>
              <w:rPr>
                <w:b w:val="0"/>
                <w:i w:val="0"/>
                <w:sz w:val="19"/>
              </w:rPr>
              <w:t>331 entrenamiento / 111 prueba (75 / 25)</w:t>
            </w:r>
          </w:p>
        </w:tc>
      </w:tr>
    </w:tbl>
    <w:p>
      <w:pPr>
        <w:spacing w:after="120"/>
      </w:pPr>
    </w:p>
    <w:p>
      <w:pPr>
        <w:jc w:val="both"/>
      </w:pPr>
      <w:r>
        <w:rPr>
          <w:b/>
          <w:i w:val="0"/>
        </w:rPr>
        <w:t>Causa de la multicolinealidad:</w:t>
      </w:r>
      <w:r>
        <w:rPr>
          <w:b w:val="0"/>
          <w:i w:val="0"/>
        </w:rPr>
        <w:t xml:space="preserve"> </w:t>
      </w:r>
      <w:r>
        <w:rPr>
          <w:rFonts w:ascii="Consolas" w:hAnsi="Consolas"/>
          <w:b w:val="0"/>
          <w:i w:val="0"/>
          <w:color w:val="A31515"/>
          <w:sz w:val="19"/>
        </w:rPr>
        <w:t>s4</w:t>
      </w:r>
      <w:r>
        <w:rPr>
          <w:b w:val="0"/>
          <w:i w:val="0"/>
        </w:rPr>
        <w:t xml:space="preserve"> = </w:t>
      </w:r>
      <w:r>
        <w:rPr>
          <w:rFonts w:ascii="Consolas" w:hAnsi="Consolas"/>
          <w:b w:val="0"/>
          <w:i w:val="0"/>
          <w:color w:val="A31515"/>
          <w:sz w:val="19"/>
        </w:rPr>
        <w:t>s1</w:t>
      </w:r>
      <w:r>
        <w:rPr>
          <w:b w:val="0"/>
          <w:i w:val="0"/>
        </w:rPr>
        <w:t>/</w:t>
      </w:r>
      <w:r>
        <w:rPr>
          <w:rFonts w:ascii="Consolas" w:hAnsi="Consolas"/>
          <w:b w:val="0"/>
          <w:i w:val="0"/>
          <w:color w:val="A31515"/>
          <w:sz w:val="19"/>
        </w:rPr>
        <w:t>s3</w:t>
      </w:r>
      <w:r>
        <w:rPr>
          <w:b w:val="0"/>
          <w:i w:val="0"/>
        </w:rPr>
        <w:t xml:space="preserve"> por definición y </w:t>
      </w:r>
      <w:r>
        <w:rPr>
          <w:rFonts w:ascii="Consolas" w:hAnsi="Consolas"/>
          <w:b w:val="0"/>
          <w:i w:val="0"/>
          <w:color w:val="A31515"/>
          <w:sz w:val="19"/>
        </w:rPr>
        <w:t>s2</w:t>
      </w:r>
      <w:r>
        <w:rPr>
          <w:b w:val="0"/>
          <w:i w:val="0"/>
        </w:rPr>
        <w:t xml:space="preserve"> (LDL) es un componente de </w:t>
      </w:r>
      <w:r>
        <w:rPr>
          <w:rFonts w:ascii="Consolas" w:hAnsi="Consolas"/>
          <w:b w:val="0"/>
          <w:i w:val="0"/>
          <w:color w:val="A31515"/>
          <w:sz w:val="19"/>
        </w:rPr>
        <w:t>s1</w:t>
      </w:r>
      <w:r>
        <w:rPr>
          <w:b w:val="0"/>
          <w:i w:val="0"/>
        </w:rPr>
        <w:t xml:space="preserve"> (colesterol total). No es casual, es una dependencia algebraica.</w:t>
      </w:r>
    </w:p>
    <w:p>
      <w:pPr>
        <w:pStyle w:val="Heading3"/>
        <w:spacing w:before="200" w:after="120"/>
      </w:pPr>
      <w:r>
        <w:rPr>
          <w:color w:val="1F4E79"/>
        </w:rPr>
        <w:t>Fase B — Modelamiento y comparativa</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4130"/>
            <w:shd w:val="clear" w:color="auto" w:fill="1F4E79"/>
          </w:tcPr>
          <w:p>
            <w:pPr>
              <w:spacing w:before="40" w:after="40"/>
            </w:pPr>
            <w:r>
              <w:rPr>
                <w:color w:val="FFFFFF"/>
              </w:rPr>
            </w:r>
            <w:r>
              <w:rPr>
                <w:b/>
                <w:i w:val="0"/>
                <w:color w:val="FFFFFF"/>
                <w:sz w:val="19"/>
              </w:rPr>
              <w:t>Modelo</w:t>
            </w:r>
          </w:p>
        </w:tc>
        <w:tc>
          <w:tcPr>
            <w:tcW w:type="dxa" w:w="1145"/>
            <w:shd w:val="clear" w:color="auto" w:fill="1F4E79"/>
          </w:tcPr>
          <w:p>
            <w:pPr>
              <w:spacing w:before="40" w:after="40"/>
            </w:pPr>
            <w:r>
              <w:rPr>
                <w:color w:val="FFFFFF"/>
              </w:rPr>
            </w:r>
            <w:r>
              <w:rPr>
                <w:b/>
                <w:i w:val="0"/>
                <w:color w:val="FFFFFF"/>
                <w:sz w:val="19"/>
              </w:rPr>
              <w:t>Términos</w:t>
            </w:r>
          </w:p>
        </w:tc>
        <w:tc>
          <w:tcPr>
            <w:tcW w:type="dxa" w:w="1157"/>
            <w:shd w:val="clear" w:color="auto" w:fill="1F4E79"/>
          </w:tcPr>
          <w:p>
            <w:pPr>
              <w:spacing w:before="40" w:after="40"/>
            </w:pPr>
            <w:r>
              <w:rPr>
                <w:color w:val="FFFFFF"/>
              </w:rPr>
            </w:r>
            <w:r>
              <w:rPr>
                <w:b/>
                <w:i w:val="0"/>
                <w:color w:val="FFFFFF"/>
                <w:sz w:val="19"/>
              </w:rPr>
              <w:t>R² entren.</w:t>
            </w:r>
          </w:p>
        </w:tc>
        <w:tc>
          <w:tcPr>
            <w:tcW w:type="dxa" w:w="1041"/>
            <w:shd w:val="clear" w:color="auto" w:fill="1F4E79"/>
          </w:tcPr>
          <w:p>
            <w:pPr>
              <w:spacing w:before="40" w:after="40"/>
            </w:pPr>
            <w:r>
              <w:rPr>
                <w:color w:val="FFFFFF"/>
              </w:rPr>
            </w:r>
            <w:r>
              <w:rPr>
                <w:b/>
                <w:i w:val="0"/>
                <w:color w:val="FFFFFF"/>
                <w:sz w:val="19"/>
              </w:rPr>
              <w:t>R² prueba</w:t>
            </w:r>
          </w:p>
        </w:tc>
        <w:tc>
          <w:tcPr>
            <w:tcW w:type="dxa" w:w="1598"/>
            <w:shd w:val="clear" w:color="auto" w:fill="1F4E79"/>
          </w:tcPr>
          <w:p>
            <w:pPr>
              <w:spacing w:before="40" w:after="40"/>
            </w:pPr>
            <w:r>
              <w:rPr>
                <w:color w:val="FFFFFF"/>
              </w:rPr>
            </w:r>
            <w:r>
              <w:rPr>
                <w:b/>
                <w:i w:val="0"/>
                <w:color w:val="FFFFFF"/>
                <w:sz w:val="19"/>
              </w:rPr>
              <w:t>R² CV 5-fold</w:t>
            </w:r>
          </w:p>
        </w:tc>
      </w:tr>
      <w:tr>
        <w:tc>
          <w:tcPr>
            <w:tcW w:type="dxa" w:w="4130"/>
          </w:tcPr>
          <w:p>
            <w:pPr>
              <w:spacing w:before="20" w:after="20"/>
            </w:pPr>
            <w:r>
              <w:rPr>
                <w:b/>
                <w:i w:val="0"/>
                <w:sz w:val="19"/>
              </w:rPr>
              <w:t>Lineal múltiple — OLS</w:t>
            </w:r>
          </w:p>
        </w:tc>
        <w:tc>
          <w:tcPr>
            <w:tcW w:type="dxa" w:w="1145"/>
          </w:tcPr>
          <w:p>
            <w:pPr>
              <w:spacing w:before="20" w:after="20"/>
              <w:jc w:val="right"/>
            </w:pPr>
            <w:r>
              <w:rPr>
                <w:b w:val="0"/>
                <w:i w:val="0"/>
                <w:sz w:val="19"/>
              </w:rPr>
              <w:t>10</w:t>
            </w:r>
          </w:p>
        </w:tc>
        <w:tc>
          <w:tcPr>
            <w:tcW w:type="dxa" w:w="1157"/>
          </w:tcPr>
          <w:p>
            <w:pPr>
              <w:spacing w:before="20" w:after="20"/>
              <w:jc w:val="right"/>
            </w:pPr>
            <w:r>
              <w:rPr>
                <w:b w:val="0"/>
                <w:i w:val="0"/>
                <w:sz w:val="19"/>
              </w:rPr>
              <w:t>0.5190</w:t>
            </w:r>
          </w:p>
        </w:tc>
        <w:tc>
          <w:tcPr>
            <w:tcW w:type="dxa" w:w="1041"/>
          </w:tcPr>
          <w:p>
            <w:pPr>
              <w:spacing w:before="20" w:after="20"/>
              <w:jc w:val="right"/>
            </w:pPr>
            <w:r>
              <w:rPr>
                <w:b w:val="0"/>
                <w:i w:val="0"/>
                <w:sz w:val="19"/>
              </w:rPr>
              <w:t>0.4849</w:t>
            </w:r>
          </w:p>
        </w:tc>
        <w:tc>
          <w:tcPr>
            <w:tcW w:type="dxa" w:w="1598"/>
          </w:tcPr>
          <w:p>
            <w:pPr>
              <w:spacing w:before="20" w:after="20"/>
              <w:jc w:val="right"/>
            </w:pPr>
            <w:r>
              <w:rPr>
                <w:b/>
                <w:i w:val="0"/>
                <w:sz w:val="19"/>
              </w:rPr>
              <w:t>0.4606 ± 0.085</w:t>
            </w:r>
          </w:p>
        </w:tc>
      </w:tr>
      <w:tr>
        <w:tc>
          <w:tcPr>
            <w:tcW w:type="dxa" w:w="4130"/>
            <w:shd w:val="clear" w:color="auto" w:fill="F7F9FC"/>
          </w:tcPr>
          <w:p>
            <w:pPr>
              <w:spacing w:before="20" w:after="20"/>
            </w:pPr>
            <w:r>
              <w:rPr>
                <w:b w:val="0"/>
                <w:i w:val="0"/>
                <w:sz w:val="19"/>
              </w:rPr>
              <w:t xml:space="preserve">Lineal — sin </w:t>
            </w:r>
            <w:r>
              <w:rPr>
                <w:rFonts w:ascii="Consolas" w:hAnsi="Consolas"/>
                <w:b w:val="0"/>
                <w:i w:val="0"/>
                <w:color w:val="A31515"/>
                <w:sz w:val="17"/>
              </w:rPr>
              <w:t>s1</w:t>
            </w:r>
            <w:r>
              <w:rPr>
                <w:b w:val="0"/>
                <w:i w:val="0"/>
                <w:sz w:val="19"/>
              </w:rPr>
              <w:t>,</w:t>
            </w:r>
            <w:r>
              <w:rPr>
                <w:rFonts w:ascii="Consolas" w:hAnsi="Consolas"/>
                <w:b w:val="0"/>
                <w:i w:val="0"/>
                <w:color w:val="A31515"/>
                <w:sz w:val="17"/>
              </w:rPr>
              <w:t>s2</w:t>
            </w:r>
            <w:r>
              <w:rPr>
                <w:b w:val="0"/>
                <w:i w:val="0"/>
                <w:sz w:val="19"/>
              </w:rPr>
              <w:t xml:space="preserve"> (VIF)</w:t>
            </w:r>
          </w:p>
        </w:tc>
        <w:tc>
          <w:tcPr>
            <w:tcW w:type="dxa" w:w="1145"/>
            <w:shd w:val="clear" w:color="auto" w:fill="F7F9FC"/>
          </w:tcPr>
          <w:p>
            <w:pPr>
              <w:spacing w:before="20" w:after="20"/>
              <w:jc w:val="right"/>
            </w:pPr>
            <w:r>
              <w:rPr>
                <w:b w:val="0"/>
                <w:i w:val="0"/>
                <w:sz w:val="19"/>
              </w:rPr>
              <w:t>8</w:t>
            </w:r>
          </w:p>
        </w:tc>
        <w:tc>
          <w:tcPr>
            <w:tcW w:type="dxa" w:w="1157"/>
            <w:shd w:val="clear" w:color="auto" w:fill="F7F9FC"/>
          </w:tcPr>
          <w:p>
            <w:pPr>
              <w:spacing w:before="20" w:after="20"/>
              <w:jc w:val="right"/>
            </w:pPr>
            <w:r>
              <w:rPr>
                <w:b w:val="0"/>
                <w:i w:val="0"/>
                <w:sz w:val="19"/>
              </w:rPr>
              <w:t>0.5078</w:t>
            </w:r>
          </w:p>
        </w:tc>
        <w:tc>
          <w:tcPr>
            <w:tcW w:type="dxa" w:w="1041"/>
            <w:shd w:val="clear" w:color="auto" w:fill="F7F9FC"/>
          </w:tcPr>
          <w:p>
            <w:pPr>
              <w:spacing w:before="20" w:after="20"/>
              <w:jc w:val="right"/>
            </w:pPr>
            <w:r>
              <w:rPr>
                <w:b w:val="0"/>
                <w:i w:val="0"/>
                <w:sz w:val="19"/>
              </w:rPr>
              <w:t>0.4964</w:t>
            </w:r>
          </w:p>
        </w:tc>
        <w:tc>
          <w:tcPr>
            <w:tcW w:type="dxa" w:w="1598"/>
            <w:shd w:val="clear" w:color="auto" w:fill="F7F9FC"/>
          </w:tcPr>
          <w:p>
            <w:pPr>
              <w:spacing w:before="20" w:after="20"/>
              <w:jc w:val="right"/>
            </w:pPr>
            <w:r>
              <w:rPr>
                <w:b w:val="0"/>
                <w:i w:val="0"/>
                <w:sz w:val="19"/>
              </w:rPr>
              <w:t>0.4504</w:t>
            </w:r>
          </w:p>
        </w:tc>
      </w:tr>
      <w:tr>
        <w:tc>
          <w:tcPr>
            <w:tcW w:type="dxa" w:w="4130"/>
          </w:tcPr>
          <w:p>
            <w:pPr>
              <w:spacing w:before="20" w:after="20"/>
            </w:pPr>
            <w:r>
              <w:rPr>
                <w:b w:val="0"/>
                <w:i w:val="0"/>
                <w:sz w:val="19"/>
              </w:rPr>
              <w:t>Lineal — Ridge (α = 1.59)</w:t>
            </w:r>
          </w:p>
        </w:tc>
        <w:tc>
          <w:tcPr>
            <w:tcW w:type="dxa" w:w="1145"/>
          </w:tcPr>
          <w:p>
            <w:pPr>
              <w:spacing w:before="20" w:after="20"/>
              <w:jc w:val="right"/>
            </w:pPr>
            <w:r>
              <w:rPr>
                <w:b w:val="0"/>
                <w:i w:val="0"/>
                <w:sz w:val="19"/>
              </w:rPr>
              <w:t>10</w:t>
            </w:r>
          </w:p>
        </w:tc>
        <w:tc>
          <w:tcPr>
            <w:tcW w:type="dxa" w:w="1157"/>
          </w:tcPr>
          <w:p>
            <w:pPr>
              <w:spacing w:before="20" w:after="20"/>
              <w:jc w:val="right"/>
            </w:pPr>
            <w:r>
              <w:rPr>
                <w:b w:val="0"/>
                <w:i w:val="0"/>
                <w:sz w:val="19"/>
              </w:rPr>
              <w:t>0.5185</w:t>
            </w:r>
          </w:p>
        </w:tc>
        <w:tc>
          <w:tcPr>
            <w:tcW w:type="dxa" w:w="1041"/>
          </w:tcPr>
          <w:p>
            <w:pPr>
              <w:spacing w:before="20" w:after="20"/>
              <w:jc w:val="right"/>
            </w:pPr>
            <w:r>
              <w:rPr>
                <w:b w:val="0"/>
                <w:i w:val="0"/>
                <w:sz w:val="19"/>
              </w:rPr>
              <w:t>0.4862</w:t>
            </w:r>
          </w:p>
        </w:tc>
        <w:tc>
          <w:tcPr>
            <w:tcW w:type="dxa" w:w="1598"/>
          </w:tcPr>
          <w:p>
            <w:pPr>
              <w:spacing w:before="20" w:after="20"/>
              <w:jc w:val="right"/>
            </w:pPr>
            <w:r>
              <w:rPr>
                <w:b w:val="0"/>
                <w:i w:val="0"/>
                <w:sz w:val="19"/>
              </w:rPr>
              <w:t>0.4597</w:t>
            </w:r>
          </w:p>
        </w:tc>
      </w:tr>
      <w:tr>
        <w:tc>
          <w:tcPr>
            <w:tcW w:type="dxa" w:w="4130"/>
            <w:shd w:val="clear" w:color="auto" w:fill="F7F9FC"/>
          </w:tcPr>
          <w:p>
            <w:pPr>
              <w:spacing w:before="20" w:after="20"/>
            </w:pPr>
            <w:r>
              <w:rPr>
                <w:b w:val="0"/>
                <w:i w:val="0"/>
                <w:sz w:val="19"/>
              </w:rPr>
              <w:t>Lineal — Lasso (α = 0.114)</w:t>
            </w:r>
          </w:p>
        </w:tc>
        <w:tc>
          <w:tcPr>
            <w:tcW w:type="dxa" w:w="1145"/>
            <w:shd w:val="clear" w:color="auto" w:fill="F7F9FC"/>
          </w:tcPr>
          <w:p>
            <w:pPr>
              <w:spacing w:before="20" w:after="20"/>
              <w:jc w:val="right"/>
            </w:pPr>
            <w:r>
              <w:rPr>
                <w:b w:val="0"/>
                <w:i w:val="0"/>
                <w:sz w:val="19"/>
              </w:rPr>
              <w:t>10</w:t>
            </w:r>
          </w:p>
        </w:tc>
        <w:tc>
          <w:tcPr>
            <w:tcW w:type="dxa" w:w="1157"/>
            <w:shd w:val="clear" w:color="auto" w:fill="F7F9FC"/>
          </w:tcPr>
          <w:p>
            <w:pPr>
              <w:spacing w:before="20" w:after="20"/>
              <w:jc w:val="right"/>
            </w:pPr>
            <w:r>
              <w:rPr>
                <w:b w:val="0"/>
                <w:i w:val="0"/>
                <w:sz w:val="19"/>
              </w:rPr>
              <w:t>0.5185</w:t>
            </w:r>
          </w:p>
        </w:tc>
        <w:tc>
          <w:tcPr>
            <w:tcW w:type="dxa" w:w="1041"/>
            <w:shd w:val="clear" w:color="auto" w:fill="F7F9FC"/>
          </w:tcPr>
          <w:p>
            <w:pPr>
              <w:spacing w:before="20" w:after="20"/>
              <w:jc w:val="right"/>
            </w:pPr>
            <w:r>
              <w:rPr>
                <w:b w:val="0"/>
                <w:i w:val="0"/>
                <w:sz w:val="19"/>
              </w:rPr>
              <w:t>0.4868</w:t>
            </w:r>
          </w:p>
        </w:tc>
        <w:tc>
          <w:tcPr>
            <w:tcW w:type="dxa" w:w="1598"/>
            <w:shd w:val="clear" w:color="auto" w:fill="F7F9FC"/>
          </w:tcPr>
          <w:p>
            <w:pPr>
              <w:spacing w:before="20" w:after="20"/>
              <w:jc w:val="right"/>
            </w:pPr>
            <w:r>
              <w:rPr>
                <w:b w:val="0"/>
                <w:i w:val="0"/>
                <w:sz w:val="19"/>
              </w:rPr>
              <w:t>0.4577</w:t>
            </w:r>
          </w:p>
        </w:tc>
      </w:tr>
      <w:tr>
        <w:tc>
          <w:tcPr>
            <w:tcW w:type="dxa" w:w="4130"/>
          </w:tcPr>
          <w:p>
            <w:pPr>
              <w:spacing w:before="20" w:after="20"/>
            </w:pPr>
            <w:r>
              <w:rPr>
                <w:b w:val="0"/>
                <w:i w:val="0"/>
                <w:sz w:val="19"/>
              </w:rPr>
              <w:t xml:space="preserve">Polinomial gr. 2 — </w:t>
            </w:r>
            <w:r>
              <w:rPr>
                <w:b/>
                <w:i w:val="0"/>
                <w:sz w:val="19"/>
              </w:rPr>
              <w:t>sin regularizar</w:t>
            </w:r>
          </w:p>
        </w:tc>
        <w:tc>
          <w:tcPr>
            <w:tcW w:type="dxa" w:w="1145"/>
          </w:tcPr>
          <w:p>
            <w:pPr>
              <w:spacing w:before="20" w:after="20"/>
              <w:jc w:val="right"/>
            </w:pPr>
            <w:r>
              <w:rPr>
                <w:b w:val="0"/>
                <w:i w:val="0"/>
                <w:sz w:val="19"/>
              </w:rPr>
              <w:t>65</w:t>
            </w:r>
          </w:p>
        </w:tc>
        <w:tc>
          <w:tcPr>
            <w:tcW w:type="dxa" w:w="1157"/>
          </w:tcPr>
          <w:p>
            <w:pPr>
              <w:spacing w:before="20" w:after="20"/>
              <w:jc w:val="right"/>
            </w:pPr>
            <w:r>
              <w:rPr>
                <w:b w:val="0"/>
                <w:i w:val="0"/>
                <w:sz w:val="19"/>
              </w:rPr>
              <w:t>0.6048</w:t>
            </w:r>
          </w:p>
        </w:tc>
        <w:tc>
          <w:tcPr>
            <w:tcW w:type="dxa" w:w="1041"/>
          </w:tcPr>
          <w:p>
            <w:pPr>
              <w:spacing w:before="20" w:after="20"/>
              <w:jc w:val="right"/>
            </w:pPr>
            <w:r>
              <w:rPr>
                <w:b w:val="0"/>
                <w:i w:val="0"/>
                <w:sz w:val="19"/>
              </w:rPr>
              <w:t>0.4242</w:t>
            </w:r>
          </w:p>
        </w:tc>
        <w:tc>
          <w:tcPr>
            <w:tcW w:type="dxa" w:w="1598"/>
          </w:tcPr>
          <w:p>
            <w:pPr>
              <w:spacing w:before="20" w:after="20"/>
              <w:jc w:val="right"/>
            </w:pPr>
            <w:r>
              <w:rPr>
                <w:b/>
                <w:i w:val="0"/>
                <w:sz w:val="19"/>
              </w:rPr>
              <w:t>0.2979</w:t>
            </w:r>
          </w:p>
        </w:tc>
      </w:tr>
      <w:tr>
        <w:tc>
          <w:tcPr>
            <w:tcW w:type="dxa" w:w="4130"/>
            <w:shd w:val="clear" w:color="auto" w:fill="F7F9FC"/>
          </w:tcPr>
          <w:p>
            <w:pPr>
              <w:spacing w:before="20" w:after="20"/>
            </w:pPr>
            <w:r>
              <w:rPr>
                <w:b w:val="0"/>
                <w:i w:val="0"/>
                <w:sz w:val="19"/>
              </w:rPr>
              <w:t>Polinomial gr. 2 — Ridge (α = 25.12)</w:t>
            </w:r>
          </w:p>
        </w:tc>
        <w:tc>
          <w:tcPr>
            <w:tcW w:type="dxa" w:w="1145"/>
            <w:shd w:val="clear" w:color="auto" w:fill="F7F9FC"/>
          </w:tcPr>
          <w:p>
            <w:pPr>
              <w:spacing w:before="20" w:after="20"/>
              <w:jc w:val="right"/>
            </w:pPr>
            <w:r>
              <w:rPr>
                <w:b w:val="0"/>
                <w:i w:val="0"/>
                <w:sz w:val="19"/>
              </w:rPr>
              <w:t>65</w:t>
            </w:r>
          </w:p>
        </w:tc>
        <w:tc>
          <w:tcPr>
            <w:tcW w:type="dxa" w:w="1157"/>
            <w:shd w:val="clear" w:color="auto" w:fill="F7F9FC"/>
          </w:tcPr>
          <w:p>
            <w:pPr>
              <w:spacing w:before="20" w:after="20"/>
              <w:jc w:val="right"/>
            </w:pPr>
            <w:r>
              <w:rPr>
                <w:b w:val="0"/>
                <w:i w:val="0"/>
                <w:sz w:val="19"/>
              </w:rPr>
              <w:t>0.5373</w:t>
            </w:r>
          </w:p>
        </w:tc>
        <w:tc>
          <w:tcPr>
            <w:tcW w:type="dxa" w:w="1041"/>
            <w:shd w:val="clear" w:color="auto" w:fill="F7F9FC"/>
          </w:tcPr>
          <w:p>
            <w:pPr>
              <w:spacing w:before="20" w:after="20"/>
              <w:jc w:val="right"/>
            </w:pPr>
            <w:r>
              <w:rPr>
                <w:b w:val="0"/>
                <w:i w:val="0"/>
                <w:sz w:val="19"/>
              </w:rPr>
              <w:t>0.4911</w:t>
            </w:r>
          </w:p>
        </w:tc>
        <w:tc>
          <w:tcPr>
            <w:tcW w:type="dxa" w:w="1598"/>
            <w:shd w:val="clear" w:color="auto" w:fill="F7F9FC"/>
          </w:tcPr>
          <w:p>
            <w:pPr>
              <w:spacing w:before="20" w:after="20"/>
              <w:jc w:val="right"/>
            </w:pPr>
            <w:r>
              <w:rPr>
                <w:b/>
                <w:i w:val="0"/>
                <w:sz w:val="19"/>
              </w:rPr>
              <w:t>0.4611 ± 0.083</w:t>
            </w:r>
          </w:p>
        </w:tc>
      </w:tr>
      <w:tr>
        <w:tc>
          <w:tcPr>
            <w:tcW w:type="dxa" w:w="4130"/>
          </w:tcPr>
          <w:p>
            <w:pPr>
              <w:spacing w:before="20" w:after="20"/>
            </w:pPr>
            <w:r>
              <w:rPr>
                <w:b w:val="0"/>
                <w:i w:val="0"/>
                <w:sz w:val="19"/>
              </w:rPr>
              <w:t xml:space="preserve">Polinomial gr. 3 — </w:t>
            </w:r>
            <w:r>
              <w:rPr>
                <w:b/>
                <w:i w:val="0"/>
                <w:sz w:val="19"/>
              </w:rPr>
              <w:t>sin regularizar</w:t>
            </w:r>
          </w:p>
        </w:tc>
        <w:tc>
          <w:tcPr>
            <w:tcW w:type="dxa" w:w="1145"/>
          </w:tcPr>
          <w:p>
            <w:pPr>
              <w:spacing w:before="20" w:after="20"/>
              <w:jc w:val="right"/>
            </w:pPr>
            <w:r>
              <w:rPr>
                <w:b w:val="0"/>
                <w:i w:val="0"/>
                <w:sz w:val="19"/>
              </w:rPr>
              <w:t>285</w:t>
            </w:r>
          </w:p>
        </w:tc>
        <w:tc>
          <w:tcPr>
            <w:tcW w:type="dxa" w:w="1157"/>
          </w:tcPr>
          <w:p>
            <w:pPr>
              <w:spacing w:before="20" w:after="20"/>
              <w:jc w:val="right"/>
            </w:pPr>
            <w:r>
              <w:rPr>
                <w:b w:val="0"/>
                <w:i w:val="0"/>
                <w:sz w:val="19"/>
              </w:rPr>
              <w:t>0.8960</w:t>
            </w:r>
          </w:p>
        </w:tc>
        <w:tc>
          <w:tcPr>
            <w:tcW w:type="dxa" w:w="1041"/>
          </w:tcPr>
          <w:p>
            <w:pPr>
              <w:spacing w:before="20" w:after="20"/>
              <w:jc w:val="right"/>
            </w:pPr>
            <w:r>
              <w:rPr>
                <w:b/>
                <w:i w:val="0"/>
                <w:sz w:val="19"/>
              </w:rPr>
              <w:t>−8.0873</w:t>
            </w:r>
          </w:p>
        </w:tc>
        <w:tc>
          <w:tcPr>
            <w:tcW w:type="dxa" w:w="1598"/>
          </w:tcPr>
          <w:p>
            <w:pPr>
              <w:spacing w:before="20" w:after="20"/>
              <w:jc w:val="right"/>
            </w:pPr>
            <w:r>
              <w:rPr>
                <w:b/>
                <w:i w:val="0"/>
                <w:sz w:val="19"/>
              </w:rPr>
              <w:t>−171.12</w:t>
            </w:r>
          </w:p>
        </w:tc>
      </w:tr>
      <w:tr>
        <w:tc>
          <w:tcPr>
            <w:tcW w:type="dxa" w:w="4130"/>
            <w:shd w:val="clear" w:color="auto" w:fill="F7F9FC"/>
          </w:tcPr>
          <w:p>
            <w:pPr>
              <w:spacing w:before="20" w:after="20"/>
            </w:pPr>
            <w:r>
              <w:rPr>
                <w:b w:val="0"/>
                <w:i w:val="0"/>
                <w:sz w:val="19"/>
              </w:rPr>
              <w:t>Polinomial gr. 3 — Ridge (α = 199.53)</w:t>
            </w:r>
          </w:p>
        </w:tc>
        <w:tc>
          <w:tcPr>
            <w:tcW w:type="dxa" w:w="1145"/>
            <w:shd w:val="clear" w:color="auto" w:fill="F7F9FC"/>
          </w:tcPr>
          <w:p>
            <w:pPr>
              <w:spacing w:before="20" w:after="20"/>
              <w:jc w:val="right"/>
            </w:pPr>
            <w:r>
              <w:rPr>
                <w:b w:val="0"/>
                <w:i w:val="0"/>
                <w:sz w:val="19"/>
              </w:rPr>
              <w:t>285</w:t>
            </w:r>
          </w:p>
        </w:tc>
        <w:tc>
          <w:tcPr>
            <w:tcW w:type="dxa" w:w="1157"/>
            <w:shd w:val="clear" w:color="auto" w:fill="F7F9FC"/>
          </w:tcPr>
          <w:p>
            <w:pPr>
              <w:spacing w:before="20" w:after="20"/>
              <w:jc w:val="right"/>
            </w:pPr>
            <w:r>
              <w:rPr>
                <w:b w:val="0"/>
                <w:i w:val="0"/>
                <w:sz w:val="19"/>
              </w:rPr>
              <w:t>0.5361</w:t>
            </w:r>
          </w:p>
        </w:tc>
        <w:tc>
          <w:tcPr>
            <w:tcW w:type="dxa" w:w="1041"/>
            <w:shd w:val="clear" w:color="auto" w:fill="F7F9FC"/>
          </w:tcPr>
          <w:p>
            <w:pPr>
              <w:spacing w:before="20" w:after="20"/>
              <w:jc w:val="right"/>
            </w:pPr>
            <w:r>
              <w:rPr>
                <w:b w:val="0"/>
                <w:i w:val="0"/>
                <w:sz w:val="19"/>
              </w:rPr>
              <w:t>0.4942</w:t>
            </w:r>
          </w:p>
        </w:tc>
        <w:tc>
          <w:tcPr>
            <w:tcW w:type="dxa" w:w="1598"/>
            <w:shd w:val="clear" w:color="auto" w:fill="F7F9FC"/>
          </w:tcPr>
          <w:p>
            <w:pPr>
              <w:spacing w:before="20" w:after="20"/>
              <w:jc w:val="right"/>
            </w:pPr>
            <w:r>
              <w:rPr>
                <w:b w:val="0"/>
                <w:i w:val="0"/>
                <w:sz w:val="19"/>
              </w:rPr>
              <w:t>0.4603</w:t>
            </w:r>
          </w:p>
        </w:tc>
      </w:tr>
    </w:tbl>
    <w:p>
      <w:pPr>
        <w:spacing w:after="120"/>
      </w:pPr>
    </w:p>
    <w:p>
      <w:pPr>
        <w:pStyle w:val="Heading3"/>
        <w:spacing w:before="200" w:after="120"/>
      </w:pPr>
      <w:r>
        <w:rPr>
          <w:color w:val="1F4E79"/>
        </w:rPr>
        <w:t>Fase C — Aplicativo web</w:t>
      </w:r>
    </w:p>
    <w:p>
      <w:pPr>
        <w:jc w:val="both"/>
      </w:pPr>
      <w:r>
        <w:rPr>
          <w:rFonts w:ascii="Consolas" w:hAnsi="Consolas"/>
          <w:b w:val="0"/>
          <w:i w:val="0"/>
          <w:color w:val="A31515"/>
          <w:sz w:val="19"/>
        </w:rPr>
        <w:t>index.html</w:t>
      </w:r>
      <w:r>
        <w:rPr>
          <w:b w:val="0"/>
          <w:i w:val="0"/>
        </w:rPr>
        <w:t xml:space="preserve"> + </w:t>
      </w:r>
      <w:r>
        <w:rPr>
          <w:rFonts w:ascii="Consolas" w:hAnsi="Consolas"/>
          <w:b w:val="0"/>
          <w:i w:val="0"/>
          <w:color w:val="A31515"/>
          <w:sz w:val="19"/>
        </w:rPr>
        <w:t>model.js</w:t>
      </w:r>
      <w:r>
        <w:rPr>
          <w:b w:val="0"/>
          <w:i w:val="0"/>
        </w:rPr>
        <w:t xml:space="preserve">, en HTML y JavaScript puro, sin dependencias ni build. Incorpora </w:t>
      </w:r>
      <w:r>
        <w:rPr>
          <w:b/>
          <w:i w:val="0"/>
        </w:rPr>
        <w:t>ambos modelos con un selector</w:t>
      </w:r>
      <w:r>
        <w:rPr>
          <w:b w:val="0"/>
          <w:i w:val="0"/>
        </w:rPr>
        <w:t>, entrada dinámica de las 10 variables, cálculo paso a paso y las tablas de resultados de las Fases A y B.</w:t>
      </w:r>
    </w:p>
    <w:p>
      <w:pPr>
        <w:jc w:val="both"/>
      </w:pPr>
      <w:r>
        <w:rPr>
          <w:b w:val="0"/>
          <w:i w:val="0"/>
        </w:rPr>
        <w:t xml:space="preserve">Paridad con scikit-learn verificada con precisión de punto flotante en los dos modelos (p. ej. medianas del dataset: Python </w:t>
      </w:r>
      <w:r>
        <w:rPr>
          <w:rFonts w:ascii="Consolas" w:hAnsi="Consolas"/>
          <w:b w:val="0"/>
          <w:i w:val="0"/>
          <w:color w:val="A31515"/>
          <w:sz w:val="19"/>
        </w:rPr>
        <w:t>155.862491</w:t>
      </w:r>
      <w:r>
        <w:rPr>
          <w:b w:val="0"/>
          <w:i w:val="0"/>
        </w:rPr>
        <w:t xml:space="preserve"> → JavaScript </w:t>
      </w:r>
      <w:r>
        <w:rPr>
          <w:rFonts w:ascii="Consolas" w:hAnsi="Consolas"/>
          <w:b w:val="0"/>
          <w:i w:val="0"/>
          <w:color w:val="A31515"/>
          <w:sz w:val="19"/>
        </w:rPr>
        <w:t>155.8624910825692</w:t>
      </w:r>
      <w:r>
        <w:rPr>
          <w:b w:val="0"/>
          <w:i w:val="0"/>
        </w:rPr>
        <w:t>).</w:t>
      </w:r>
    </w:p>
    <w:p>
      <w:pPr>
        <w:pStyle w:val="Heading2"/>
        <w:spacing w:before="200" w:after="120"/>
      </w:pPr>
      <w:r>
        <w:rPr>
          <w:color w:val="1F4E79"/>
        </w:rPr>
        <w:t>Comparativa global entre metodologías</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791"/>
            <w:shd w:val="clear" w:color="auto" w:fill="1F4E79"/>
          </w:tcPr>
          <w:p>
            <w:pPr>
              <w:spacing w:before="40" w:after="40"/>
            </w:pPr>
            <w:r>
              <w:rPr>
                <w:color w:val="FFFFFF"/>
              </w:rPr>
            </w:r>
          </w:p>
        </w:tc>
        <w:tc>
          <w:tcPr>
            <w:tcW w:type="dxa" w:w="2031"/>
            <w:shd w:val="clear" w:color="auto" w:fill="1F4E79"/>
          </w:tcPr>
          <w:p>
            <w:pPr>
              <w:spacing w:before="40" w:after="40"/>
            </w:pPr>
            <w:r>
              <w:rPr>
                <w:color w:val="FFFFFF"/>
              </w:rPr>
            </w:r>
            <w:r>
              <w:rPr>
                <w:b/>
                <w:i w:val="0"/>
                <w:color w:val="FFFFFF"/>
                <w:sz w:val="19"/>
              </w:rPr>
              <w:t>Lineal Múltiple</w:t>
            </w:r>
          </w:p>
        </w:tc>
        <w:tc>
          <w:tcPr>
            <w:tcW w:type="dxa" w:w="3249"/>
            <w:shd w:val="clear" w:color="auto" w:fill="1F4E79"/>
          </w:tcPr>
          <w:p>
            <w:pPr>
              <w:spacing w:before="40" w:after="40"/>
            </w:pPr>
            <w:r>
              <w:rPr>
                <w:color w:val="FFFFFF"/>
              </w:rPr>
            </w:r>
            <w:r>
              <w:rPr>
                <w:b/>
                <w:i w:val="0"/>
                <w:color w:val="FFFFFF"/>
                <w:sz w:val="19"/>
              </w:rPr>
              <w:t>Polinomial gr. 2 + Ridge</w:t>
            </w:r>
          </w:p>
        </w:tc>
      </w:tr>
      <w:tr>
        <w:tc>
          <w:tcPr>
            <w:tcW w:type="dxa" w:w="3791"/>
          </w:tcPr>
          <w:p>
            <w:pPr>
              <w:spacing w:before="20" w:after="20"/>
            </w:pPr>
            <w:r>
              <w:rPr>
                <w:b w:val="0"/>
                <w:i w:val="0"/>
                <w:sz w:val="19"/>
              </w:rPr>
              <w:t>Términos</w:t>
            </w:r>
          </w:p>
        </w:tc>
        <w:tc>
          <w:tcPr>
            <w:tcW w:type="dxa" w:w="2031"/>
          </w:tcPr>
          <w:p>
            <w:pPr>
              <w:spacing w:before="20" w:after="20"/>
              <w:jc w:val="right"/>
            </w:pPr>
            <w:r>
              <w:rPr>
                <w:b/>
                <w:i w:val="0"/>
                <w:sz w:val="19"/>
              </w:rPr>
              <w:t>10</w:t>
            </w:r>
          </w:p>
        </w:tc>
        <w:tc>
          <w:tcPr>
            <w:tcW w:type="dxa" w:w="3249"/>
          </w:tcPr>
          <w:p>
            <w:pPr>
              <w:spacing w:before="20" w:after="20"/>
              <w:jc w:val="right"/>
            </w:pPr>
            <w:r>
              <w:rPr>
                <w:b w:val="0"/>
                <w:i w:val="0"/>
                <w:sz w:val="19"/>
              </w:rPr>
              <w:t>65</w:t>
            </w:r>
          </w:p>
        </w:tc>
      </w:tr>
      <w:tr>
        <w:tc>
          <w:tcPr>
            <w:tcW w:type="dxa" w:w="3791"/>
            <w:shd w:val="clear" w:color="auto" w:fill="F7F9FC"/>
          </w:tcPr>
          <w:p>
            <w:pPr>
              <w:spacing w:before="20" w:after="20"/>
            </w:pPr>
            <w:r>
              <w:rPr>
                <w:b w:val="0"/>
                <w:i w:val="0"/>
                <w:sz w:val="19"/>
              </w:rPr>
              <w:t>R² validación cruzada</w:t>
            </w:r>
          </w:p>
        </w:tc>
        <w:tc>
          <w:tcPr>
            <w:tcW w:type="dxa" w:w="2031"/>
            <w:shd w:val="clear" w:color="auto" w:fill="F7F9FC"/>
          </w:tcPr>
          <w:p>
            <w:pPr>
              <w:spacing w:before="20" w:after="20"/>
              <w:jc w:val="right"/>
            </w:pPr>
            <w:r>
              <w:rPr>
                <w:b w:val="0"/>
                <w:i w:val="0"/>
                <w:sz w:val="19"/>
              </w:rPr>
              <w:t>0.4606</w:t>
            </w:r>
          </w:p>
        </w:tc>
        <w:tc>
          <w:tcPr>
            <w:tcW w:type="dxa" w:w="3249"/>
            <w:shd w:val="clear" w:color="auto" w:fill="F7F9FC"/>
          </w:tcPr>
          <w:p>
            <w:pPr>
              <w:spacing w:before="20" w:after="20"/>
              <w:jc w:val="right"/>
            </w:pPr>
            <w:r>
              <w:rPr>
                <w:b w:val="0"/>
                <w:i w:val="0"/>
                <w:sz w:val="19"/>
              </w:rPr>
              <w:t>0.4611</w:t>
            </w:r>
          </w:p>
        </w:tc>
      </w:tr>
      <w:tr>
        <w:tc>
          <w:tcPr>
            <w:tcW w:type="dxa" w:w="3791"/>
          </w:tcPr>
          <w:p>
            <w:pPr>
              <w:spacing w:before="20" w:after="20"/>
            </w:pPr>
            <w:r>
              <w:rPr>
                <w:b w:val="0"/>
                <w:i w:val="0"/>
                <w:sz w:val="19"/>
              </w:rPr>
              <w:t>Desviación entre particiones</w:t>
            </w:r>
          </w:p>
        </w:tc>
        <w:tc>
          <w:tcPr>
            <w:tcW w:type="dxa" w:w="2031"/>
          </w:tcPr>
          <w:p>
            <w:pPr>
              <w:spacing w:before="20" w:after="20"/>
              <w:jc w:val="right"/>
            </w:pPr>
            <w:r>
              <w:rPr>
                <w:b w:val="0"/>
                <w:i w:val="0"/>
                <w:sz w:val="19"/>
              </w:rPr>
              <w:t>±0.085</w:t>
            </w:r>
          </w:p>
        </w:tc>
        <w:tc>
          <w:tcPr>
            <w:tcW w:type="dxa" w:w="3249"/>
          </w:tcPr>
          <w:p>
            <w:pPr>
              <w:spacing w:before="20" w:after="20"/>
              <w:jc w:val="right"/>
            </w:pPr>
            <w:r>
              <w:rPr>
                <w:b w:val="0"/>
                <w:i w:val="0"/>
                <w:sz w:val="19"/>
              </w:rPr>
              <w:t>±0.083</w:t>
            </w:r>
          </w:p>
        </w:tc>
      </w:tr>
      <w:tr>
        <w:tc>
          <w:tcPr>
            <w:tcW w:type="dxa" w:w="3791"/>
            <w:shd w:val="clear" w:color="auto" w:fill="F7F9FC"/>
          </w:tcPr>
          <w:p>
            <w:pPr>
              <w:spacing w:before="20" w:after="20"/>
            </w:pPr>
            <w:r>
              <w:rPr>
                <w:b w:val="0"/>
                <w:i w:val="0"/>
                <w:sz w:val="19"/>
              </w:rPr>
              <w:t>Brecha entrenamiento − CV</w:t>
            </w:r>
          </w:p>
        </w:tc>
        <w:tc>
          <w:tcPr>
            <w:tcW w:type="dxa" w:w="2031"/>
            <w:shd w:val="clear" w:color="auto" w:fill="F7F9FC"/>
          </w:tcPr>
          <w:p>
            <w:pPr>
              <w:spacing w:before="20" w:after="20"/>
              <w:jc w:val="right"/>
            </w:pPr>
            <w:r>
              <w:rPr>
                <w:b/>
                <w:i w:val="0"/>
                <w:sz w:val="19"/>
              </w:rPr>
              <w:t>0.058</w:t>
            </w:r>
          </w:p>
        </w:tc>
        <w:tc>
          <w:tcPr>
            <w:tcW w:type="dxa" w:w="3249"/>
            <w:shd w:val="clear" w:color="auto" w:fill="F7F9FC"/>
          </w:tcPr>
          <w:p>
            <w:pPr>
              <w:spacing w:before="20" w:after="20"/>
              <w:jc w:val="right"/>
            </w:pPr>
            <w:r>
              <w:rPr>
                <w:b w:val="0"/>
                <w:i w:val="0"/>
                <w:sz w:val="19"/>
              </w:rPr>
              <w:t>0.076</w:t>
            </w:r>
          </w:p>
        </w:tc>
      </w:tr>
      <w:tr>
        <w:tc>
          <w:tcPr>
            <w:tcW w:type="dxa" w:w="3791"/>
          </w:tcPr>
          <w:p>
            <w:pPr>
              <w:spacing w:before="20" w:after="20"/>
            </w:pPr>
            <w:r>
              <w:rPr>
                <w:b w:val="0"/>
                <w:i w:val="0"/>
                <w:sz w:val="19"/>
              </w:rPr>
              <w:t>RMSE / MAE prueba</w:t>
            </w:r>
          </w:p>
        </w:tc>
        <w:tc>
          <w:tcPr>
            <w:tcW w:type="dxa" w:w="2031"/>
          </w:tcPr>
          <w:p>
            <w:pPr>
              <w:spacing w:before="20" w:after="20"/>
              <w:jc w:val="right"/>
            </w:pPr>
            <w:r>
              <w:rPr>
                <w:b w:val="0"/>
                <w:i w:val="0"/>
                <w:sz w:val="19"/>
              </w:rPr>
              <w:t>53.37 / 41.55</w:t>
            </w:r>
          </w:p>
        </w:tc>
        <w:tc>
          <w:tcPr>
            <w:tcW w:type="dxa" w:w="3249"/>
          </w:tcPr>
          <w:p>
            <w:pPr>
              <w:spacing w:before="20" w:after="20"/>
              <w:jc w:val="right"/>
            </w:pPr>
            <w:r>
              <w:rPr>
                <w:b w:val="0"/>
                <w:i w:val="0"/>
                <w:sz w:val="19"/>
              </w:rPr>
              <w:t>53.05 / 41.59</w:t>
            </w:r>
          </w:p>
        </w:tc>
      </w:tr>
      <w:tr>
        <w:tc>
          <w:tcPr>
            <w:tcW w:type="dxa" w:w="3791"/>
            <w:shd w:val="clear" w:color="auto" w:fill="F7F9FC"/>
          </w:tcPr>
          <w:p>
            <w:pPr>
              <w:spacing w:before="20" w:after="20"/>
            </w:pPr>
            <w:r>
              <w:rPr>
                <w:b w:val="0"/>
                <w:i w:val="0"/>
                <w:sz w:val="19"/>
              </w:rPr>
              <w:t>Coeficientes interpretables</w:t>
            </w:r>
          </w:p>
        </w:tc>
        <w:tc>
          <w:tcPr>
            <w:tcW w:type="dxa" w:w="2031"/>
            <w:shd w:val="clear" w:color="auto" w:fill="F7F9FC"/>
          </w:tcPr>
          <w:p>
            <w:pPr>
              <w:spacing w:before="20" w:after="20"/>
              <w:jc w:val="right"/>
            </w:pPr>
            <w:r>
              <w:rPr>
                <w:b/>
                <w:i w:val="0"/>
                <w:sz w:val="19"/>
              </w:rPr>
              <w:t>Sí</w:t>
            </w:r>
          </w:p>
        </w:tc>
        <w:tc>
          <w:tcPr>
            <w:tcW w:type="dxa" w:w="3249"/>
            <w:shd w:val="clear" w:color="auto" w:fill="F7F9FC"/>
          </w:tcPr>
          <w:p>
            <w:pPr>
              <w:spacing w:before="20" w:after="20"/>
              <w:jc w:val="right"/>
            </w:pPr>
            <w:r>
              <w:rPr>
                <w:b w:val="0"/>
                <w:i w:val="0"/>
                <w:sz w:val="19"/>
              </w:rPr>
              <w:t>No</w:t>
            </w:r>
          </w:p>
        </w:tc>
      </w:tr>
      <w:tr>
        <w:tc>
          <w:tcPr>
            <w:tcW w:type="dxa" w:w="3791"/>
          </w:tcPr>
          <w:p>
            <w:pPr>
              <w:spacing w:before="20" w:after="20"/>
            </w:pPr>
            <w:r>
              <w:rPr>
                <w:b w:val="0"/>
                <w:i w:val="0"/>
                <w:sz w:val="19"/>
              </w:rPr>
              <w:t>Depende de hiperparámetro</w:t>
            </w:r>
          </w:p>
        </w:tc>
        <w:tc>
          <w:tcPr>
            <w:tcW w:type="dxa" w:w="2031"/>
          </w:tcPr>
          <w:p>
            <w:pPr>
              <w:spacing w:before="20" w:after="20"/>
              <w:jc w:val="right"/>
            </w:pPr>
            <w:r>
              <w:rPr>
                <w:b/>
                <w:i w:val="0"/>
                <w:sz w:val="19"/>
              </w:rPr>
              <w:t>No</w:t>
            </w:r>
          </w:p>
        </w:tc>
        <w:tc>
          <w:tcPr>
            <w:tcW w:type="dxa" w:w="3249"/>
          </w:tcPr>
          <w:p>
            <w:pPr>
              <w:spacing w:before="20" w:after="20"/>
              <w:jc w:val="right"/>
            </w:pPr>
            <w:r>
              <w:rPr>
                <w:b w:val="0"/>
                <w:i w:val="0"/>
                <w:sz w:val="19"/>
              </w:rPr>
              <w:t>Sí (α)</w:t>
            </w:r>
          </w:p>
        </w:tc>
      </w:tr>
    </w:tbl>
    <w:p>
      <w:pPr>
        <w:spacing w:after="120"/>
      </w:pPr>
    </w:p>
    <w:p>
      <w:pPr>
        <w:jc w:val="both"/>
      </w:pPr>
      <w:r>
        <w:rPr>
          <w:b w:val="0"/>
          <w:i w:val="0"/>
        </w:rPr>
        <w:t xml:space="preserve">La diferencia en validación cruzada es de </w:t>
      </w:r>
      <w:r>
        <w:rPr>
          <w:b/>
          <w:i w:val="0"/>
        </w:rPr>
        <w:t>+0.0005</w:t>
      </w:r>
      <w:r>
        <w:rPr>
          <w:b w:val="0"/>
          <w:i w:val="0"/>
        </w:rPr>
        <w:t xml:space="preserve">, frente a una desviación entre particiones de </w:t>
      </w:r>
      <w:r>
        <w:rPr>
          <w:b/>
          <w:i w:val="0"/>
        </w:rPr>
        <w:t>±0.083</w:t>
      </w:r>
      <w:r>
        <w:rPr>
          <w:b w:val="0"/>
          <w:i w:val="0"/>
        </w:rPr>
        <w:t xml:space="preserve">: la ventaja aparente es </w:t>
      </w:r>
      <w:r>
        <w:rPr>
          <w:b/>
          <w:i w:val="0"/>
        </w:rPr>
        <w:t>166 veces menor que el ruido de la propia medición</w:t>
      </w:r>
      <w:r>
        <w:rPr>
          <w:b w:val="0"/>
          <w:i w:val="0"/>
        </w:rPr>
        <w:t xml:space="preserve">. Los modelos son </w:t>
      </w:r>
      <w:r>
        <w:rPr>
          <w:b/>
          <w:i w:val="0"/>
        </w:rPr>
        <w:t>estadísticamente indistinguibles</w:t>
      </w:r>
      <w:r>
        <w:rPr>
          <w:b w:val="0"/>
          <w:i w:val="0"/>
        </w:rPr>
        <w:t>.</w:t>
      </w:r>
    </w:p>
    <w:p>
      <w:pPr>
        <w:pStyle w:val="Heading3"/>
        <w:spacing w:before="200" w:after="120"/>
      </w:pPr>
      <w:r>
        <w:rPr>
          <w:color w:val="1F4E79"/>
        </w:rPr>
        <w:t>Modelo recomendado: Regresión Lineal Múltiple (OLS, 10 variables)</w:t>
      </w:r>
    </w:p>
    <w:p>
      <w:pPr>
        <w:jc w:val="both"/>
      </w:pPr>
      <w:r>
        <w:rPr>
          <w:b w:val="0"/>
          <w:i w:val="0"/>
        </w:rPr>
        <w:t>Por el principio de parsimonia: mismo rendimiento con seis veces menos parámetros, coeficientes interpretables, menor brecha train−CV y sin dependencia de un hiperparámetro que calibrar.</w:t>
      </w:r>
    </w:p>
    <w:p>
      <w:pPr>
        <w:pStyle w:val="Heading2"/>
        <w:spacing w:before="200" w:after="120"/>
      </w:pPr>
      <w:r>
        <w:rPr>
          <w:color w:val="1F4E79"/>
        </w:rPr>
        <w:t>Conclusiones técnicas</w:t>
      </w:r>
    </w:p>
    <w:p>
      <w:pPr>
        <w:spacing w:after="60"/>
        <w:ind w:left="567" w:hanging="340"/>
      </w:pPr>
      <w:r>
        <w:rPr>
          <w:b/>
        </w:rPr>
        <w:t xml:space="preserve">1. </w:t>
      </w:r>
      <w:r>
        <w:rPr>
          <w:b/>
          <w:i w:val="0"/>
        </w:rPr>
        <w:t>El dataset es adecuado</w:t>
      </w:r>
      <w:r>
        <w:rPr>
          <w:b w:val="0"/>
          <w:i w:val="0"/>
        </w:rPr>
        <w:t xml:space="preserve"> para ambas metodologías: variable objetivo continua, 10 predictores numéricos, sin nulos ni duplicados. Se usó </w:t>
      </w:r>
      <w:r>
        <w:rPr>
          <w:rFonts w:ascii="Consolas" w:hAnsi="Consolas"/>
          <w:b w:val="0"/>
          <w:i w:val="0"/>
          <w:color w:val="A31515"/>
          <w:sz w:val="19"/>
        </w:rPr>
        <w:t>scaled=False</w:t>
      </w:r>
      <w:r>
        <w:rPr>
          <w:b w:val="0"/>
          <w:i w:val="0"/>
        </w:rPr>
        <w:t xml:space="preserve"> para poder aplicar el preprocesamiento exigido y construir una interfaz con unidades clínicas reales.</w:t>
      </w:r>
    </w:p>
    <w:p>
      <w:pPr>
        <w:spacing w:after="60"/>
        <w:ind w:left="567" w:hanging="340"/>
      </w:pPr>
      <w:r>
        <w:rPr>
          <w:b/>
        </w:rPr>
        <w:t xml:space="preserve">2. </w:t>
      </w:r>
      <w:r>
        <w:rPr>
          <w:b/>
          <w:i w:val="0"/>
        </w:rPr>
        <w:t>La multicolinealidad estructural es el hallazgo dominante de la Fase A</w:t>
      </w:r>
      <w:r>
        <w:rPr>
          <w:b w:val="0"/>
          <w:i w:val="0"/>
        </w:rPr>
        <w:t xml:space="preserve"> y condiciona ambas metodologías. En la múltiple infla los errores estándar entre 5 y 7 veces (</w:t>
      </w:r>
      <w:r>
        <w:rPr>
          <w:rFonts w:ascii="Consolas" w:hAnsi="Consolas"/>
          <w:b w:val="0"/>
          <w:i w:val="0"/>
          <w:color w:val="A31515"/>
          <w:sz w:val="19"/>
        </w:rPr>
        <w:t>s1</w:t>
      </w:r>
      <w:r>
        <w:rPr>
          <w:b w:val="0"/>
          <w:i w:val="0"/>
        </w:rPr>
        <w:t xml:space="preserve">: 22.21 frente a 3.32 de </w:t>
      </w:r>
      <w:r>
        <w:rPr>
          <w:rFonts w:ascii="Consolas" w:hAnsi="Consolas"/>
          <w:b w:val="0"/>
          <w:i w:val="0"/>
          <w:color w:val="A31515"/>
          <w:sz w:val="19"/>
        </w:rPr>
        <w:t>age</w:t>
      </w:r>
      <w:r>
        <w:rPr>
          <w:b w:val="0"/>
          <w:i w:val="0"/>
        </w:rPr>
        <w:t>), dejando los coeficientes lipídicos sin interpretación individual. En la polinomial explica por qué la expansión no aporta: genera términos redundantes a partir de variables ya redundantes.</w:t>
      </w:r>
    </w:p>
    <w:p>
      <w:pPr>
        <w:spacing w:after="60"/>
        <w:ind w:left="567" w:hanging="340"/>
      </w:pPr>
      <w:r>
        <w:rPr>
          <w:b/>
        </w:rPr>
        <w:t xml:space="preserve">3. </w:t>
      </w:r>
      <w:r>
        <w:rPr>
          <w:b/>
          <w:i w:val="0"/>
        </w:rPr>
        <w:t>La regularización es innecesaria en la múltiple e imprescindible en la polinomial.</w:t>
      </w:r>
      <w:r>
        <w:rPr>
          <w:b w:val="0"/>
          <w:i w:val="0"/>
        </w:rPr>
        <w:t xml:space="preserve"> Con 10 variables y 331 muestras no hay margen para sobreajustar, y Ridge/Lasso no mueven las métricas. Sobre 65 o 285 términos, en cambio, evitan el colapso del modelo.</w:t>
      </w:r>
    </w:p>
    <w:p>
      <w:pPr>
        <w:spacing w:after="60"/>
        <w:ind w:left="567" w:hanging="340"/>
      </w:pPr>
      <w:r>
        <w:rPr>
          <w:b/>
        </w:rPr>
        <w:t xml:space="preserve">4. </w:t>
      </w:r>
      <w:r>
        <w:rPr>
          <w:b/>
          <w:i w:val="0"/>
        </w:rPr>
        <w:t>El sobreajuste quedó cuantificado de forma inequívoca.</w:t>
      </w:r>
      <w:r>
        <w:rPr>
          <w:b w:val="0"/>
          <w:i w:val="0"/>
        </w:rPr>
        <w:t xml:space="preserve"> El polinomial de grado 3 sin regularizar alcanza el </w:t>
      </w:r>
      <w:r>
        <w:rPr>
          <w:b/>
          <w:i w:val="0"/>
        </w:rPr>
        <w:t>mejor R² de entrenamiento del estudio (0.8960)</w:t>
      </w:r>
      <w:r>
        <w:rPr>
          <w:b w:val="0"/>
          <w:i w:val="0"/>
        </w:rPr>
        <w:t xml:space="preserve"> y es el </w:t>
      </w:r>
      <w:r>
        <w:rPr>
          <w:b/>
          <w:i w:val="0"/>
        </w:rPr>
        <w:t>peor modelo de todos</w:t>
      </w:r>
      <w:r>
        <w:rPr>
          <w:b w:val="0"/>
          <w:i w:val="0"/>
        </w:rPr>
        <w:t xml:space="preserve"> fuera de la muestra (R² de prueba −8.09, CV −171.12). Es el argumento central contra evaluar un modelo por su ajuste en entrenamiento.</w:t>
      </w:r>
    </w:p>
    <w:p>
      <w:pPr>
        <w:spacing w:after="60"/>
        <w:ind w:left="567" w:hanging="340"/>
      </w:pPr>
      <w:r>
        <w:rPr>
          <w:b/>
        </w:rPr>
        <w:t xml:space="preserve">5. </w:t>
      </w:r>
      <w:r>
        <w:rPr>
          <w:b/>
          <w:i w:val="0"/>
        </w:rPr>
        <w:t>La relación es esencialmente lineal en el rango observado.</w:t>
      </w:r>
      <w:r>
        <w:rPr>
          <w:b w:val="0"/>
          <w:i w:val="0"/>
        </w:rPr>
        <w:t xml:space="preserve"> Dos análisis independientes coinciden: el diagnóstico de residuos del modelo lineal no muestra patrón estructural, y la expansión polinomial no encuentra nada que capturar.</w:t>
      </w:r>
    </w:p>
    <w:p>
      <w:pPr>
        <w:spacing w:after="60"/>
        <w:ind w:left="567" w:hanging="340"/>
      </w:pPr>
      <w:r>
        <w:rPr>
          <w:b/>
        </w:rPr>
        <w:t xml:space="preserve">6. </w:t>
      </w:r>
      <w:r>
        <w:rPr>
          <w:b/>
          <w:i w:val="0"/>
        </w:rPr>
        <w:t>El techo de R² ≈ 0.46–0.49 proviene de los datos, no del modelo.</w:t>
      </w:r>
      <w:r>
        <w:rPr>
          <w:b w:val="0"/>
          <w:i w:val="0"/>
        </w:rPr>
        <w:t xml:space="preserve"> Son 442 pacientes y 10 variables basales, sin información sobre genética, tratamiento, adherencia, dieta ni comorbilidades. La literatura original de Efron et al. trabaja en este mismo rango. Aumentar la complejidad del modelo no puede compensar una carencia de información.</w:t>
      </w:r>
    </w:p>
    <w:p>
      <w:pPr>
        <w:spacing w:after="60"/>
        <w:ind w:left="567" w:hanging="340"/>
      </w:pPr>
      <w:r>
        <w:rPr>
          <w:b/>
        </w:rPr>
        <w:t xml:space="preserve">7. </w:t>
      </w:r>
      <w:r>
        <w:rPr>
          <w:b/>
          <w:i w:val="0"/>
        </w:rPr>
        <w:t>La validación cruzada fue determinante.</w:t>
      </w:r>
      <w:r>
        <w:rPr>
          <w:b w:val="0"/>
          <w:i w:val="0"/>
        </w:rPr>
        <w:t xml:space="preserve"> Escogiendo por R² de prueba se habría seleccionado el modelo sin </w:t>
      </w:r>
      <w:r>
        <w:rPr>
          <w:rFonts w:ascii="Consolas" w:hAnsi="Consolas"/>
          <w:b w:val="0"/>
          <w:i w:val="0"/>
          <w:color w:val="A31515"/>
          <w:sz w:val="19"/>
        </w:rPr>
        <w:t>s1</w:t>
      </w:r>
      <w:r>
        <w:rPr>
          <w:b w:val="0"/>
          <w:i w:val="0"/>
        </w:rPr>
        <w:t>,</w:t>
      </w:r>
      <w:r>
        <w:rPr>
          <w:rFonts w:ascii="Consolas" w:hAnsi="Consolas"/>
          <w:b w:val="0"/>
          <w:i w:val="0"/>
          <w:color w:val="A31515"/>
          <w:sz w:val="19"/>
        </w:rPr>
        <w:t>s2</w:t>
      </w:r>
      <w:r>
        <w:rPr>
          <w:b w:val="0"/>
          <w:i w:val="0"/>
        </w:rPr>
        <w:t xml:space="preserve"> (0.4964) o el polinomial de grado 3 con Ridge (0.4942); la CV demuestra que ninguna de esas diferencias supera el ruido de muestreo con 111 muestras de prueba.</w:t>
      </w:r>
    </w:p>
    <w:p>
      <w:pPr>
        <w:pStyle w:val="Heading2"/>
        <w:spacing w:before="200" w:after="120"/>
      </w:pPr>
      <w:r>
        <w:rPr>
          <w:color w:val="1F4E79"/>
        </w:rPr>
        <w:t>Estructura de carpetas y archivos entregados</w:t>
      </w:r>
    </w:p>
    <w:p>
      <w:pPr>
        <w:jc w:val="both"/>
      </w:pPr>
      <w:r>
        <w:rPr>
          <w:b w:val="0"/>
          <w:i w:val="0"/>
        </w:rPr>
        <w:t xml:space="preserve">El caso se organiza en </w:t>
      </w:r>
      <w:r>
        <w:rPr>
          <w:b/>
          <w:i w:val="0"/>
        </w:rPr>
        <w:t>dos carpetas, una por metodología</w:t>
      </w:r>
      <w:r>
        <w:rPr>
          <w:b w:val="0"/>
          <w:i w:val="0"/>
        </w:rPr>
        <w:t>, cada una autocontenida y ejecutable de forma independiente:</w:t>
      </w:r>
    </w:p>
    <w:p>
      <w:pPr>
        <w:spacing w:before="120" w:after="0" w:line="240" w:lineRule="auto"/>
        <w:ind w:left="283"/>
        <w:shd w:val="clear" w:color="auto" w:fill="F2F2F2"/>
      </w:pPr>
      <w:r>
        <w:rPr>
          <w:rFonts w:ascii="Consolas" w:hAnsi="Consolas"/>
          <w:sz w:val="18"/>
        </w:rPr>
        <w:t>CASO_3/</w:t>
      </w:r>
    </w:p>
    <w:p>
      <w:pPr>
        <w:spacing w:before="0" w:after="0" w:line="240" w:lineRule="auto"/>
        <w:ind w:left="283"/>
        <w:shd w:val="clear" w:color="auto" w:fill="F2F2F2"/>
      </w:pPr>
      <w:r>
        <w:rPr>
          <w:rFonts w:ascii="Consolas" w:hAnsi="Consolas"/>
          <w:sz w:val="18"/>
        </w:rPr>
        <w:t>├── index.html                        · portada del caso, enlaza ambas metodologías</w:t>
      </w:r>
    </w:p>
    <w:p>
      <w:pPr>
        <w:spacing w:before="0" w:after="0" w:line="240" w:lineRule="auto"/>
        <w:ind w:left="283"/>
        <w:shd w:val="clear" w:color="auto" w:fill="F2F2F2"/>
      </w:pPr>
      <w:r>
        <w:rPr>
          <w:rFonts w:ascii="Consolas" w:hAnsi="Consolas"/>
          <w:sz w:val="18"/>
        </w:rPr>
        <w:t>├── INFORME_CONSOLIDADO.docx / .pdf   · este documento</w:t>
      </w:r>
    </w:p>
    <w:p>
      <w:pPr>
        <w:spacing w:before="0" w:after="0" w:line="240" w:lineRule="auto"/>
        <w:ind w:left="283"/>
        <w:shd w:val="clear" w:color="auto" w:fill="F2F2F2"/>
      </w:pPr>
      <w:r>
        <w:rPr>
          <w:rFonts w:ascii="Consolas" w:hAnsi="Consolas"/>
          <w:sz w:val="18"/>
        </w:rPr>
        <w:t>├── INFORME.md                        · fuente Markdown del consolidado</w:t>
      </w:r>
    </w:p>
    <w:p>
      <w:pPr>
        <w:spacing w:before="0" w:after="0" w:line="240" w:lineRule="auto"/>
        <w:ind w:left="283"/>
        <w:shd w:val="clear" w:color="auto" w:fill="F2F2F2"/>
      </w:pPr>
      <w:r>
        <w:rPr>
          <w:rFonts w:ascii="Consolas" w:hAnsi="Consolas"/>
          <w:sz w:val="18"/>
        </w:rPr>
        <w:t>├── PLAN.md                           · planificación y evaluación del dataset</w:t>
      </w:r>
    </w:p>
    <w:p>
      <w:pPr>
        <w:spacing w:before="0" w:after="0" w:line="240" w:lineRule="auto"/>
        <w:ind w:left="283"/>
        <w:shd w:val="clear" w:color="auto" w:fill="F2F2F2"/>
      </w:pPr>
      <w:r>
        <w:rPr>
          <w:rFonts w:ascii="Consolas" w:hAnsi="Consolas"/>
          <w:sz w:val="18"/>
        </w:rPr>
        <w:t>├── md_a_docx.py                      · conversor de Markdown a Word</w:t>
      </w:r>
    </w:p>
    <w:p>
      <w:pPr>
        <w:spacing w:before="0" w:after="0" w:line="240" w:lineRule="auto"/>
        <w:ind w:left="283"/>
        <w:shd w:val="clear" w:color="auto" w:fill="F2F2F2"/>
      </w:pPr>
      <w:r>
        <w:rPr>
          <w:rFonts w:ascii="Consolas" w:hAnsi="Consolas"/>
          <w:sz w:val="18"/>
        </w:rPr>
        <w:t>│</w:t>
      </w:r>
    </w:p>
    <w:p>
      <w:pPr>
        <w:spacing w:before="0" w:after="0" w:line="240" w:lineRule="auto"/>
        <w:ind w:left="283"/>
        <w:shd w:val="clear" w:color="auto" w:fill="F2F2F2"/>
      </w:pPr>
      <w:r>
        <w:rPr>
          <w:rFonts w:ascii="Consolas" w:hAnsi="Consolas"/>
          <w:sz w:val="18"/>
        </w:rPr>
        <w:t>├── 1_REGRESION_MULTIPLE/</w:t>
      </w:r>
    </w:p>
    <w:p>
      <w:pPr>
        <w:spacing w:before="0" w:after="0" w:line="240" w:lineRule="auto"/>
        <w:ind w:left="283"/>
        <w:shd w:val="clear" w:color="auto" w:fill="F2F2F2"/>
      </w:pPr>
      <w:r>
        <w:rPr>
          <w:rFonts w:ascii="Consolas" w:hAnsi="Consolas"/>
          <w:sz w:val="18"/>
        </w:rPr>
        <w:t>│   ├── train.py                      · Fases A y B, exporta el modelo</w:t>
      </w:r>
    </w:p>
    <w:p>
      <w:pPr>
        <w:spacing w:before="0" w:after="0" w:line="240" w:lineRule="auto"/>
        <w:ind w:left="283"/>
        <w:shd w:val="clear" w:color="auto" w:fill="F2F2F2"/>
      </w:pPr>
      <w:r>
        <w:rPr>
          <w:rFonts w:ascii="Consolas" w:hAnsi="Consolas"/>
          <w:sz w:val="18"/>
        </w:rPr>
        <w:t>│   ├── model.js                      · 10 coeficientes + intercepto</w:t>
      </w:r>
    </w:p>
    <w:p>
      <w:pPr>
        <w:spacing w:before="0" w:after="0" w:line="240" w:lineRule="auto"/>
        <w:ind w:left="283"/>
        <w:shd w:val="clear" w:color="auto" w:fill="F2F2F2"/>
      </w:pPr>
      <w:r>
        <w:rPr>
          <w:rFonts w:ascii="Consolas" w:hAnsi="Consolas"/>
          <w:sz w:val="18"/>
        </w:rPr>
        <w:t>│   ├── index.html                    · aplicativo web interactivo</w:t>
      </w:r>
    </w:p>
    <w:p>
      <w:pPr>
        <w:spacing w:before="0" w:after="0" w:line="240" w:lineRule="auto"/>
        <w:ind w:left="283"/>
        <w:shd w:val="clear" w:color="auto" w:fill="F2F2F2"/>
      </w:pPr>
      <w:r>
        <w:rPr>
          <w:rFonts w:ascii="Consolas" w:hAnsi="Consolas"/>
          <w:sz w:val="18"/>
        </w:rPr>
        <w:t>│   ├── resultados.json               · métricas en formato legible por máquina</w:t>
      </w:r>
    </w:p>
    <w:p>
      <w:pPr>
        <w:spacing w:before="0" w:after="0" w:line="240" w:lineRule="auto"/>
        <w:ind w:left="283"/>
        <w:shd w:val="clear" w:color="auto" w:fill="F2F2F2"/>
      </w:pPr>
      <w:r>
        <w:rPr>
          <w:rFonts w:ascii="Consolas" w:hAnsi="Consolas"/>
          <w:sz w:val="18"/>
        </w:rPr>
        <w:t>│   ├── INFORME_1_REGRESION_MULTIPLE.docx / .pdf / .md</w:t>
      </w:r>
    </w:p>
    <w:p>
      <w:pPr>
        <w:spacing w:before="0" w:after="0" w:line="240" w:lineRule="auto"/>
        <w:ind w:left="283"/>
        <w:shd w:val="clear" w:color="auto" w:fill="F2F2F2"/>
      </w:pPr>
      <w:r>
        <w:rPr>
          <w:rFonts w:ascii="Consolas" w:hAnsi="Consolas"/>
          <w:sz w:val="18"/>
        </w:rPr>
        <w:t>│   └── figuras/                      · 7 gráficos (boxplots, correlación, VIF,</w:t>
      </w:r>
    </w:p>
    <w:p>
      <w:pPr>
        <w:spacing w:before="0" w:after="0" w:line="240" w:lineRule="auto"/>
        <w:ind w:left="283"/>
        <w:shd w:val="clear" w:color="auto" w:fill="F2F2F2"/>
      </w:pPr>
      <w:r>
        <w:rPr>
          <w:rFonts w:ascii="Consolas" w:hAnsi="Consolas"/>
          <w:sz w:val="18"/>
        </w:rPr>
        <w:t>│                                        residuos, real vs. predicho, coeficientes)</w:t>
      </w:r>
    </w:p>
    <w:p>
      <w:pPr>
        <w:spacing w:before="0" w:after="0" w:line="240" w:lineRule="auto"/>
        <w:ind w:left="283"/>
        <w:shd w:val="clear" w:color="auto" w:fill="F2F2F2"/>
      </w:pPr>
      <w:r>
        <w:rPr>
          <w:rFonts w:ascii="Consolas" w:hAnsi="Consolas"/>
          <w:sz w:val="18"/>
        </w:rPr>
        <w:t>│</w:t>
      </w:r>
    </w:p>
    <w:p>
      <w:pPr>
        <w:spacing w:before="0" w:after="0" w:line="240" w:lineRule="auto"/>
        <w:ind w:left="283"/>
        <w:shd w:val="clear" w:color="auto" w:fill="F2F2F2"/>
      </w:pPr>
      <w:r>
        <w:rPr>
          <w:rFonts w:ascii="Consolas" w:hAnsi="Consolas"/>
          <w:sz w:val="18"/>
        </w:rPr>
        <w:t>└── 2_REGRESION_POLINOMIAL/</w:t>
      </w:r>
    </w:p>
    <w:p>
      <w:pPr>
        <w:spacing w:before="0" w:after="0" w:line="240" w:lineRule="auto"/>
        <w:ind w:left="283"/>
        <w:shd w:val="clear" w:color="auto" w:fill="F2F2F2"/>
      </w:pPr>
      <w:r>
        <w:rPr>
          <w:rFonts w:ascii="Consolas" w:hAnsi="Consolas"/>
          <w:sz w:val="18"/>
        </w:rPr>
        <w:t xml:space="preserve">    ├── train.py                      · Fases A y B, exporta el modelo</w:t>
      </w:r>
    </w:p>
    <w:p>
      <w:pPr>
        <w:spacing w:before="0" w:after="0" w:line="240" w:lineRule="auto"/>
        <w:ind w:left="283"/>
        <w:shd w:val="clear" w:color="auto" w:fill="F2F2F2"/>
      </w:pPr>
      <w:r>
        <w:rPr>
          <w:rFonts w:ascii="Consolas" w:hAnsi="Consolas"/>
          <w:sz w:val="18"/>
        </w:rPr>
        <w:t xml:space="preserve">    ├── model.js                      · 65 términos + exponentes de la expansión</w:t>
      </w:r>
    </w:p>
    <w:p>
      <w:pPr>
        <w:spacing w:before="0" w:after="0" w:line="240" w:lineRule="auto"/>
        <w:ind w:left="283"/>
        <w:shd w:val="clear" w:color="auto" w:fill="F2F2F2"/>
      </w:pPr>
      <w:r>
        <w:rPr>
          <w:rFonts w:ascii="Consolas" w:hAnsi="Consolas"/>
          <w:sz w:val="18"/>
        </w:rPr>
        <w:t xml:space="preserve">    ├── index.html                    · aplicativo web interactivo</w:t>
      </w:r>
    </w:p>
    <w:p>
      <w:pPr>
        <w:spacing w:before="0" w:after="0" w:line="240" w:lineRule="auto"/>
        <w:ind w:left="283"/>
        <w:shd w:val="clear" w:color="auto" w:fill="F2F2F2"/>
      </w:pPr>
      <w:r>
        <w:rPr>
          <w:rFonts w:ascii="Consolas" w:hAnsi="Consolas"/>
          <w:sz w:val="18"/>
        </w:rPr>
        <w:t xml:space="preserve">    ├── resultados.json               · métricas en formato legible por máquina</w:t>
      </w:r>
    </w:p>
    <w:p>
      <w:pPr>
        <w:spacing w:before="0" w:after="0" w:line="240" w:lineRule="auto"/>
        <w:ind w:left="283"/>
        <w:shd w:val="clear" w:color="auto" w:fill="F2F2F2"/>
      </w:pPr>
      <w:r>
        <w:rPr>
          <w:rFonts w:ascii="Consolas" w:hAnsi="Consolas"/>
          <w:sz w:val="18"/>
        </w:rPr>
        <w:t xml:space="preserve">    ├── INFORME_2_REGRESION_POLINOMIAL.docx / .pdf / .md</w:t>
      </w:r>
    </w:p>
    <w:p>
      <w:pPr>
        <w:spacing w:before="0" w:after="0" w:line="240" w:lineRule="auto"/>
        <w:ind w:left="283"/>
        <w:shd w:val="clear" w:color="auto" w:fill="F2F2F2"/>
      </w:pPr>
      <w:r>
        <w:rPr>
          <w:rFonts w:ascii="Consolas" w:hAnsi="Consolas"/>
          <w:sz w:val="18"/>
        </w:rPr>
        <w:t xml:space="preserve">    └── figuras/                      · 3 gráficos (correlación, curva de validación,</w:t>
      </w:r>
    </w:p>
    <w:p>
      <w:pPr>
        <w:spacing w:before="0" w:after="120" w:line="240" w:lineRule="auto"/>
        <w:ind w:left="283"/>
        <w:shd w:val="clear" w:color="auto" w:fill="F2F2F2"/>
      </w:pPr>
      <w:r>
        <w:rPr>
          <w:rFonts w:ascii="Consolas" w:hAnsi="Consolas"/>
          <w:sz w:val="18"/>
        </w:rPr>
        <w:t xml:space="preserve">                                         brecha entrenamiento-validación)</w:t>
      </w:r>
    </w:p>
    <w:p>
      <w:pPr>
        <w:jc w:val="both"/>
      </w:pPr>
      <w:r>
        <w:rPr>
          <w:b w:val="0"/>
          <w:i w:val="0"/>
        </w:rPr>
        <w:t>Cada carpeta se reproduce por completo con:</w:t>
      </w:r>
    </w:p>
    <w:p>
      <w:pPr>
        <w:spacing w:before="120" w:after="120" w:line="240" w:lineRule="auto"/>
        <w:ind w:left="283"/>
        <w:shd w:val="clear" w:color="auto" w:fill="F2F2F2"/>
      </w:pPr>
      <w:r>
        <w:rPr>
          <w:rFonts w:ascii="Consolas" w:hAnsi="Consolas"/>
          <w:sz w:val="18"/>
        </w:rPr>
        <w:t>python train.py</w:t>
      </w:r>
    </w:p>
    <w:p>
      <w:pPr>
        <w:jc w:val="both"/>
      </w:pPr>
      <w:r>
        <w:rPr>
          <w:b w:val="0"/>
          <w:i w:val="0"/>
        </w:rPr>
        <w:t xml:space="preserve">Los aplicativos se sirven por HTTP (el </w:t>
      </w:r>
      <w:r>
        <w:rPr>
          <w:rFonts w:ascii="Consolas" w:hAnsi="Consolas"/>
          <w:b w:val="0"/>
          <w:i w:val="0"/>
          <w:color w:val="A31515"/>
          <w:sz w:val="19"/>
        </w:rPr>
        <w:t>&lt;script src="model.js"&gt;</w:t>
      </w:r>
      <w:r>
        <w:rPr>
          <w:b w:val="0"/>
          <w:i w:val="0"/>
        </w:rPr>
        <w:t xml:space="preserve"> no carga bajo </w:t>
      </w:r>
      <w:r>
        <w:rPr>
          <w:rFonts w:ascii="Consolas" w:hAnsi="Consolas"/>
          <w:b w:val="0"/>
          <w:i w:val="0"/>
          <w:color w:val="A31515"/>
          <w:sz w:val="19"/>
        </w:rPr>
        <w:t>file://</w:t>
      </w:r>
      <w:r>
        <w:rPr>
          <w:b w:val="0"/>
          <w:i w:val="0"/>
        </w:rPr>
        <w:t xml:space="preserve"> en algunos navegadores):</w:t>
      </w:r>
    </w:p>
    <w:p>
      <w:pPr>
        <w:spacing w:before="120" w:after="120" w:line="240" w:lineRule="auto"/>
        <w:ind w:left="283"/>
        <w:shd w:val="clear" w:color="auto" w:fill="F2F2F2"/>
      </w:pPr>
      <w:r>
        <w:rPr>
          <w:rFonts w:ascii="Consolas" w:hAnsi="Consolas"/>
          <w:sz w:val="18"/>
        </w:rPr>
        <w:t>python -m http.server 8000</w:t>
      </w:r>
    </w:p>
    <w:p>
      <w:pPr>
        <w:pStyle w:val="Heading2"/>
        <w:spacing w:before="200" w:after="120"/>
      </w:pPr>
      <w:r>
        <w:rPr>
          <w:color w:val="1F4E79"/>
        </w:rPr>
        <w:t>Referencias</w:t>
      </w:r>
    </w:p>
    <w:p>
      <w:pPr>
        <w:spacing w:after="60"/>
        <w:ind w:left="567" w:hanging="340"/>
      </w:pPr>
      <w:r>
        <w:rPr>
          <w:b/>
        </w:rPr>
        <w:t xml:space="preserve">1. </w:t>
      </w:r>
      <w:r>
        <w:rPr>
          <w:b w:val="0"/>
          <w:i w:val="0"/>
        </w:rPr>
        <w:t xml:space="preserve">Efron, B., Hastie, T., Johnstone, I. y Tibshirani, R. (2004). </w:t>
      </w:r>
      <w:r>
        <w:rPr>
          <w:b w:val="0"/>
          <w:i/>
        </w:rPr>
        <w:t>Least Angle Regression</w:t>
      </w:r>
      <w:r>
        <w:rPr>
          <w:b w:val="0"/>
          <w:i w:val="0"/>
        </w:rPr>
        <w:t xml:space="preserve">. </w:t>
      </w:r>
      <w:r>
        <w:rPr>
          <w:b/>
          <w:i w:val="0"/>
        </w:rPr>
        <w:t>Annals of Statistics</w:t>
      </w:r>
      <w:r>
        <w:rPr>
          <w:b w:val="0"/>
          <w:i w:val="0"/>
        </w:rPr>
        <w:t xml:space="preserve">, 32(2), 407–499. </w:t>
      </w:r>
      <w:hyperlink r:id="rId12">
        <w:r>
          <w:rPr>
            <w:color w:val="0563C1"/>
            <w:u w:val="single"/>
          </w:rPr>
          <w:t xml:space="preserve">https://web.stanford.edu/~hastie/Papers/LARS/LeastAngle_2002.pdf</w:t>
        </w:r>
      </w:hyperlink>
    </w:p>
    <w:p>
      <w:pPr>
        <w:spacing w:after="60"/>
        <w:ind w:left="567" w:hanging="340"/>
      </w:pPr>
      <w:r>
        <w:rPr>
          <w:b/>
        </w:rPr>
        <w:t xml:space="preserve">2. </w:t>
      </w:r>
      <w:r>
        <w:rPr>
          <w:b w:val="0"/>
          <w:i w:val="0"/>
        </w:rPr>
        <w:t xml:space="preserve">Pedregosa, F. </w:t>
      </w:r>
      <w:r>
        <w:rPr>
          <w:b w:val="0"/>
          <w:i/>
        </w:rPr>
        <w:t>et al.</w:t>
      </w:r>
      <w:r>
        <w:rPr>
          <w:b w:val="0"/>
          <w:i w:val="0"/>
        </w:rPr>
        <w:t xml:space="preserve"> (2011). </w:t>
      </w:r>
      <w:r>
        <w:rPr>
          <w:b w:val="0"/>
          <w:i/>
        </w:rPr>
        <w:t>Scikit-learn: Machine Learning in Python</w:t>
      </w:r>
      <w:r>
        <w:rPr>
          <w:b w:val="0"/>
          <w:i w:val="0"/>
        </w:rPr>
        <w:t xml:space="preserve">. </w:t>
      </w:r>
      <w:r>
        <w:rPr>
          <w:b/>
          <w:i w:val="0"/>
        </w:rPr>
        <w:t>Journal of Machine Learning Research</w:t>
      </w:r>
      <w:r>
        <w:rPr>
          <w:b w:val="0"/>
          <w:i w:val="0"/>
        </w:rPr>
        <w:t>, 12, 2825–2830.</w:t>
      </w:r>
    </w:p>
    <w:p>
      <w:pPr>
        <w:spacing w:after="60"/>
        <w:ind w:left="567" w:hanging="340"/>
      </w:pPr>
      <w:r>
        <w:rPr>
          <w:b/>
        </w:rPr>
        <w:t xml:space="preserve">3. </w:t>
      </w:r>
      <w:r>
        <w:rPr>
          <w:b w:val="0"/>
          <w:i w:val="0"/>
        </w:rPr>
        <w:t xml:space="preserve">Documentación de scikit-learn — </w:t>
      </w:r>
      <w:r>
        <w:rPr>
          <w:rFonts w:ascii="Consolas" w:hAnsi="Consolas"/>
          <w:b w:val="0"/>
          <w:i w:val="0"/>
          <w:color w:val="A31515"/>
          <w:sz w:val="19"/>
        </w:rPr>
        <w:t>sklearn.datasets.load_diabetes</w:t>
      </w:r>
      <w:r>
        <w:rPr>
          <w:b w:val="0"/>
          <w:i w:val="0"/>
        </w:rPr>
        <w:t xml:space="preserve">. </w:t>
      </w:r>
      <w:hyperlink r:id="rId13">
        <w:r>
          <w:rPr>
            <w:color w:val="0563C1"/>
            <w:u w:val="single"/>
          </w:rPr>
          <w:t xml:space="preserve">https://scikit-learn.org/stable/modules/generated/sklearn.datasets.load_diabetes.html</w:t>
        </w:r>
      </w:hyperlink>
    </w:p>
    <w:p>
      <w:pPr>
        <w:spacing w:after="60"/>
        <w:ind w:left="567" w:hanging="340"/>
      </w:pPr>
      <w:r>
        <w:rPr>
          <w:b/>
        </w:rPr>
        <w:t xml:space="preserve">4. </w:t>
      </w:r>
      <w:r>
        <w:rPr>
          <w:b w:val="0"/>
          <w:i w:val="0"/>
        </w:rPr>
        <w:t xml:space="preserve">James, G., Witten, D., Hastie, T. y Tibshirani, R. (2021). </w:t>
      </w:r>
      <w:r>
        <w:rPr>
          <w:b w:val="0"/>
          <w:i/>
        </w:rPr>
        <w:t>An Introduction to Statistical Learning</w:t>
      </w:r>
      <w:r>
        <w:rPr>
          <w:b w:val="0"/>
          <w:i w:val="0"/>
        </w:rPr>
        <w:t>, 2.ª ed. Springer.</w:t>
      </w:r>
    </w:p>
    <w:p>
      <w:pPr>
        <w:spacing w:after="60"/>
        <w:ind w:left="567" w:hanging="340"/>
      </w:pPr>
      <w:r>
        <w:rPr>
          <w:b/>
        </w:rPr>
        <w:t xml:space="preserve">5. </w:t>
      </w:r>
      <w:r>
        <w:rPr>
          <w:b w:val="0"/>
          <w:i w:val="0"/>
        </w:rPr>
        <w:t xml:space="preserve">Montgomery, D. C., Peck, E. A. y Vining, G. G. (2021). </w:t>
      </w:r>
      <w:r>
        <w:rPr>
          <w:b w:val="0"/>
          <w:i/>
        </w:rPr>
        <w:t>Introduction to Linear Regression Analysis</w:t>
      </w:r>
      <w:r>
        <w:rPr>
          <w:b w:val="0"/>
          <w:i w:val="0"/>
        </w:rPr>
        <w:t>, 6.ª ed. Wiley.</w:t>
      </w:r>
    </w:p>
    <w:p>
      <w:pPr>
        <w:spacing w:after="60"/>
        <w:ind w:left="567" w:hanging="340"/>
      </w:pPr>
      <w:r>
        <w:rPr>
          <w:b/>
        </w:rPr>
        <w:t xml:space="preserve">6. </w:t>
      </w:r>
      <w:r>
        <w:rPr>
          <w:b w:val="0"/>
          <w:i w:val="0"/>
        </w:rPr>
        <w:t xml:space="preserve">Fuente original de los datos: </w:t>
      </w:r>
      <w:hyperlink r:id="rId14">
        <w:r>
          <w:rPr>
            <w:color w:val="0563C1"/>
            <w:u w:val="single"/>
          </w:rPr>
          <w:t xml:space="preserve">https://www4.stat.ncsu.edu/~boos/var.select/diabetes.html</w:t>
        </w:r>
      </w:hyperlink>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C"/>
        <w:sz w:val="17"/>
      </w:rPr>
      <w:t xml:space="preserve">Informe Técnico Consolidado   ·   Página </w:t>
    </w:r>
    <w:r>
      <w:rPr>
        <w:color w:val="44444C"/>
        <w:sz w:val="17"/>
      </w:rPr>
      <w:fldChar w:fldCharType="begin"/>
    </w:r>
    <w:r>
      <w:rPr>
        <w:color w:val="44444C"/>
        <w:sz w:val="17"/>
      </w:rPr>
      <w:instrText xml:space="preserve">PAGE</w:instrText>
    </w:r>
    <w:r>
      <w:rPr>
        <w:color w:val="44444C"/>
        <w:sz w:val="17"/>
      </w:rPr>
      <w:fldChar w:fldCharType="separate"/>
    </w:r>
    <w:r>
      <w:rPr>
        <w:color w:val="44444C"/>
        <w:sz w:val="17"/>
      </w:rPr>
      <w:t> </w:t>
    </w:r>
    <w:r>
      <w:rPr>
        <w:color w:val="44444C"/>
        <w:sz w:val="17"/>
      </w:rPr>
      <w:fldChar w:fldCharType="end"/>
    </w:r>
    <w:r>
      <w:rPr>
        <w:color w:val="44444C"/>
        <w:sz w:val="17"/>
      </w:rPr>
      <w:t xml:space="preserve"> de </w:t>
    </w:r>
    <w:r>
      <w:rPr>
        <w:color w:val="44444C"/>
        <w:sz w:val="17"/>
      </w:rPr>
      <w:fldChar w:fldCharType="begin"/>
    </w:r>
    <w:r>
      <w:rPr>
        <w:color w:val="44444C"/>
        <w:sz w:val="17"/>
      </w:rPr>
      <w:instrText xml:space="preserve">NUMPAGES</w:instrText>
    </w:r>
    <w:r>
      <w:rPr>
        <w:color w:val="44444C"/>
        <w:sz w:val="17"/>
      </w:rPr>
      <w:fldChar w:fldCharType="separate"/>
    </w:r>
    <w:r>
      <w:rPr>
        <w:color w:val="44444C"/>
        <w:sz w:val="17"/>
      </w:rPr>
      <w:t> </w:t>
    </w:r>
    <w:r>
      <w:rPr>
        <w:color w:val="44444C"/>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1_REGRESION_MULTIPLE/INFORME_1_REGRESION_MULTIPLE.docx" TargetMode="External"/><Relationship Id="rId11" Type="http://schemas.openxmlformats.org/officeDocument/2006/relationships/hyperlink" Target="2_REGRESION_POLINOMIAL/INFORME_2_REGRESION_POLINOMIAL.docx" TargetMode="External"/><Relationship Id="rId12" Type="http://schemas.openxmlformats.org/officeDocument/2006/relationships/hyperlink" Target="https://web.stanford.edu/~hastie/Papers/LARS/LeastAngle_2002.pdf" TargetMode="External"/><Relationship Id="rId13" Type="http://schemas.openxmlformats.org/officeDocument/2006/relationships/hyperlink" Target="https://scikit-learn.org/stable/modules/generated/sklearn.datasets.load_diabetes.html" TargetMode="External"/><Relationship Id="rId14" Type="http://schemas.openxmlformats.org/officeDocument/2006/relationships/hyperlink" Target="https://www4.stat.ncsu.edu/~boos/var.select/diabe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