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4444C"/>
          <w:sz w:val="24"/>
        </w:rPr>
        <w:t>REGRESIÓN LINEAL MÚLTIPLE Y POLINOMIAL</w:t>
      </w:r>
    </w:p>
    <w:p>
      <w:pPr>
        <w:spacing w:before="200" w:after="120"/>
        <w:jc w:val="center"/>
      </w:pPr>
      <w:r>
        <w:rPr>
          <w:b/>
          <w:color w:val="1F4E79"/>
          <w:sz w:val="52"/>
        </w:rPr>
        <w:t>Informe 1 — Regresión Lineal Múltiple</w:t>
      </w:r>
    </w:p>
    <w:p>
      <w:pPr>
        <w:spacing w:after="600"/>
        <w:jc w:val="center"/>
        <w:pBdr>
          <w:bottom w:val="single" w:sz="12" w:space="4" w:color="1F4E79"/>
        </w:pBdr>
      </w:pPr>
      <w:r>
        <w:rPr>
          <w:color w:val="44444C"/>
          <w:sz w:val="26"/>
        </w:rPr>
        <w:t>Caso 3 — Diabetes · Fases A, B y 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val="clear" w:color="auto" w:fill="EAF1F8"/>
          </w:tcPr>
          <w:p>
            <w:r>
              <w:rPr>
                <w:b/>
                <w:color w:val="1F4E79"/>
                <w:sz w:val="20"/>
              </w:rPr>
              <w:t>Dataset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sklearn.datasets.load_diabetes (442 muestras, 10 variables)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>
              <w:rPr>
                <w:b/>
                <w:color w:val="1F4E79"/>
                <w:sz w:val="20"/>
              </w:rPr>
              <w:t>Contexto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Progresión cuantitativa de la enfermedad un año después del inicio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>
              <w:rPr>
                <w:b/>
                <w:color w:val="1F4E79"/>
                <w:sz w:val="20"/>
              </w:rPr>
              <w:t>Metodología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Regresión Lineal Múltiple y Regresión Polinomial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>
              <w:rPr>
                <w:b/>
                <w:color w:val="1F4E79"/>
                <w:sz w:val="20"/>
              </w:rPr>
              <w:t>Partición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75 % entrenamiento / 25 % prueba (random_state = 42)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>
              <w:rPr>
                <w:b/>
                <w:color w:val="1F4E79"/>
                <w:sz w:val="20"/>
              </w:rPr>
              <w:t>Herramientas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Python 3.13 · scikit-learn 1.9 · pandas · NumPy · SciPy · Matplotlib</w:t>
            </w:r>
          </w:p>
        </w:tc>
      </w:tr>
      <w:tr>
        <w:tc>
          <w:tcPr>
            <w:tcW w:type="dxa" w:w="2381"/>
            <w:shd w:val="clear" w:color="auto" w:fill="EAF1F8"/>
          </w:tcPr>
          <w:p>
            <w:r>
              <w:rPr>
                <w:b/>
                <w:color w:val="1F4E79"/>
                <w:sz w:val="20"/>
              </w:rPr>
              <w:t>Reproducción</w:t>
            </w:r>
          </w:p>
        </w:tc>
        <w:tc>
          <w:tcPr>
            <w:tcW w:type="dxa" w:w="6690"/>
          </w:tcPr>
          <w:p>
            <w:r>
              <w:rPr>
                <w:b w:val="0"/>
                <w:i w:val="0"/>
                <w:sz w:val="20"/>
              </w:rPr>
              <w:t>python train.py</w:t>
            </w:r>
          </w:p>
        </w:tc>
      </w:tr>
    </w:tbl>
    <w:p>
      <w:pPr>
        <w:spacing w:after="480"/>
      </w:pPr>
    </w:p>
    <w:p>
      <w:pPr>
        <w:spacing w:after="160"/>
        <w:jc w:val="center"/>
      </w:pPr>
      <w:r>
        <w:rPr>
          <w:b/>
          <w:color w:val="1F4E79"/>
          <w:sz w:val="22"/>
        </w:rPr>
        <w:t>INTEGRANTES Y DIVISIÓN DE FUNCIONES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Integrante</w:t>
            </w:r>
          </w:p>
        </w:tc>
        <w:tc>
          <w:tcPr>
            <w:tcW w:type="dxa" w:w="5102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  <w:t>Función desempeñada</w:t>
            </w:r>
          </w:p>
        </w:tc>
      </w:tr>
      <w:tr>
        <w:tc>
          <w:tcPr>
            <w:tcW w:type="dxa" w:w="3969"/>
          </w:tcPr>
          <w:p>
            <w:r>
              <w:rPr>
                <w:sz w:val="22"/>
              </w:rPr>
              <w:t xml:space="preserve"> 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969"/>
          </w:tcPr>
          <w:p>
            <w:r>
              <w:rPr>
                <w:sz w:val="22"/>
              </w:rPr>
              <w:t xml:space="preserve"> 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969"/>
          </w:tcPr>
          <w:p>
            <w:r>
              <w:rPr>
                <w:sz w:val="22"/>
              </w:rPr>
              <w:t xml:space="preserve"> 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 xml:space="preserve"> </w:t>
            </w:r>
          </w:p>
        </w:tc>
      </w:tr>
      <w:tr>
        <w:tc>
          <w:tcPr>
            <w:tcW w:type="dxa" w:w="3969"/>
          </w:tcPr>
          <w:p>
            <w:r>
              <w:rPr>
                <w:sz w:val="22"/>
              </w:rPr>
              <w:t xml:space="preserve"> </w:t>
            </w:r>
          </w:p>
        </w:tc>
        <w:tc>
          <w:tcPr>
            <w:tcW w:type="dxa" w:w="5102"/>
          </w:tcPr>
          <w:p>
            <w:r>
              <w:rPr>
                <w:sz w:val="22"/>
              </w:rPr>
              <w:t xml:space="preserve"> </w:t>
            </w:r>
          </w:p>
        </w:tc>
      </w:tr>
    </w:tbl>
    <w:p>
      <w:pPr>
        <w:jc w:val="center"/>
      </w:pPr>
      <w:r>
        <w:rPr>
          <w:i/>
          <w:color w:val="44444C"/>
          <w:sz w:val="17"/>
        </w:rPr>
        <w:t>(completar antes de la entrega)</w:t>
      </w:r>
    </w:p>
    <w:p>
      <w:r>
        <w:br w:type="page"/>
      </w:r>
    </w:p>
    <w:p>
      <w:pPr>
        <w:pBdr>
          <w:bottom w:val="single" w:sz="6" w:space="4" w:color="1F4E79"/>
        </w:pBdr>
        <w:spacing w:after="200"/>
      </w:pPr>
      <w:r>
        <w:rPr>
          <w:b/>
          <w:color w:val="1F4E79"/>
          <w:sz w:val="32"/>
        </w:rPr>
        <w:t>Tabla de contenido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 </w:t>
      </w:r>
      <w:r>
        <w:fldChar w:fldCharType="end"/>
      </w:r>
    </w:p>
    <w:p>
      <w:r>
        <w:rPr>
          <w:i/>
          <w:color w:val="44444C"/>
          <w:sz w:val="17"/>
        </w:rPr>
        <w:t>Para actualizar el índice en Word: clic derecho sobre él → Actualizar campos → Actualizar toda la tabla.</w:t>
      </w:r>
    </w:p>
    <w:p>
      <w:r>
        <w:br w:type="page"/>
      </w:r>
    </w:p>
    <w:p>
      <w:pPr>
        <w:spacing w:before="160" w:after="160"/>
        <w:ind w:left="340" w:right="170"/>
        <w:pBdr>
          <w:left w:val="single" w:sz="18" w:space="4" w:color="FFB454"/>
        </w:pBdr>
        <w:shd w:val="clear" w:color="auto" w:fill="FFF7E6"/>
      </w:pPr>
      <w:r>
        <w:rPr>
          <w:b w:val="0"/>
          <w:i w:val="0"/>
        </w:rPr>
        <w:t xml:space="preserve">Este informe cubre </w:t>
      </w:r>
      <w:r>
        <w:rPr>
          <w:b/>
          <w:i w:val="0"/>
        </w:rPr>
        <w:t>exclusivamente la Regresión Lineal Múltiple</w:t>
      </w:r>
      <w:r>
        <w:rPr>
          <w:b w:val="0"/>
          <w:i w:val="0"/>
        </w:rPr>
        <w:t xml:space="preserve">. La Regresión Polinomial se documenta en </w:t>
      </w:r>
      <w:r>
        <w:rPr>
          <w:rFonts w:ascii="Consolas" w:hAnsi="Consolas"/>
          <w:b w:val="0"/>
          <w:i w:val="0"/>
          <w:color w:val="A31515"/>
          <w:sz w:val="19"/>
        </w:rPr>
        <w:t>INFORME_2_REGRESION_POLINOMIAL.md</w:t>
      </w:r>
      <w:r>
        <w:rPr>
          <w:b w:val="0"/>
          <w:i w:val="0"/>
        </w:rPr>
        <w:t>. La Fase A es común a ambas metodologías y se desarrolla completa aquí.</w:t>
      </w:r>
    </w:p>
    <w:p>
      <w:pPr>
        <w:pStyle w:val="Heading2"/>
        <w:spacing w:before="200" w:after="120"/>
      </w:pPr>
      <w:r>
        <w:rPr>
          <w:color w:val="1F4E79"/>
        </w:rPr>
        <w:t>Resumen ejecutivo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082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Metodología</w:t>
            </w:r>
          </w:p>
        </w:tc>
        <w:tc>
          <w:tcPr>
            <w:tcW w:type="dxa" w:w="4989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Regresión Lineal Múltiple (OLS, Ridge, Lasso)</w:t>
            </w:r>
          </w:p>
        </w:tc>
      </w:tr>
      <w:tr>
        <w:tc>
          <w:tcPr>
            <w:tcW w:type="dxa" w:w="4082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Muestras</w:t>
            </w:r>
          </w:p>
        </w:tc>
        <w:tc>
          <w:tcPr>
            <w:tcW w:type="dxa" w:w="498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442 (331 entrenamiento / 111 prueba)</w:t>
            </w:r>
          </w:p>
        </w:tc>
      </w:tr>
      <w:tr>
        <w:tc>
          <w:tcPr>
            <w:tcW w:type="dxa" w:w="4082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Variables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10 predictoras, todas numéricas</w:t>
            </w:r>
          </w:p>
        </w:tc>
      </w:tr>
      <w:tr>
        <w:tc>
          <w:tcPr>
            <w:tcW w:type="dxa" w:w="4082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Modelo final</w:t>
            </w:r>
          </w:p>
        </w:tc>
        <w:tc>
          <w:tcPr>
            <w:tcW w:type="dxa" w:w="4989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OLS con las 10 variables</w:t>
            </w:r>
          </w:p>
        </w:tc>
      </w:tr>
      <w:tr>
        <w:tc>
          <w:tcPr>
            <w:tcW w:type="dxa" w:w="4082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R² entrenamiento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0.5190</w:t>
            </w:r>
          </w:p>
        </w:tc>
      </w:tr>
      <w:tr>
        <w:tc>
          <w:tcPr>
            <w:tcW w:type="dxa" w:w="4082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R² prueba</w:t>
            </w:r>
          </w:p>
        </w:tc>
        <w:tc>
          <w:tcPr>
            <w:tcW w:type="dxa" w:w="4989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0.4849</w:t>
            </w:r>
          </w:p>
        </w:tc>
      </w:tr>
      <w:tr>
        <w:tc>
          <w:tcPr>
            <w:tcW w:type="dxa" w:w="4082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R² validación cruzada 5-fold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0.4606 ± 0.085</w:t>
            </w:r>
          </w:p>
        </w:tc>
      </w:tr>
      <w:tr>
        <w:tc>
          <w:tcPr>
            <w:tcW w:type="dxa" w:w="4082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RMSE / MAE prueba</w:t>
            </w:r>
          </w:p>
        </w:tc>
        <w:tc>
          <w:tcPr>
            <w:tcW w:type="dxa" w:w="498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53.37 / 41.55 puntos</w:t>
            </w:r>
          </w:p>
        </w:tc>
      </w:tr>
      <w:tr>
        <w:tc>
          <w:tcPr>
            <w:tcW w:type="dxa" w:w="4082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Brecha entrenamiento − CV</w:t>
            </w:r>
          </w:p>
        </w:tc>
        <w:tc>
          <w:tcPr>
            <w:tcW w:type="dxa" w:w="498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 xml:space="preserve">0.0584 → </w:t>
            </w:r>
            <w:r>
              <w:rPr>
                <w:b/>
                <w:i w:val="0"/>
                <w:sz w:val="19"/>
              </w:rPr>
              <w:t>sin sobreajuste</w:t>
            </w:r>
          </w:p>
        </w:tc>
      </w:tr>
      <w:tr>
        <w:tc>
          <w:tcPr>
            <w:tcW w:type="dxa" w:w="4082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Predictores significativos</w:t>
            </w:r>
          </w:p>
        </w:tc>
        <w:tc>
          <w:tcPr>
            <w:tcW w:type="dxa" w:w="4989"/>
          </w:tcPr>
          <w:p>
            <w:pPr>
              <w:spacing w:before="20" w:after="20"/>
              <w:jc w:val="right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bmi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s5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bp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sex</w:t>
            </w:r>
            <w:r>
              <w:rPr>
                <w:b w:val="0"/>
                <w:i w:val="0"/>
                <w:sz w:val="19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1F4E79"/>
        </w:pBdr>
      </w:pPr>
      <w:r>
        <w:rPr>
          <w:color w:val="1F4E79"/>
        </w:rPr>
        <w:t>FASE A — Análisis exploratorio y preprocesamiento</w:t>
      </w:r>
    </w:p>
    <w:p>
      <w:pPr>
        <w:pStyle w:val="Heading2"/>
        <w:spacing w:before="200" w:after="120"/>
      </w:pPr>
      <w:r>
        <w:rPr>
          <w:color w:val="1F4E79"/>
        </w:rPr>
        <w:t>A.0 Carga del dataset y decisión sobre la escala</w:t>
      </w:r>
    </w:p>
    <w:p>
      <w:pPr>
        <w:spacing w:before="120" w:after="120" w:line="240" w:lineRule="auto"/>
        <w:ind w:left="283"/>
        <w:shd w:val="clear" w:color="auto" w:fill="F2F2F2"/>
      </w:pPr>
      <w:r>
        <w:rPr>
          <w:rFonts w:ascii="Consolas" w:hAnsi="Consolas"/>
          <w:sz w:val="18"/>
        </w:rPr>
        <w:t>X, y = load_diabetes(return_X_y=True, as_frame=True, scaled=False)</w:t>
      </w:r>
    </w:p>
    <w:p>
      <w:pPr>
        <w:jc w:val="both"/>
      </w:pPr>
      <w:r>
        <w:rPr>
          <w:rFonts w:ascii="Consolas" w:hAnsi="Consolas"/>
          <w:b w:val="0"/>
          <w:i w:val="0"/>
          <w:color w:val="A31515"/>
          <w:sz w:val="19"/>
        </w:rPr>
        <w:t>load_diabetes()</w:t>
      </w:r>
      <w:r>
        <w:rPr>
          <w:b w:val="0"/>
          <w:i w:val="0"/>
        </w:rPr>
        <w:t xml:space="preserve"> devuelve por defecto (</w:t>
      </w:r>
      <w:r>
        <w:rPr>
          <w:rFonts w:ascii="Consolas" w:hAnsi="Consolas"/>
          <w:b w:val="0"/>
          <w:i w:val="0"/>
          <w:color w:val="A31515"/>
          <w:sz w:val="19"/>
        </w:rPr>
        <w:t>scaled=True</w:t>
      </w:r>
      <w:r>
        <w:rPr>
          <w:b w:val="0"/>
          <w:i w:val="0"/>
        </w:rPr>
        <w:t xml:space="preserve">) los datos </w:t>
      </w:r>
      <w:r>
        <w:rPr>
          <w:b/>
          <w:i w:val="0"/>
        </w:rPr>
        <w:t>ya centrados y escalados</w:t>
      </w:r>
      <w:r>
        <w:rPr>
          <w:b w:val="0"/>
          <w:i w:val="0"/>
        </w:rPr>
        <w:t xml:space="preserve"> por la desviación estándar × √n, con valores adimensionales en el rango −0.14 a 0.20. Se usó </w:t>
      </w:r>
      <w:r>
        <w:rPr>
          <w:rFonts w:ascii="Consolas" w:hAnsi="Consolas"/>
          <w:b/>
          <w:i w:val="0"/>
          <w:color w:val="A31515"/>
          <w:sz w:val="19"/>
        </w:rPr>
        <w:t>scaled=False</w:t>
      </w:r>
      <w:r>
        <w:rPr>
          <w:b w:val="0"/>
          <w:i w:val="0"/>
        </w:rPr>
        <w:t xml:space="preserve"> de forma deliberada, por dos razones:</w:t>
      </w:r>
    </w:p>
    <w:p>
      <w:pPr>
        <w:spacing w:after="60"/>
        <w:ind w:left="567" w:hanging="340"/>
      </w:pPr>
      <w:r>
        <w:rPr>
          <w:b/>
        </w:rPr>
        <w:t xml:space="preserve">1. </w:t>
      </w:r>
      <w:r>
        <w:rPr>
          <w:b w:val="0"/>
          <w:i w:val="0"/>
        </w:rPr>
        <w:t xml:space="preserve">La Fase A exige aplicar </w:t>
      </w:r>
      <w:r>
        <w:rPr>
          <w:rFonts w:ascii="Consolas" w:hAnsi="Consolas"/>
          <w:b w:val="0"/>
          <w:i w:val="0"/>
          <w:color w:val="A31515"/>
          <w:sz w:val="19"/>
        </w:rPr>
        <w:t>StandardScaler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A31515"/>
          <w:sz w:val="19"/>
        </w:rPr>
        <w:t>MinMaxScaler</w:t>
      </w:r>
      <w:r>
        <w:rPr>
          <w:b w:val="0"/>
          <w:i w:val="0"/>
        </w:rPr>
        <w:t>; no tiene sentido estandarizar datos ya estandarizados, y el procedimiento no sería demostrable.</w:t>
      </w:r>
    </w:p>
    <w:p>
      <w:pPr>
        <w:spacing w:after="60"/>
        <w:ind w:left="567" w:hanging="340"/>
      </w:pPr>
      <w:r>
        <w:rPr>
          <w:b/>
        </w:rPr>
        <w:t xml:space="preserve">2. </w:t>
      </w:r>
      <w:r>
        <w:rPr>
          <w:b w:val="0"/>
          <w:i w:val="0"/>
        </w:rPr>
        <w:t>La Fase C exige que el usuario ingrese parámetros. Un usuario introduce "IMC = 26.4", no "IMC = 0.0507".</w:t>
      </w:r>
    </w:p>
    <w:p>
      <w:pPr>
        <w:pStyle w:val="Heading2"/>
        <w:spacing w:before="200" w:after="120"/>
      </w:pPr>
      <w:r>
        <w:rPr>
          <w:color w:val="1F4E79"/>
        </w:rPr>
        <w:t>A.1 Tipos de datos, valores nulos y duplicados</w:t>
      </w:r>
    </w:p>
    <w:p>
      <w:pPr>
        <w:jc w:val="both"/>
      </w:pPr>
      <w:r>
        <w:rPr>
          <w:b w:val="0"/>
          <w:i w:val="0"/>
        </w:rPr>
        <w:t xml:space="preserve">442 filas × 10 columnas. </w:t>
      </w:r>
      <w:r>
        <w:rPr>
          <w:b/>
          <w:i w:val="0"/>
        </w:rPr>
        <w:t xml:space="preserve">Todas de tipo </w:t>
      </w:r>
      <w:r>
        <w:rPr>
          <w:rFonts w:ascii="Consolas" w:hAnsi="Consolas"/>
          <w:b/>
          <w:i w:val="0"/>
          <w:color w:val="A31515"/>
          <w:sz w:val="19"/>
        </w:rPr>
        <w:t>float64</w:t>
      </w:r>
      <w:r>
        <w:rPr>
          <w:b/>
          <w:i w:val="0"/>
        </w:rPr>
        <w:t>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145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4161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Descripción</w:t>
            </w:r>
          </w:p>
        </w:tc>
        <w:tc>
          <w:tcPr>
            <w:tcW w:type="dxa" w:w="901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Unidad</w:t>
            </w:r>
          </w:p>
        </w:tc>
        <w:tc>
          <w:tcPr>
            <w:tcW w:type="dxa" w:w="799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Media</w:t>
            </w:r>
          </w:p>
        </w:tc>
        <w:tc>
          <w:tcPr>
            <w:tcW w:type="dxa" w:w="780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Desv.</w:t>
            </w:r>
          </w:p>
        </w:tc>
        <w:tc>
          <w:tcPr>
            <w:tcW w:type="dxa" w:w="590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Mín</w:t>
            </w:r>
          </w:p>
        </w:tc>
        <w:tc>
          <w:tcPr>
            <w:tcW w:type="dxa" w:w="694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Máx</w:t>
            </w:r>
          </w:p>
        </w:tc>
      </w:tr>
      <w:tr>
        <w:tc>
          <w:tcPr>
            <w:tcW w:type="dxa" w:w="1145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age</w:t>
            </w:r>
          </w:p>
        </w:tc>
        <w:tc>
          <w:tcPr>
            <w:tcW w:type="dxa" w:w="416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Edad</w:t>
            </w:r>
          </w:p>
        </w:tc>
        <w:tc>
          <w:tcPr>
            <w:tcW w:type="dxa" w:w="90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años</w:t>
            </w:r>
          </w:p>
        </w:tc>
        <w:tc>
          <w:tcPr>
            <w:tcW w:type="dxa" w:w="79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48.52</w:t>
            </w:r>
          </w:p>
        </w:tc>
        <w:tc>
          <w:tcPr>
            <w:tcW w:type="dxa" w:w="78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13.11</w:t>
            </w:r>
          </w:p>
        </w:tc>
        <w:tc>
          <w:tcPr>
            <w:tcW w:type="dxa" w:w="59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19.0</w:t>
            </w:r>
          </w:p>
        </w:tc>
        <w:tc>
          <w:tcPr>
            <w:tcW w:type="dxa" w:w="69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79.0</w:t>
            </w:r>
          </w:p>
        </w:tc>
      </w:tr>
      <w:tr>
        <w:tc>
          <w:tcPr>
            <w:tcW w:type="dxa" w:w="1145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sex</w:t>
            </w:r>
          </w:p>
        </w:tc>
        <w:tc>
          <w:tcPr>
            <w:tcW w:type="dxa" w:w="416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Sexo (categórica binaria)</w:t>
            </w:r>
          </w:p>
        </w:tc>
        <w:tc>
          <w:tcPr>
            <w:tcW w:type="dxa" w:w="90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 / 1</w:t>
            </w:r>
          </w:p>
        </w:tc>
        <w:tc>
          <w:tcPr>
            <w:tcW w:type="dxa" w:w="79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0.47</w:t>
            </w:r>
          </w:p>
        </w:tc>
        <w:tc>
          <w:tcPr>
            <w:tcW w:type="dxa" w:w="78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0.50</w:t>
            </w:r>
          </w:p>
        </w:tc>
        <w:tc>
          <w:tcPr>
            <w:tcW w:type="dxa" w:w="5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</w:t>
            </w:r>
          </w:p>
        </w:tc>
        <w:tc>
          <w:tcPr>
            <w:tcW w:type="dxa" w:w="69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</w:t>
            </w:r>
          </w:p>
        </w:tc>
      </w:tr>
      <w:tr>
        <w:tc>
          <w:tcPr>
            <w:tcW w:type="dxa" w:w="1145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bmi</w:t>
            </w:r>
          </w:p>
        </w:tc>
        <w:tc>
          <w:tcPr>
            <w:tcW w:type="dxa" w:w="416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Índice de masa corporal</w:t>
            </w:r>
          </w:p>
        </w:tc>
        <w:tc>
          <w:tcPr>
            <w:tcW w:type="dxa" w:w="90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kg/m²</w:t>
            </w:r>
          </w:p>
        </w:tc>
        <w:tc>
          <w:tcPr>
            <w:tcW w:type="dxa" w:w="79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26.38</w:t>
            </w:r>
          </w:p>
        </w:tc>
        <w:tc>
          <w:tcPr>
            <w:tcW w:type="dxa" w:w="78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4.42</w:t>
            </w:r>
          </w:p>
        </w:tc>
        <w:tc>
          <w:tcPr>
            <w:tcW w:type="dxa" w:w="59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18.0</w:t>
            </w:r>
          </w:p>
        </w:tc>
        <w:tc>
          <w:tcPr>
            <w:tcW w:type="dxa" w:w="69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42.2</w:t>
            </w:r>
          </w:p>
        </w:tc>
      </w:tr>
      <w:tr>
        <w:tc>
          <w:tcPr>
            <w:tcW w:type="dxa" w:w="1145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bp</w:t>
            </w:r>
          </w:p>
        </w:tc>
        <w:tc>
          <w:tcPr>
            <w:tcW w:type="dxa" w:w="416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Presión arterial media</w:t>
            </w:r>
          </w:p>
        </w:tc>
        <w:tc>
          <w:tcPr>
            <w:tcW w:type="dxa" w:w="90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mm Hg</w:t>
            </w:r>
          </w:p>
        </w:tc>
        <w:tc>
          <w:tcPr>
            <w:tcW w:type="dxa" w:w="79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94.65</w:t>
            </w:r>
          </w:p>
        </w:tc>
        <w:tc>
          <w:tcPr>
            <w:tcW w:type="dxa" w:w="78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13.83</w:t>
            </w:r>
          </w:p>
        </w:tc>
        <w:tc>
          <w:tcPr>
            <w:tcW w:type="dxa" w:w="5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62.0</w:t>
            </w:r>
          </w:p>
        </w:tc>
        <w:tc>
          <w:tcPr>
            <w:tcW w:type="dxa" w:w="69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133.0</w:t>
            </w:r>
          </w:p>
        </w:tc>
      </w:tr>
      <w:tr>
        <w:tc>
          <w:tcPr>
            <w:tcW w:type="dxa" w:w="1145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</w:p>
        </w:tc>
        <w:tc>
          <w:tcPr>
            <w:tcW w:type="dxa" w:w="416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Colesterol total (tc)</w:t>
            </w:r>
          </w:p>
        </w:tc>
        <w:tc>
          <w:tcPr>
            <w:tcW w:type="dxa" w:w="90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mg/dL</w:t>
            </w:r>
          </w:p>
        </w:tc>
        <w:tc>
          <w:tcPr>
            <w:tcW w:type="dxa" w:w="79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189.14</w:t>
            </w:r>
          </w:p>
        </w:tc>
        <w:tc>
          <w:tcPr>
            <w:tcW w:type="dxa" w:w="78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34.61</w:t>
            </w:r>
          </w:p>
        </w:tc>
        <w:tc>
          <w:tcPr>
            <w:tcW w:type="dxa" w:w="59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97.0</w:t>
            </w:r>
          </w:p>
        </w:tc>
        <w:tc>
          <w:tcPr>
            <w:tcW w:type="dxa" w:w="69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301.0</w:t>
            </w:r>
          </w:p>
        </w:tc>
      </w:tr>
      <w:tr>
        <w:tc>
          <w:tcPr>
            <w:tcW w:type="dxa" w:w="1145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s2</w:t>
            </w:r>
          </w:p>
        </w:tc>
        <w:tc>
          <w:tcPr>
            <w:tcW w:type="dxa" w:w="416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Lipoproteínas LDL (ldl)</w:t>
            </w:r>
          </w:p>
        </w:tc>
        <w:tc>
          <w:tcPr>
            <w:tcW w:type="dxa" w:w="90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mg/dL</w:t>
            </w:r>
          </w:p>
        </w:tc>
        <w:tc>
          <w:tcPr>
            <w:tcW w:type="dxa" w:w="79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115.44</w:t>
            </w:r>
          </w:p>
        </w:tc>
        <w:tc>
          <w:tcPr>
            <w:tcW w:type="dxa" w:w="78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30.41</w:t>
            </w:r>
          </w:p>
        </w:tc>
        <w:tc>
          <w:tcPr>
            <w:tcW w:type="dxa" w:w="5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41.6</w:t>
            </w:r>
          </w:p>
        </w:tc>
        <w:tc>
          <w:tcPr>
            <w:tcW w:type="dxa" w:w="69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242.4</w:t>
            </w:r>
          </w:p>
        </w:tc>
      </w:tr>
      <w:tr>
        <w:tc>
          <w:tcPr>
            <w:tcW w:type="dxa" w:w="1145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s3</w:t>
            </w:r>
          </w:p>
        </w:tc>
        <w:tc>
          <w:tcPr>
            <w:tcW w:type="dxa" w:w="416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Lipoproteínas HDL (hdl)</w:t>
            </w:r>
          </w:p>
        </w:tc>
        <w:tc>
          <w:tcPr>
            <w:tcW w:type="dxa" w:w="90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mg/dL</w:t>
            </w:r>
          </w:p>
        </w:tc>
        <w:tc>
          <w:tcPr>
            <w:tcW w:type="dxa" w:w="79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49.79</w:t>
            </w:r>
          </w:p>
        </w:tc>
        <w:tc>
          <w:tcPr>
            <w:tcW w:type="dxa" w:w="78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12.93</w:t>
            </w:r>
          </w:p>
        </w:tc>
        <w:tc>
          <w:tcPr>
            <w:tcW w:type="dxa" w:w="59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22.0</w:t>
            </w:r>
          </w:p>
        </w:tc>
        <w:tc>
          <w:tcPr>
            <w:tcW w:type="dxa" w:w="69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99.0</w:t>
            </w:r>
          </w:p>
        </w:tc>
      </w:tr>
      <w:tr>
        <w:tc>
          <w:tcPr>
            <w:tcW w:type="dxa" w:w="1145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s4</w:t>
            </w:r>
          </w:p>
        </w:tc>
        <w:tc>
          <w:tcPr>
            <w:tcW w:type="dxa" w:w="416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Razón colesterol total / HDL (tch)</w:t>
            </w:r>
          </w:p>
        </w:tc>
        <w:tc>
          <w:tcPr>
            <w:tcW w:type="dxa" w:w="90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ratio</w:t>
            </w:r>
          </w:p>
        </w:tc>
        <w:tc>
          <w:tcPr>
            <w:tcW w:type="dxa" w:w="79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4.07</w:t>
            </w:r>
          </w:p>
        </w:tc>
        <w:tc>
          <w:tcPr>
            <w:tcW w:type="dxa" w:w="78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1.29</w:t>
            </w:r>
          </w:p>
        </w:tc>
        <w:tc>
          <w:tcPr>
            <w:tcW w:type="dxa" w:w="5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2.0</w:t>
            </w:r>
          </w:p>
        </w:tc>
        <w:tc>
          <w:tcPr>
            <w:tcW w:type="dxa" w:w="69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9.09</w:t>
            </w:r>
          </w:p>
        </w:tc>
      </w:tr>
      <w:tr>
        <w:tc>
          <w:tcPr>
            <w:tcW w:type="dxa" w:w="1145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s5</w:t>
            </w:r>
          </w:p>
        </w:tc>
        <w:tc>
          <w:tcPr>
            <w:tcW w:type="dxa" w:w="416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 xml:space="preserve">Triglicéridos séricos, </w:t>
            </w:r>
            <w:r>
              <w:rPr>
                <w:b w:val="0"/>
                <w:i/>
                <w:sz w:val="19"/>
              </w:rPr>
              <w:t>posiblemente</w:t>
            </w:r>
            <w:r>
              <w:rPr>
                <w:b w:val="0"/>
                <w:i w:val="0"/>
                <w:sz w:val="19"/>
              </w:rPr>
              <w:t xml:space="preserve"> en log (ltg)</w:t>
            </w:r>
          </w:p>
        </w:tc>
        <w:tc>
          <w:tcPr>
            <w:tcW w:type="dxa" w:w="90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log</w:t>
            </w:r>
          </w:p>
        </w:tc>
        <w:tc>
          <w:tcPr>
            <w:tcW w:type="dxa" w:w="79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4.64</w:t>
            </w:r>
          </w:p>
        </w:tc>
        <w:tc>
          <w:tcPr>
            <w:tcW w:type="dxa" w:w="78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0.52</w:t>
            </w:r>
          </w:p>
        </w:tc>
        <w:tc>
          <w:tcPr>
            <w:tcW w:type="dxa" w:w="59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3.26</w:t>
            </w:r>
          </w:p>
        </w:tc>
        <w:tc>
          <w:tcPr>
            <w:tcW w:type="dxa" w:w="69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6.11</w:t>
            </w:r>
          </w:p>
        </w:tc>
      </w:tr>
      <w:tr>
        <w:tc>
          <w:tcPr>
            <w:tcW w:type="dxa" w:w="1145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s6</w:t>
            </w:r>
          </w:p>
        </w:tc>
        <w:tc>
          <w:tcPr>
            <w:tcW w:type="dxa" w:w="416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Glucosa en sangre (glu)</w:t>
            </w:r>
          </w:p>
        </w:tc>
        <w:tc>
          <w:tcPr>
            <w:tcW w:type="dxa" w:w="90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mg/dL</w:t>
            </w:r>
          </w:p>
        </w:tc>
        <w:tc>
          <w:tcPr>
            <w:tcW w:type="dxa" w:w="79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91.26</w:t>
            </w:r>
          </w:p>
        </w:tc>
        <w:tc>
          <w:tcPr>
            <w:tcW w:type="dxa" w:w="78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11.50</w:t>
            </w:r>
          </w:p>
        </w:tc>
        <w:tc>
          <w:tcPr>
            <w:tcW w:type="dxa" w:w="5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58.0</w:t>
            </w:r>
          </w:p>
        </w:tc>
        <w:tc>
          <w:tcPr>
            <w:tcW w:type="dxa" w:w="69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124.0</w:t>
            </w:r>
          </w:p>
        </w:tc>
      </w:tr>
    </w:tbl>
    <w:p>
      <w:pPr>
        <w:spacing w:after="120"/>
      </w:pPr>
    </w:p>
    <w:p>
      <w:pPr>
        <w:spacing w:before="160" w:after="160"/>
        <w:ind w:left="340" w:right="170"/>
        <w:pBdr>
          <w:left w:val="single" w:sz="18" w:space="4" w:color="FFB454"/>
        </w:pBdr>
        <w:shd w:val="clear" w:color="auto" w:fill="FFF7E6"/>
      </w:pPr>
      <w:r>
        <w:rPr>
          <w:b/>
          <w:i w:val="0"/>
        </w:rPr>
        <w:t xml:space="preserve">Nota sobre </w:t>
      </w:r>
      <w:r>
        <w:rPr>
          <w:rFonts w:ascii="Consolas" w:hAnsi="Consolas"/>
          <w:b/>
          <w:i w:val="0"/>
          <w:color w:val="A31515"/>
          <w:sz w:val="19"/>
        </w:rPr>
        <w:t>s1</w:t>
      </w:r>
      <w:r>
        <w:rPr>
          <w:b/>
          <w:i w:val="0"/>
        </w:rPr>
        <w:t>–</w:t>
      </w:r>
      <w:r>
        <w:rPr>
          <w:rFonts w:ascii="Consolas" w:hAnsi="Consolas"/>
          <w:b/>
          <w:i w:val="0"/>
          <w:color w:val="A31515"/>
          <w:sz w:val="19"/>
        </w:rPr>
        <w:t>s6</w:t>
      </w:r>
      <w:r>
        <w:rPr>
          <w:b/>
          <w:i w:val="0"/>
        </w:rPr>
        <w:t>:</w:t>
      </w:r>
      <w:r>
        <w:rPr>
          <w:b w:val="0"/>
          <w:i w:val="0"/>
        </w:rPr>
        <w:t xml:space="preserve"> los nombres provienen del </w:t>
      </w:r>
      <w:r>
        <w:rPr>
          <w:rFonts w:ascii="Consolas" w:hAnsi="Consolas"/>
          <w:b w:val="0"/>
          <w:i w:val="0"/>
          <w:color w:val="A31515"/>
          <w:sz w:val="19"/>
        </w:rPr>
        <w:t>.DESCR</w:t>
      </w:r>
      <w:r>
        <w:rPr>
          <w:b w:val="0"/>
          <w:i w:val="0"/>
        </w:rPr>
        <w:t xml:space="preserve"> oficial. La propia documentación de scikit-learn advierte que su significado exacto </w:t>
      </w:r>
      <w:r>
        <w:rPr>
          <w:b w:val="0"/>
          <w:i/>
        </w:rPr>
        <w:t xml:space="preserve">"puede no ser claro, especialmente para </w:t>
      </w:r>
      <w:r>
        <w:rPr>
          <w:rFonts w:ascii="Consolas" w:hAnsi="Consolas"/>
          <w:b w:val="0"/>
          <w:i/>
          <w:color w:val="A31515"/>
          <w:sz w:val="19"/>
        </w:rPr>
        <w:t>ltg</w:t>
      </w:r>
      <w:r>
        <w:rPr>
          <w:b w:val="0"/>
          <w:i/>
        </w:rPr>
        <w:t>"</w:t>
      </w:r>
      <w:r>
        <w:rPr>
          <w:b w:val="0"/>
          <w:i w:val="0"/>
        </w:rPr>
        <w:t>, porque el dataset original no lo documenta de forma explícita. Se reporta con esa reserva.</w:t>
      </w:r>
    </w:p>
    <w:p>
      <w:pPr>
        <w:jc w:val="both"/>
      </w:pPr>
      <w:r>
        <w:rPr>
          <w:b/>
          <w:i w:val="0"/>
        </w:rPr>
        <w:t>Variable objetivo:</w:t>
      </w:r>
      <w:r>
        <w:rPr>
          <w:b w:val="0"/>
          <w:i w:val="0"/>
        </w:rPr>
        <w:t xml:space="preserve"> medida cuantitativa de progresión de la enfermedad a un año. Continua, rango 25 – 346, media 152.13, </w:t>
      </w:r>
      <w:r>
        <w:rPr>
          <w:b/>
          <w:i w:val="0"/>
        </w:rPr>
        <w:t>asimetría 0.441</w:t>
      </w:r>
      <w:r>
        <w:rPr>
          <w:b w:val="0"/>
          <w:i w:val="0"/>
        </w:rPr>
        <w:t>.</w:t>
      </w:r>
    </w:p>
    <w:p>
      <w:pPr>
        <w:pStyle w:val="Heading3"/>
        <w:spacing w:before="200" w:after="120"/>
      </w:pPr>
      <w:r>
        <w:rPr>
          <w:color w:val="1F4E79"/>
        </w:rPr>
        <w:t>Resultado de la limpieza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498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Verificación</w:t>
            </w:r>
          </w:p>
        </w:tc>
        <w:tc>
          <w:tcPr>
            <w:tcW w:type="dxa" w:w="2123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Resultado</w:t>
            </w:r>
          </w:p>
        </w:tc>
        <w:tc>
          <w:tcPr>
            <w:tcW w:type="dxa" w:w="4450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Acción</w:t>
            </w:r>
          </w:p>
        </w:tc>
      </w:tr>
      <w:tr>
        <w:tc>
          <w:tcPr>
            <w:tcW w:type="dxa" w:w="2498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Valores nulos</w:t>
            </w:r>
          </w:p>
        </w:tc>
        <w:tc>
          <w:tcPr>
            <w:tcW w:type="dxa" w:w="2123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0</w:t>
            </w:r>
          </w:p>
        </w:tc>
        <w:tc>
          <w:tcPr>
            <w:tcW w:type="dxa" w:w="445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No se requiere imputación</w:t>
            </w:r>
          </w:p>
        </w:tc>
      </w:tr>
      <w:tr>
        <w:tc>
          <w:tcPr>
            <w:tcW w:type="dxa" w:w="2498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Filas duplicadas</w:t>
            </w:r>
          </w:p>
        </w:tc>
        <w:tc>
          <w:tcPr>
            <w:tcW w:type="dxa" w:w="2123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0</w:t>
            </w:r>
          </w:p>
        </w:tc>
        <w:tc>
          <w:tcPr>
            <w:tcW w:type="dxa" w:w="445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No se requiere deduplicación</w:t>
            </w:r>
          </w:p>
        </w:tc>
      </w:tr>
      <w:tr>
        <w:tc>
          <w:tcPr>
            <w:tcW w:type="dxa" w:w="2498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Asimetría del target</w:t>
            </w:r>
          </w:p>
        </w:tc>
        <w:tc>
          <w:tcPr>
            <w:tcW w:type="dxa" w:w="2123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0.441 (aceptable)</w:t>
            </w:r>
          </w:p>
        </w:tc>
        <w:tc>
          <w:tcPr>
            <w:tcW w:type="dxa" w:w="4450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No</w:t>
            </w:r>
            <w:r>
              <w:rPr>
                <w:b w:val="0"/>
                <w:i w:val="0"/>
                <w:sz w:val="19"/>
              </w:rPr>
              <w:t xml:space="preserve"> se aplica transformación logarítmica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b w:val="0"/>
          <w:i w:val="0"/>
        </w:rPr>
        <w:t>La ausencia de nulos se verificó explícitamente (</w:t>
      </w:r>
      <w:r>
        <w:rPr>
          <w:rFonts w:ascii="Consolas" w:hAnsi="Consolas"/>
          <w:b w:val="0"/>
          <w:i w:val="0"/>
          <w:color w:val="A31515"/>
          <w:sz w:val="19"/>
        </w:rPr>
        <w:t>.isna().sum()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.duplicated().sum()</w:t>
      </w:r>
      <w:r>
        <w:rPr>
          <w:b w:val="0"/>
          <w:i w:val="0"/>
        </w:rPr>
        <w:t>) y se documenta para dejar constancia de que la comprobación se realizó.</w:t>
      </w:r>
    </w:p>
    <w:p>
      <w:pPr>
        <w:pStyle w:val="Heading3"/>
        <w:spacing w:before="200" w:after="120"/>
      </w:pPr>
      <w:r>
        <w:rPr>
          <w:color w:val="1F4E79"/>
        </w:rPr>
        <w:t>Recodificación de la variable categórica</w:t>
      </w:r>
    </w:p>
    <w:p>
      <w:pPr>
        <w:jc w:val="both"/>
      </w:pPr>
      <w:r>
        <w:rPr>
          <w:rFonts w:ascii="Consolas" w:hAnsi="Consolas"/>
          <w:b w:val="0"/>
          <w:i w:val="0"/>
          <w:color w:val="A31515"/>
          <w:sz w:val="19"/>
        </w:rPr>
        <w:t>sex</w:t>
      </w:r>
      <w:r>
        <w:rPr>
          <w:b w:val="0"/>
          <w:i w:val="0"/>
        </w:rPr>
        <w:t xml:space="preserve"> es la única variable categórica y viene codificada como 1/2. Se recodificó a </w:t>
      </w:r>
      <w:r>
        <w:rPr>
          <w:b/>
          <w:i w:val="0"/>
        </w:rPr>
        <w:t>0/1</w:t>
      </w:r>
      <w:r>
        <w:rPr>
          <w:b w:val="0"/>
          <w:i w:val="0"/>
        </w:rPr>
        <w:t xml:space="preserve"> para que su coeficiente se interprete como el efecto de una categoría respecto a la otra. No debe leerse como una variable continua.</w:t>
      </w:r>
    </w:p>
    <w:p>
      <w:pPr>
        <w:pStyle w:val="Heading2"/>
        <w:spacing w:before="200" w:after="120"/>
      </w:pPr>
      <w:r>
        <w:rPr>
          <w:color w:val="1F4E79"/>
        </w:rPr>
        <w:t>A.2 Tratamiento de outliers</w:t>
      </w:r>
    </w:p>
    <w:p>
      <w:pPr>
        <w:jc w:val="both"/>
      </w:pPr>
      <w:r>
        <w:rPr>
          <w:b w:val="0"/>
          <w:i w:val="0"/>
        </w:rPr>
        <w:t>Detección por el método del rango intercuartílico (IQR, k = 1.5):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456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Outliers</w:t>
            </w:r>
          </w:p>
        </w:tc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%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s6</w:t>
            </w:r>
          </w:p>
        </w:tc>
        <w:tc>
          <w:tcPr>
            <w:tcW w:type="dxa" w:w="3456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9</w:t>
            </w:r>
          </w:p>
        </w:tc>
        <w:tc>
          <w:tcPr>
            <w:tcW w:type="dxa" w:w="216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2.0 %</w:t>
            </w:r>
          </w:p>
        </w:tc>
      </w:tr>
      <w:tr>
        <w:tc>
          <w:tcPr>
            <w:tcW w:type="dxa" w:w="3456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</w:p>
        </w:tc>
        <w:tc>
          <w:tcPr>
            <w:tcW w:type="dxa" w:w="3456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216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1.8 %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s2</w:t>
            </w:r>
          </w:p>
        </w:tc>
        <w:tc>
          <w:tcPr>
            <w:tcW w:type="dxa" w:w="3456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216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1.6 %</w:t>
            </w:r>
          </w:p>
        </w:tc>
      </w:tr>
      <w:tr>
        <w:tc>
          <w:tcPr>
            <w:tcW w:type="dxa" w:w="3456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s3</w:t>
            </w:r>
          </w:p>
        </w:tc>
        <w:tc>
          <w:tcPr>
            <w:tcW w:type="dxa" w:w="3456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7</w:t>
            </w:r>
          </w:p>
        </w:tc>
        <w:tc>
          <w:tcPr>
            <w:tcW w:type="dxa" w:w="216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1.6 %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s5</w:t>
            </w:r>
          </w:p>
        </w:tc>
        <w:tc>
          <w:tcPr>
            <w:tcW w:type="dxa" w:w="3456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216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0.9 %</w:t>
            </w:r>
          </w:p>
        </w:tc>
      </w:tr>
      <w:tr>
        <w:tc>
          <w:tcPr>
            <w:tcW w:type="dxa" w:w="3456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bmi</w:t>
            </w:r>
          </w:p>
        </w:tc>
        <w:tc>
          <w:tcPr>
            <w:tcW w:type="dxa" w:w="3456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216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0.7 %</w:t>
            </w:r>
          </w:p>
        </w:tc>
      </w:tr>
      <w:tr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s4</w:t>
            </w:r>
          </w:p>
        </w:tc>
        <w:tc>
          <w:tcPr>
            <w:tcW w:type="dxa" w:w="3456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2</w:t>
            </w:r>
          </w:p>
        </w:tc>
        <w:tc>
          <w:tcPr>
            <w:tcW w:type="dxa" w:w="216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0.5 %</w:t>
            </w:r>
          </w:p>
        </w:tc>
      </w:tr>
      <w:tr>
        <w:tc>
          <w:tcPr>
            <w:tcW w:type="dxa" w:w="3456"/>
            <w:shd w:val="clear" w:color="auto" w:fill="F7F9FC"/>
          </w:tcPr>
          <w:p>
            <w:pPr>
              <w:spacing w:before="20" w:after="20"/>
            </w:pPr>
            <w:r>
              <w:rPr>
                <w:b/>
                <w:i w:val="0"/>
                <w:sz w:val="19"/>
              </w:rPr>
              <w:t>target</w:t>
            </w:r>
          </w:p>
        </w:tc>
        <w:tc>
          <w:tcPr>
            <w:tcW w:type="dxa" w:w="3456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0</w:t>
            </w:r>
          </w:p>
        </w:tc>
        <w:tc>
          <w:tcPr>
            <w:tcW w:type="dxa" w:w="216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—</w:t>
            </w:r>
          </w:p>
        </w:tc>
      </w:tr>
    </w:tbl>
    <w:p>
      <w:pPr>
        <w:spacing w:after="12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box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C"/>
          <w:sz w:val="18"/>
        </w:rPr>
        <w:t>Figura. Diagramas de caja por variable (método IQR)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targe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C"/>
          <w:sz w:val="18"/>
        </w:rPr>
        <w:t>Figura. Distribución y gráfico Q-Q de la variable objetivo</w:t>
      </w:r>
    </w:p>
    <w:p>
      <w:pPr>
        <w:pStyle w:val="Heading3"/>
        <w:spacing w:before="200" w:after="120"/>
      </w:pPr>
      <w:r>
        <w:rPr>
          <w:color w:val="1F4E79"/>
        </w:rPr>
        <w:t>Decisión: se conservan. Justificación cuantitativa</w:t>
      </w:r>
    </w:p>
    <w:p>
      <w:pPr>
        <w:jc w:val="both"/>
      </w:pPr>
      <w:r>
        <w:rPr>
          <w:b w:val="0"/>
          <w:i w:val="0"/>
        </w:rPr>
        <w:t xml:space="preserve">Los valores atípicos son </w:t>
      </w:r>
      <w:r>
        <w:rPr>
          <w:b/>
          <w:i w:val="0"/>
        </w:rPr>
        <w:t>clínicamente plausibles</w:t>
      </w:r>
      <w:r>
        <w:rPr>
          <w:b w:val="0"/>
          <w:i w:val="0"/>
        </w:rPr>
        <w:t xml:space="preserve"> — un colesterol total de 301 mg/dL es alto, pero perfectamente real en una población diabética — y con solo 442 muestras cada observación es valiosa. La variable objetivo no presenta outliers.</w:t>
      </w:r>
    </w:p>
    <w:p>
      <w:pPr>
        <w:jc w:val="both"/>
      </w:pPr>
      <w:r>
        <w:rPr>
          <w:b w:val="0"/>
          <w:i w:val="0"/>
        </w:rPr>
        <w:t xml:space="preserve">Para no dejar la decisión en lo cualitativo, se entrenó un modelo de control con los datos </w:t>
      </w:r>
      <w:r>
        <w:rPr>
          <w:b/>
          <w:i w:val="0"/>
        </w:rPr>
        <w:t>winsorizados a los percentiles 1–99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5602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Tratamiento</w:t>
            </w:r>
          </w:p>
        </w:tc>
        <w:tc>
          <w:tcPr>
            <w:tcW w:type="dxa" w:w="3469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R² prueba</w:t>
            </w:r>
          </w:p>
        </w:tc>
      </w:tr>
      <w:tr>
        <w:tc>
          <w:tcPr>
            <w:tcW w:type="dxa" w:w="5602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Sin tratar outliers</w:t>
            </w:r>
          </w:p>
        </w:tc>
        <w:tc>
          <w:tcPr>
            <w:tcW w:type="dxa" w:w="346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0.4849</w:t>
            </w:r>
          </w:p>
        </w:tc>
      </w:tr>
      <w:tr>
        <w:tc>
          <w:tcPr>
            <w:tcW w:type="dxa" w:w="5602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Winsorizado 1 % – 99 %</w:t>
            </w:r>
          </w:p>
        </w:tc>
        <w:tc>
          <w:tcPr>
            <w:tcW w:type="dxa" w:w="346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0.4865</w:t>
            </w:r>
          </w:p>
        </w:tc>
      </w:tr>
      <w:tr>
        <w:tc>
          <w:tcPr>
            <w:tcW w:type="dxa" w:w="5602"/>
          </w:tcPr>
          <w:p>
            <w:pPr>
              <w:spacing w:before="20" w:after="20"/>
            </w:pPr>
            <w:r>
              <w:rPr>
                <w:b/>
                <w:i w:val="0"/>
                <w:sz w:val="19"/>
              </w:rPr>
              <w:t>Diferencia</w:t>
            </w:r>
          </w:p>
        </w:tc>
        <w:tc>
          <w:tcPr>
            <w:tcW w:type="dxa" w:w="3469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+0.0016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b w:val="0"/>
          <w:i w:val="0"/>
        </w:rPr>
        <w:t xml:space="preserve">La mejora es despreciable frente a la desviación de la validación cruzada (±0.085). </w:t>
      </w:r>
      <w:r>
        <w:rPr>
          <w:b/>
          <w:i w:val="0"/>
        </w:rPr>
        <w:t>Se confirma la decisión de conservarlos.</w:t>
      </w:r>
    </w:p>
    <w:p>
      <w:pPr>
        <w:pStyle w:val="Heading2"/>
        <w:spacing w:before="200" w:after="120"/>
      </w:pPr>
      <w:r>
        <w:rPr>
          <w:color w:val="1F4E79"/>
        </w:rPr>
        <w:t>A.3 Análisis de multicolinealidad</w:t>
      </w:r>
    </w:p>
    <w:p>
      <w:pPr>
        <w:pStyle w:val="Heading3"/>
        <w:spacing w:before="200" w:after="120"/>
      </w:pPr>
      <w:r>
        <w:rPr>
          <w:color w:val="1F4E79"/>
        </w:rPr>
        <w:t>Matriz de correlación de Pearson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435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orrel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43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C"/>
          <w:sz w:val="18"/>
        </w:rPr>
        <w:t>Figura. Matriz de correlación de Pearson</w:t>
      </w:r>
    </w:p>
    <w:p>
      <w:pPr>
        <w:jc w:val="both"/>
      </w:pPr>
      <w:r>
        <w:rPr>
          <w:b w:val="0"/>
          <w:i w:val="0"/>
        </w:rPr>
        <w:t>Pares con |r| &gt; 0.5: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71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Par</w:t>
            </w:r>
          </w:p>
        </w:tc>
        <w:tc>
          <w:tcPr>
            <w:tcW w:type="dxa" w:w="4500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r</w:t>
            </w:r>
          </w:p>
        </w:tc>
      </w:tr>
      <w:tr>
        <w:tc>
          <w:tcPr>
            <w:tcW w:type="dxa" w:w="4571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  <w:r>
              <w:rPr>
                <w:b w:val="0"/>
                <w:i w:val="0"/>
                <w:sz w:val="19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s2</w:t>
            </w:r>
          </w:p>
        </w:tc>
        <w:tc>
          <w:tcPr>
            <w:tcW w:type="dxa" w:w="4500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+0.897</w:t>
            </w:r>
          </w:p>
        </w:tc>
      </w:tr>
      <w:tr>
        <w:tc>
          <w:tcPr>
            <w:tcW w:type="dxa" w:w="4571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s3</w:t>
            </w:r>
            <w:r>
              <w:rPr>
                <w:b w:val="0"/>
                <w:i w:val="0"/>
                <w:sz w:val="19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s4</w:t>
            </w:r>
          </w:p>
        </w:tc>
        <w:tc>
          <w:tcPr>
            <w:tcW w:type="dxa" w:w="450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−0.738</w:t>
            </w:r>
          </w:p>
        </w:tc>
      </w:tr>
      <w:tr>
        <w:tc>
          <w:tcPr>
            <w:tcW w:type="dxa" w:w="4571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s2</w:t>
            </w:r>
            <w:r>
              <w:rPr>
                <w:b w:val="0"/>
                <w:i w:val="0"/>
                <w:sz w:val="19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s4</w:t>
            </w:r>
          </w:p>
        </w:tc>
        <w:tc>
          <w:tcPr>
            <w:tcW w:type="dxa" w:w="450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+0.660</w:t>
            </w:r>
          </w:p>
        </w:tc>
      </w:tr>
      <w:tr>
        <w:tc>
          <w:tcPr>
            <w:tcW w:type="dxa" w:w="4571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s4</w:t>
            </w:r>
            <w:r>
              <w:rPr>
                <w:b w:val="0"/>
                <w:i w:val="0"/>
                <w:sz w:val="19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s5</w:t>
            </w:r>
          </w:p>
        </w:tc>
        <w:tc>
          <w:tcPr>
            <w:tcW w:type="dxa" w:w="450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+0.618</w:t>
            </w:r>
          </w:p>
        </w:tc>
      </w:tr>
      <w:tr>
        <w:tc>
          <w:tcPr>
            <w:tcW w:type="dxa" w:w="4571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  <w:r>
              <w:rPr>
                <w:b w:val="0"/>
                <w:i w:val="0"/>
                <w:sz w:val="19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s4</w:t>
            </w:r>
          </w:p>
        </w:tc>
        <w:tc>
          <w:tcPr>
            <w:tcW w:type="dxa" w:w="450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+0.542</w:t>
            </w:r>
          </w:p>
        </w:tc>
      </w:tr>
      <w:tr>
        <w:tc>
          <w:tcPr>
            <w:tcW w:type="dxa" w:w="4571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  <w:r>
              <w:rPr>
                <w:b w:val="0"/>
                <w:i w:val="0"/>
                <w:sz w:val="19"/>
              </w:rPr>
              <w:t xml:space="preserve"> –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s5</w:t>
            </w:r>
          </w:p>
        </w:tc>
        <w:tc>
          <w:tcPr>
            <w:tcW w:type="dxa" w:w="450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+0.516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rPr>
          <w:color w:val="1F4E79"/>
        </w:rPr>
        <w:t>Factor de Inflación de la Varianza (VIF)</w:t>
      </w:r>
    </w:p>
    <w:p>
      <w:pPr>
        <w:jc w:val="both"/>
      </w:pPr>
      <w:r>
        <w:rPr>
          <w:b w:val="0"/>
          <w:i w:val="0"/>
        </w:rPr>
        <w:t>Calculado como VIF</w:t>
      </w:r>
      <w:r>
        <w:rPr>
          <w:b w:val="0"/>
          <w:i/>
        </w:rPr>
        <w:t>ⱼ</w:t>
      </w:r>
      <w:r>
        <w:rPr>
          <w:b w:val="0"/>
          <w:i w:val="0"/>
        </w:rPr>
        <w:t xml:space="preserve"> = 1 / (1 − R²</w:t>
      </w:r>
      <w:r>
        <w:rPr>
          <w:b w:val="0"/>
          <w:i/>
        </w:rPr>
        <w:t>ⱼ</w:t>
      </w:r>
      <w:r>
        <w:rPr>
          <w:b w:val="0"/>
          <w:i w:val="0"/>
        </w:rPr>
        <w:t>), donde R²</w:t>
      </w:r>
      <w:r>
        <w:rPr>
          <w:b w:val="0"/>
          <w:i/>
        </w:rPr>
        <w:t>ⱼ</w:t>
      </w:r>
      <w:r>
        <w:rPr>
          <w:b w:val="0"/>
          <w:i w:val="0"/>
        </w:rPr>
        <w:t xml:space="preserve"> es el ajuste de la variable </w:t>
      </w:r>
      <w:r>
        <w:rPr>
          <w:b w:val="0"/>
          <w:i/>
        </w:rPr>
        <w:t>j</w:t>
      </w:r>
      <w:r>
        <w:rPr>
          <w:b w:val="0"/>
          <w:i w:val="0"/>
        </w:rPr>
        <w:t xml:space="preserve"> regresada contra todas las demás.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vi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C"/>
          <w:sz w:val="18"/>
        </w:rPr>
        <w:t>Figura. Factor de Inflación de la Varianza (VIF)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1890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VIF</w:t>
            </w:r>
          </w:p>
        </w:tc>
        <w:tc>
          <w:tcPr>
            <w:tcW w:type="dxa" w:w="4157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Diagnóstico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</w:p>
        </w:tc>
        <w:tc>
          <w:tcPr>
            <w:tcW w:type="dxa" w:w="1890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59.20</w:t>
            </w:r>
          </w:p>
        </w:tc>
        <w:tc>
          <w:tcPr>
            <w:tcW w:type="dxa" w:w="4157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Severa</w:t>
            </w:r>
          </w:p>
        </w:tc>
      </w:tr>
      <w:tr>
        <w:tc>
          <w:tcPr>
            <w:tcW w:type="dxa" w:w="3024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s2</w:t>
            </w:r>
          </w:p>
        </w:tc>
        <w:tc>
          <w:tcPr>
            <w:tcW w:type="dxa" w:w="18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39.19</w:t>
            </w:r>
          </w:p>
        </w:tc>
        <w:tc>
          <w:tcPr>
            <w:tcW w:type="dxa" w:w="4157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Severa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s3</w:t>
            </w:r>
          </w:p>
        </w:tc>
        <w:tc>
          <w:tcPr>
            <w:tcW w:type="dxa" w:w="1890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15.40</w:t>
            </w:r>
          </w:p>
        </w:tc>
        <w:tc>
          <w:tcPr>
            <w:tcW w:type="dxa" w:w="4157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Severa</w:t>
            </w:r>
          </w:p>
        </w:tc>
      </w:tr>
      <w:tr>
        <w:tc>
          <w:tcPr>
            <w:tcW w:type="dxa" w:w="3024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s5</w:t>
            </w:r>
          </w:p>
        </w:tc>
        <w:tc>
          <w:tcPr>
            <w:tcW w:type="dxa" w:w="18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10.08</w:t>
            </w:r>
          </w:p>
        </w:tc>
        <w:tc>
          <w:tcPr>
            <w:tcW w:type="dxa" w:w="4157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Severa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s4</w:t>
            </w:r>
          </w:p>
        </w:tc>
        <w:tc>
          <w:tcPr>
            <w:tcW w:type="dxa" w:w="189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8.89</w:t>
            </w:r>
          </w:p>
        </w:tc>
        <w:tc>
          <w:tcPr>
            <w:tcW w:type="dxa" w:w="4157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Moderada</w:t>
            </w:r>
          </w:p>
        </w:tc>
      </w:tr>
      <w:tr>
        <w:tc>
          <w:tcPr>
            <w:tcW w:type="dxa" w:w="3024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bmi</w:t>
            </w:r>
          </w:p>
        </w:tc>
        <w:tc>
          <w:tcPr>
            <w:tcW w:type="dxa" w:w="18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1.51</w:t>
            </w:r>
          </w:p>
        </w:tc>
        <w:tc>
          <w:tcPr>
            <w:tcW w:type="dxa" w:w="4157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Aceptable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s6</w:t>
            </w:r>
          </w:p>
        </w:tc>
        <w:tc>
          <w:tcPr>
            <w:tcW w:type="dxa" w:w="189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1.48</w:t>
            </w:r>
          </w:p>
        </w:tc>
        <w:tc>
          <w:tcPr>
            <w:tcW w:type="dxa" w:w="4157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Aceptable</w:t>
            </w:r>
          </w:p>
        </w:tc>
      </w:tr>
      <w:tr>
        <w:tc>
          <w:tcPr>
            <w:tcW w:type="dxa" w:w="3024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bp</w:t>
            </w:r>
          </w:p>
        </w:tc>
        <w:tc>
          <w:tcPr>
            <w:tcW w:type="dxa" w:w="18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1.46</w:t>
            </w:r>
          </w:p>
        </w:tc>
        <w:tc>
          <w:tcPr>
            <w:tcW w:type="dxa" w:w="4157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Aceptable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sex</w:t>
            </w:r>
          </w:p>
        </w:tc>
        <w:tc>
          <w:tcPr>
            <w:tcW w:type="dxa" w:w="1890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1.28</w:t>
            </w:r>
          </w:p>
        </w:tc>
        <w:tc>
          <w:tcPr>
            <w:tcW w:type="dxa" w:w="4157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Aceptable</w:t>
            </w:r>
          </w:p>
        </w:tc>
      </w:tr>
      <w:tr>
        <w:tc>
          <w:tcPr>
            <w:tcW w:type="dxa" w:w="3024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age</w:t>
            </w:r>
          </w:p>
        </w:tc>
        <w:tc>
          <w:tcPr>
            <w:tcW w:type="dxa" w:w="1890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1.22</w:t>
            </w:r>
          </w:p>
        </w:tc>
        <w:tc>
          <w:tcPr>
            <w:tcW w:type="dxa" w:w="4157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Aceptable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rPr>
          <w:color w:val="1F4E79"/>
        </w:rPr>
        <w:t>Interpretación: la multicolinealidad es estructural, no casual</w:t>
      </w:r>
    </w:p>
    <w:p>
      <w:pPr>
        <w:jc w:val="both"/>
      </w:pPr>
      <w:r>
        <w:rPr>
          <w:b w:val="0"/>
          <w:i w:val="0"/>
        </w:rPr>
        <w:t xml:space="preserve">No se trata de una correlación fortuita, sino de una </w:t>
      </w:r>
      <w:r>
        <w:rPr>
          <w:b/>
          <w:i w:val="0"/>
        </w:rPr>
        <w:t>dependencia por definición</w:t>
      </w:r>
      <w:r>
        <w:rPr>
          <w:b w:val="0"/>
          <w:i w:val="0"/>
        </w:rPr>
        <w:t>:</w:t>
      </w:r>
    </w:p>
    <w:p>
      <w:pPr>
        <w:pStyle w:val="ListBullet"/>
        <w:spacing w:after="60"/>
        <w:ind w:left="425"/>
      </w:pPr>
      <w:r>
        <w:rPr>
          <w:rFonts w:ascii="Consolas" w:hAnsi="Consolas"/>
          <w:b w:val="0"/>
          <w:i w:val="0"/>
          <w:color w:val="A31515"/>
          <w:sz w:val="19"/>
        </w:rPr>
        <w:t>s4</w:t>
      </w:r>
      <w:r>
        <w:rPr>
          <w:b w:val="0"/>
          <w:i w:val="0"/>
        </w:rPr>
        <w:t xml:space="preserve"> = colesterol total / HDL = </w:t>
      </w:r>
      <w:r>
        <w:rPr>
          <w:rFonts w:ascii="Consolas" w:hAnsi="Consolas"/>
          <w:b/>
          <w:i w:val="0"/>
          <w:color w:val="A31515"/>
          <w:sz w:val="19"/>
        </w:rPr>
        <w:t>s1</w:t>
      </w:r>
      <w:r>
        <w:rPr>
          <w:b/>
          <w:i w:val="0"/>
        </w:rPr>
        <w:t xml:space="preserve"> / </w:t>
      </w:r>
      <w:r>
        <w:rPr>
          <w:rFonts w:ascii="Consolas" w:hAnsi="Consolas"/>
          <w:b/>
          <w:i w:val="0"/>
          <w:color w:val="A31515"/>
          <w:sz w:val="19"/>
        </w:rPr>
        <w:t>s3</w:t>
      </w:r>
      <w:r>
        <w:rPr>
          <w:b w:val="0"/>
          <w:i w:val="0"/>
        </w:rPr>
        <w:t>. Es literalmente un cociente de otras</w:t>
      </w:r>
    </w:p>
    <w:p>
      <w:pPr>
        <w:jc w:val="both"/>
      </w:pPr>
      <w:r>
        <w:rPr>
          <w:b w:val="0"/>
          <w:i w:val="0"/>
        </w:rPr>
        <w:t>dos variables del conjunto.</w:t>
      </w:r>
    </w:p>
    <w:p>
      <w:pPr>
        <w:pStyle w:val="ListBullet"/>
        <w:spacing w:after="60"/>
        <w:ind w:left="425"/>
      </w:pPr>
      <w:r>
        <w:rPr>
          <w:rFonts w:ascii="Consolas" w:hAnsi="Consolas"/>
          <w:b w:val="0"/>
          <w:i w:val="0"/>
          <w:color w:val="A31515"/>
          <w:sz w:val="19"/>
        </w:rPr>
        <w:t>s2</w:t>
      </w:r>
      <w:r>
        <w:rPr>
          <w:b w:val="0"/>
          <w:i w:val="0"/>
        </w:rPr>
        <w:t xml:space="preserve"> (LDL) es un </w:t>
      </w:r>
      <w:r>
        <w:rPr>
          <w:b/>
          <w:i w:val="0"/>
        </w:rPr>
        <w:t>componente</w:t>
      </w:r>
      <w:r>
        <w:rPr>
          <w:b w:val="0"/>
          <w:i w:val="0"/>
        </w:rPr>
        <w:t xml:space="preserve"> de </w:t>
      </w:r>
      <w:r>
        <w:rPr>
          <w:rFonts w:ascii="Consolas" w:hAnsi="Consolas"/>
          <w:b w:val="0"/>
          <w:i w:val="0"/>
          <w:color w:val="A31515"/>
          <w:sz w:val="19"/>
        </w:rPr>
        <w:t>s1</w:t>
      </w:r>
      <w:r>
        <w:rPr>
          <w:b w:val="0"/>
          <w:i w:val="0"/>
        </w:rPr>
        <w:t xml:space="preserve"> (colesterol total), que agrupa LDL + HDL +</w:t>
      </w:r>
    </w:p>
    <w:p>
      <w:pPr>
        <w:jc w:val="both"/>
      </w:pPr>
      <w:r>
        <w:rPr>
          <w:b w:val="0"/>
          <w:i w:val="0"/>
        </w:rPr>
        <w:t>otras fracciones.</w:t>
      </w:r>
    </w:p>
    <w:p>
      <w:pPr>
        <w:jc w:val="both"/>
      </w:pPr>
      <w:r>
        <w:rPr>
          <w:b w:val="0"/>
          <w:i w:val="0"/>
        </w:rPr>
        <w:t>Las cinco variables lipídicas (</w:t>
      </w:r>
      <w:r>
        <w:rPr>
          <w:rFonts w:ascii="Consolas" w:hAnsi="Consolas"/>
          <w:b w:val="0"/>
          <w:i w:val="0"/>
          <w:color w:val="A31515"/>
          <w:sz w:val="19"/>
        </w:rPr>
        <w:t>s1</w:t>
      </w:r>
      <w:r>
        <w:rPr>
          <w:b w:val="0"/>
          <w:i w:val="0"/>
        </w:rPr>
        <w:t>–</w:t>
      </w:r>
      <w:r>
        <w:rPr>
          <w:rFonts w:ascii="Consolas" w:hAnsi="Consolas"/>
          <w:b w:val="0"/>
          <w:i w:val="0"/>
          <w:color w:val="A31515"/>
          <w:sz w:val="19"/>
        </w:rPr>
        <w:t>s5</w:t>
      </w:r>
      <w:r>
        <w:rPr>
          <w:b w:val="0"/>
          <w:i w:val="0"/>
        </w:rPr>
        <w:t xml:space="preserve">) describen el mismo perfil desde ángulos solapados. </w:t>
      </w:r>
      <w:r>
        <w:rPr>
          <w:b/>
          <w:i w:val="0"/>
        </w:rPr>
        <w:t>Consecuencia práctica:</w:t>
      </w:r>
      <w:r>
        <w:rPr>
          <w:b w:val="0"/>
          <w:i w:val="0"/>
        </w:rPr>
        <w:t xml:space="preserve"> sus coeficientes individuales no son interpretables por separado, porque el modelo no puede atribuir el efecto a una u otra. Esto se confirma numéricamente en la sección B.2 de este informe.</w:t>
      </w:r>
    </w:p>
    <w:p>
      <w:pPr>
        <w:jc w:val="both"/>
      </w:pPr>
      <w:r>
        <w:rPr>
          <w:b w:val="0"/>
          <w:i w:val="0"/>
        </w:rPr>
        <w:t>Las variables clínicamente independientes (</w:t>
      </w:r>
      <w:r>
        <w:rPr>
          <w:rFonts w:ascii="Consolas" w:hAnsi="Consolas"/>
          <w:b w:val="0"/>
          <w:i w:val="0"/>
          <w:color w:val="A31515"/>
          <w:sz w:val="19"/>
        </w:rPr>
        <w:t>age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sex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bmi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bp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s6</w:t>
      </w:r>
      <w:r>
        <w:rPr>
          <w:b w:val="0"/>
          <w:i w:val="0"/>
        </w:rPr>
        <w:t>) tienen VIF por debajo de 1.6, es decir, sin problema alguno.</w:t>
      </w:r>
    </w:p>
    <w:p>
      <w:pPr>
        <w:pStyle w:val="Heading2"/>
        <w:spacing w:before="200" w:after="120"/>
      </w:pPr>
      <w:r>
        <w:rPr>
          <w:color w:val="1F4E79"/>
        </w:rPr>
        <w:t>A.4 Estandarización</w:t>
      </w:r>
    </w:p>
    <w:p>
      <w:pPr>
        <w:jc w:val="both"/>
      </w:pPr>
      <w:r>
        <w:rPr>
          <w:b w:val="0"/>
          <w:i w:val="0"/>
        </w:rPr>
        <w:t xml:space="preserve">Se aplicó </w:t>
      </w:r>
      <w:r>
        <w:rPr>
          <w:rFonts w:ascii="Consolas" w:hAnsi="Consolas"/>
          <w:b w:val="0"/>
          <w:i w:val="0"/>
          <w:color w:val="A31515"/>
          <w:sz w:val="19"/>
        </w:rPr>
        <w:t>StandardScaler</w:t>
      </w:r>
      <w:r>
        <w:rPr>
          <w:b w:val="0"/>
          <w:i w:val="0"/>
        </w:rPr>
        <w:t xml:space="preserve"> (media 0, desviación 1) </w:t>
      </w:r>
      <w:r>
        <w:rPr>
          <w:b/>
          <w:i w:val="0"/>
        </w:rPr>
        <w:t xml:space="preserve">dentro de un </w:t>
      </w:r>
      <w:r>
        <w:rPr>
          <w:rFonts w:ascii="Consolas" w:hAnsi="Consolas"/>
          <w:b/>
          <w:i w:val="0"/>
          <w:color w:val="A31515"/>
          <w:sz w:val="19"/>
        </w:rPr>
        <w:t>Pipeline</w:t>
      </w:r>
      <w:r>
        <w:rPr>
          <w:b/>
          <w:i w:val="0"/>
        </w:rPr>
        <w:t xml:space="preserve"> de scikit-learn</w:t>
      </w:r>
      <w:r>
        <w:rPr>
          <w:b w:val="0"/>
          <w:i w:val="0"/>
        </w:rPr>
        <w:t>:</w:t>
      </w:r>
    </w:p>
    <w:p>
      <w:pPr>
        <w:spacing w:before="120" w:after="120" w:line="240" w:lineRule="auto"/>
        <w:ind w:left="283"/>
        <w:shd w:val="clear" w:color="auto" w:fill="F2F2F2"/>
      </w:pPr>
      <w:r>
        <w:rPr>
          <w:rFonts w:ascii="Consolas" w:hAnsi="Consolas"/>
          <w:sz w:val="18"/>
        </w:rPr>
        <w:t>Pipeline([("sc", StandardScaler()), ("lr", LinearRegression())])</w:t>
      </w:r>
    </w:p>
    <w:p>
      <w:pPr>
        <w:jc w:val="both"/>
      </w:pPr>
      <w:r>
        <w:rPr>
          <w:b w:val="0"/>
          <w:i w:val="0"/>
        </w:rPr>
        <w:t xml:space="preserve">Esto es esencial y no meramente cosmético: al estar dentro del </w:t>
      </w:r>
      <w:r>
        <w:rPr>
          <w:rFonts w:ascii="Consolas" w:hAnsi="Consolas"/>
          <w:b w:val="0"/>
          <w:i w:val="0"/>
          <w:color w:val="A31515"/>
          <w:sz w:val="19"/>
        </w:rPr>
        <w:t>Pipeline</w:t>
      </w:r>
      <w:r>
        <w:rPr>
          <w:b w:val="0"/>
          <w:i w:val="0"/>
        </w:rPr>
        <w:t xml:space="preserve">, la media y la desviación se recalculan </w:t>
      </w:r>
      <w:r>
        <w:rPr>
          <w:b/>
          <w:i w:val="0"/>
        </w:rPr>
        <w:t>con los datos de entrenamiento de cada partición</w:t>
      </w:r>
      <w:r>
        <w:rPr>
          <w:b w:val="0"/>
          <w:i w:val="0"/>
        </w:rPr>
        <w:t xml:space="preserve"> en la validación cruzada. Si se estandarizara todo el conjunto antes de partirlo, la información del set de prueba se filtraría al entrenamiento (</w:t>
      </w:r>
      <w:r>
        <w:rPr>
          <w:b w:val="0"/>
          <w:i/>
        </w:rPr>
        <w:t>data leakage</w:t>
      </w:r>
      <w:r>
        <w:rPr>
          <w:b w:val="0"/>
          <w:i w:val="0"/>
        </w:rPr>
        <w:t>) y las métricas quedarían infladas.</w:t>
      </w:r>
    </w:p>
    <w:p>
      <w:pPr>
        <w:jc w:val="both"/>
      </w:pPr>
      <w:r>
        <w:rPr>
          <w:b w:val="0"/>
          <w:i w:val="0"/>
        </w:rPr>
        <w:t xml:space="preserve">Se eligió </w:t>
      </w:r>
      <w:r>
        <w:rPr>
          <w:rFonts w:ascii="Consolas" w:hAnsi="Consolas"/>
          <w:b w:val="0"/>
          <w:i w:val="0"/>
          <w:color w:val="A31515"/>
          <w:sz w:val="19"/>
        </w:rPr>
        <w:t>StandardScaler</w:t>
      </w:r>
      <w:r>
        <w:rPr>
          <w:b w:val="0"/>
          <w:i w:val="0"/>
        </w:rPr>
        <w:t xml:space="preserve"> sobre </w:t>
      </w:r>
      <w:r>
        <w:rPr>
          <w:rFonts w:ascii="Consolas" w:hAnsi="Consolas"/>
          <w:b w:val="0"/>
          <w:i w:val="0"/>
          <w:color w:val="A31515"/>
          <w:sz w:val="19"/>
        </w:rPr>
        <w:t>MinMaxScaler</w:t>
      </w:r>
      <w:r>
        <w:rPr>
          <w:b w:val="0"/>
          <w:i w:val="0"/>
        </w:rPr>
        <w:t xml:space="preserve"> porque la regresión con regularización (Ridge/Lasso) penaliza la magnitud de los coeficientes, y esa penalización solo es equitativa si todas las variables comparten escala de varianza.</w:t>
      </w:r>
    </w:p>
    <w:p>
      <w:pPr>
        <w:pStyle w:val="Heading2"/>
        <w:spacing w:before="200" w:after="120"/>
      </w:pPr>
      <w:r>
        <w:rPr>
          <w:color w:val="1F4E79"/>
        </w:rPr>
        <w:t>A.5 Partición de datos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804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</w:p>
        </w:tc>
        <w:tc>
          <w:tcPr>
            <w:tcW w:type="dxa" w:w="2341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Muestras</w:t>
            </w:r>
          </w:p>
        </w:tc>
        <w:tc>
          <w:tcPr>
            <w:tcW w:type="dxa" w:w="2926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Proporción</w:t>
            </w:r>
          </w:p>
        </w:tc>
      </w:tr>
      <w:tr>
        <w:tc>
          <w:tcPr>
            <w:tcW w:type="dxa" w:w="3804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Entrenamiento</w:t>
            </w:r>
          </w:p>
        </w:tc>
        <w:tc>
          <w:tcPr>
            <w:tcW w:type="dxa" w:w="234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331</w:t>
            </w:r>
          </w:p>
        </w:tc>
        <w:tc>
          <w:tcPr>
            <w:tcW w:type="dxa" w:w="2926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75 %</w:t>
            </w:r>
          </w:p>
        </w:tc>
      </w:tr>
      <w:tr>
        <w:tc>
          <w:tcPr>
            <w:tcW w:type="dxa" w:w="3804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Prueba</w:t>
            </w:r>
          </w:p>
        </w:tc>
        <w:tc>
          <w:tcPr>
            <w:tcW w:type="dxa" w:w="234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111</w:t>
            </w:r>
          </w:p>
        </w:tc>
        <w:tc>
          <w:tcPr>
            <w:tcW w:type="dxa" w:w="2926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25 %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rFonts w:ascii="Consolas" w:hAnsi="Consolas"/>
          <w:b w:val="0"/>
          <w:i w:val="0"/>
          <w:color w:val="A31515"/>
          <w:sz w:val="19"/>
        </w:rPr>
        <w:t>train_test_split(X, y, test_size=0.25, random_state=42)</w:t>
      </w:r>
      <w:r>
        <w:rPr>
          <w:b w:val="0"/>
          <w:i w:val="0"/>
        </w:rPr>
        <w:t>.</w:t>
      </w:r>
    </w:p>
    <w:p>
      <w:pPr>
        <w:spacing w:before="160" w:after="160"/>
        <w:ind w:left="340" w:right="170"/>
        <w:pBdr>
          <w:left w:val="single" w:sz="18" w:space="4" w:color="FFB454"/>
        </w:pBdr>
        <w:shd w:val="clear" w:color="auto" w:fill="FFF7E6"/>
      </w:pPr>
      <w:r>
        <w:rPr>
          <w:b/>
          <w:i w:val="0"/>
        </w:rPr>
        <w:t>Advertencia metodológica.</w:t>
      </w:r>
      <w:r>
        <w:rPr>
          <w:b w:val="0"/>
          <w:i w:val="0"/>
        </w:rPr>
        <w:t xml:space="preserve"> Con solo 111 muestras de prueba, el R² de test es una medida ruidosa: reordenar la partición puede moverlo varias centésimas. Por eso </w:t>
      </w:r>
      <w:r>
        <w:rPr>
          <w:b/>
          <w:i w:val="0"/>
        </w:rPr>
        <w:t>todas las comparaciones se hacen sobre la validación cruzada 5-fold</w:t>
      </w:r>
      <w:r>
        <w:rPr>
          <w:b w:val="0"/>
          <w:i w:val="0"/>
        </w:rPr>
        <w:t xml:space="preserve"> del set de entrenamiento, reportando además su desviación estándar. El R² de prueba se incluye únicamente como comprobación final independiente.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1F4E79"/>
        </w:pBdr>
      </w:pPr>
      <w:r>
        <w:rPr>
          <w:color w:val="1F4E79"/>
        </w:rPr>
        <w:t>FASE B — Regresión Lineal Múltiple</w:t>
      </w:r>
    </w:p>
    <w:p>
      <w:pPr>
        <w:pStyle w:val="Heading2"/>
        <w:spacing w:before="200" w:after="120"/>
      </w:pPr>
      <w:r>
        <w:rPr>
          <w:color w:val="1F4E79"/>
        </w:rPr>
        <w:t>B.1 Formulación del modelo</w:t>
      </w:r>
    </w:p>
    <w:p>
      <w:pPr>
        <w:jc w:val="both"/>
      </w:pPr>
      <w:r>
        <w:rPr>
          <w:b w:val="0"/>
          <w:i w:val="0"/>
        </w:rPr>
        <w:t xml:space="preserve">La regresión lineal múltiple modela la variable objetivo como combinación lineal de los </w:t>
      </w:r>
      <w:r>
        <w:rPr>
          <w:b w:val="0"/>
          <w:i/>
        </w:rPr>
        <w:t>p</w:t>
      </w:r>
      <w:r>
        <w:rPr>
          <w:b w:val="0"/>
          <w:i w:val="0"/>
        </w:rPr>
        <w:t xml:space="preserve"> predictores:</w:t>
      </w:r>
    </w:p>
    <w:p>
      <w:pPr>
        <w:spacing w:before="120" w:after="120" w:line="240" w:lineRule="auto"/>
        <w:ind w:left="283"/>
        <w:shd w:val="clear" w:color="auto" w:fill="F2F2F2"/>
      </w:pPr>
      <w:r>
        <w:rPr>
          <w:rFonts w:ascii="Consolas" w:hAnsi="Consolas"/>
          <w:sz w:val="18"/>
        </w:rPr>
        <w:t>ŷ = β₀ + β₁z₁ + β₂z₂ + … + β₁₀z₁₀        con  zᵢ = (xᵢ − μᵢ) / σᵢ</w:t>
      </w:r>
    </w:p>
    <w:p>
      <w:pPr>
        <w:jc w:val="both"/>
      </w:pPr>
      <w:r>
        <w:rPr>
          <w:b w:val="0"/>
          <w:i w:val="0"/>
        </w:rPr>
        <w:t xml:space="preserve">Los coeficientes se estiman por </w:t>
      </w:r>
      <w:r>
        <w:rPr>
          <w:b/>
          <w:i w:val="0"/>
        </w:rPr>
        <w:t>mínimos cuadrados ordinarios (OLS)</w:t>
      </w:r>
      <w:r>
        <w:rPr>
          <w:b w:val="0"/>
          <w:i w:val="0"/>
        </w:rPr>
        <w:t>, minimizando la suma de residuos al cuadrado:</w:t>
      </w:r>
    </w:p>
    <w:p>
      <w:pPr>
        <w:spacing w:before="120" w:after="120" w:line="240" w:lineRule="auto"/>
        <w:ind w:left="283"/>
        <w:shd w:val="clear" w:color="auto" w:fill="F2F2F2"/>
      </w:pPr>
      <w:r>
        <w:rPr>
          <w:rFonts w:ascii="Consolas" w:hAnsi="Consolas"/>
          <w:sz w:val="18"/>
        </w:rPr>
        <w:t>J(β) = Σⱼ ( yⱼ − ŷⱼ )²</w:t>
      </w:r>
    </w:p>
    <w:p>
      <w:pPr>
        <w:jc w:val="both"/>
      </w:pPr>
      <w:r>
        <w:rPr>
          <w:b w:val="0"/>
          <w:i w:val="0"/>
        </w:rPr>
        <w:t>Las variantes regularizadas añaden una penalización sobre la magnitud de los coeficientes:</w:t>
      </w:r>
    </w:p>
    <w:p>
      <w:pPr>
        <w:spacing w:before="120" w:after="0" w:line="240" w:lineRule="auto"/>
        <w:ind w:left="283"/>
        <w:shd w:val="clear" w:color="auto" w:fill="F2F2F2"/>
      </w:pPr>
      <w:r>
        <w:rPr>
          <w:rFonts w:ascii="Consolas" w:hAnsi="Consolas"/>
          <w:sz w:val="18"/>
        </w:rPr>
        <w:t>Ridge (L2):  J(β) = Σ ( yⱼ − ŷⱼ )² + α · Σ βᵢ²</w:t>
      </w:r>
    </w:p>
    <w:p>
      <w:pPr>
        <w:spacing w:before="0" w:after="120" w:line="240" w:lineRule="auto"/>
        <w:ind w:left="283"/>
        <w:shd w:val="clear" w:color="auto" w:fill="F2F2F2"/>
      </w:pPr>
      <w:r>
        <w:rPr>
          <w:rFonts w:ascii="Consolas" w:hAnsi="Consolas"/>
          <w:sz w:val="18"/>
        </w:rPr>
        <w:t>Lasso (L1):  J(β) = Σ ( yⱼ − ŷⱼ )² + α · Σ |βᵢ|</w:t>
      </w:r>
    </w:p>
    <w:p>
      <w:pPr>
        <w:jc w:val="both"/>
      </w:pPr>
      <w:r>
        <w:rPr>
          <w:b w:val="0"/>
          <w:i w:val="0"/>
        </w:rPr>
        <w:t>En ambos casos α se seleccionó por validación cruzada 5-fold (</w:t>
      </w:r>
      <w:r>
        <w:rPr>
          <w:rFonts w:ascii="Consolas" w:hAnsi="Consolas"/>
          <w:b w:val="0"/>
          <w:i w:val="0"/>
          <w:color w:val="A31515"/>
          <w:sz w:val="19"/>
        </w:rPr>
        <w:t>RidgeCV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LassoCV</w:t>
      </w:r>
      <w:r>
        <w:rPr>
          <w:b w:val="0"/>
          <w:i w:val="0"/>
        </w:rPr>
        <w:t>).</w:t>
      </w:r>
    </w:p>
    <w:p>
      <w:pPr>
        <w:pStyle w:val="Heading2"/>
        <w:spacing w:before="200" w:after="120"/>
      </w:pPr>
      <w:r>
        <w:rPr>
          <w:color w:val="1F4E79"/>
        </w:rPr>
        <w:t>B.2 Variantes entrenadas y resultados</w:t>
      </w:r>
    </w:p>
    <w:p>
      <w:pPr>
        <w:jc w:val="both"/>
      </w:pPr>
      <w:r>
        <w:rPr>
          <w:b w:val="0"/>
          <w:i w:val="0"/>
        </w:rPr>
        <w:t xml:space="preserve">Cuatro variantes, todas con </w:t>
      </w:r>
      <w:r>
        <w:rPr>
          <w:rFonts w:ascii="Consolas" w:hAnsi="Consolas"/>
          <w:b w:val="0"/>
          <w:i w:val="0"/>
          <w:color w:val="A31515"/>
          <w:sz w:val="19"/>
        </w:rPr>
        <w:t>StandardScaler</w:t>
      </w:r>
      <w:r>
        <w:rPr>
          <w:b w:val="0"/>
          <w:i w:val="0"/>
        </w:rPr>
        <w:t xml:space="preserve"> dentro del </w:t>
      </w:r>
      <w:r>
        <w:rPr>
          <w:rFonts w:ascii="Consolas" w:hAnsi="Consolas"/>
          <w:b w:val="0"/>
          <w:i w:val="0"/>
          <w:color w:val="A31515"/>
          <w:sz w:val="19"/>
        </w:rPr>
        <w:t>Pipeline</w:t>
      </w:r>
      <w:r>
        <w:rPr>
          <w:b w:val="0"/>
          <w:i w:val="0"/>
        </w:rPr>
        <w:t>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3023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Modelo</w:t>
            </w:r>
          </w:p>
        </w:tc>
        <w:tc>
          <w:tcPr>
            <w:tcW w:type="dxa" w:w="1145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Términos</w:t>
            </w:r>
          </w:p>
        </w:tc>
        <w:tc>
          <w:tcPr>
            <w:tcW w:type="dxa" w:w="1041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R² entren.</w:t>
            </w:r>
          </w:p>
        </w:tc>
        <w:tc>
          <w:tcPr>
            <w:tcW w:type="dxa" w:w="935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R² prueba</w:t>
            </w:r>
          </w:p>
        </w:tc>
        <w:tc>
          <w:tcPr>
            <w:tcW w:type="dxa" w:w="1405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R² CV 5-fold</w:t>
            </w:r>
          </w:p>
        </w:tc>
        <w:tc>
          <w:tcPr>
            <w:tcW w:type="dxa" w:w="1523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Brecha train−CV</w:t>
            </w:r>
          </w:p>
        </w:tc>
      </w:tr>
      <w:tr>
        <w:tc>
          <w:tcPr>
            <w:tcW w:type="dxa" w:w="3023"/>
          </w:tcPr>
          <w:p>
            <w:pPr>
              <w:spacing w:before="20" w:after="20"/>
            </w:pPr>
            <w:r>
              <w:rPr>
                <w:b/>
                <w:i w:val="0"/>
                <w:sz w:val="19"/>
              </w:rPr>
              <w:t>OLS — 10 variables</w:t>
            </w:r>
          </w:p>
        </w:tc>
        <w:tc>
          <w:tcPr>
            <w:tcW w:type="dxa" w:w="114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04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0.5190</w:t>
            </w:r>
          </w:p>
        </w:tc>
        <w:tc>
          <w:tcPr>
            <w:tcW w:type="dxa" w:w="93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0.4849</w:t>
            </w:r>
          </w:p>
        </w:tc>
        <w:tc>
          <w:tcPr>
            <w:tcW w:type="dxa" w:w="1405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0.4606 ± 0.085</w:t>
            </w:r>
          </w:p>
        </w:tc>
        <w:tc>
          <w:tcPr>
            <w:tcW w:type="dxa" w:w="1523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0.0584</w:t>
            </w:r>
          </w:p>
        </w:tc>
      </w:tr>
      <w:tr>
        <w:tc>
          <w:tcPr>
            <w:tcW w:type="dxa" w:w="3023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 xml:space="preserve">OLS — sin 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  <w:r>
              <w:rPr>
                <w:b w:val="0"/>
                <w:i w:val="0"/>
                <w:sz w:val="19"/>
              </w:rPr>
              <w:t>,</w:t>
            </w: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s2</w:t>
            </w:r>
            <w:r>
              <w:rPr>
                <w:b w:val="0"/>
                <w:i w:val="0"/>
                <w:sz w:val="19"/>
              </w:rPr>
              <w:t xml:space="preserve"> (corte por VIF)</w:t>
            </w:r>
          </w:p>
        </w:tc>
        <w:tc>
          <w:tcPr>
            <w:tcW w:type="dxa" w:w="114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8</w:t>
            </w:r>
          </w:p>
        </w:tc>
        <w:tc>
          <w:tcPr>
            <w:tcW w:type="dxa" w:w="104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0.5078</w:t>
            </w:r>
          </w:p>
        </w:tc>
        <w:tc>
          <w:tcPr>
            <w:tcW w:type="dxa" w:w="93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0.4964</w:t>
            </w:r>
          </w:p>
        </w:tc>
        <w:tc>
          <w:tcPr>
            <w:tcW w:type="dxa" w:w="140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0.4504 ± 0.096</w:t>
            </w:r>
          </w:p>
        </w:tc>
        <w:tc>
          <w:tcPr>
            <w:tcW w:type="dxa" w:w="1523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0.0574</w:t>
            </w:r>
          </w:p>
        </w:tc>
      </w:tr>
      <w:tr>
        <w:tc>
          <w:tcPr>
            <w:tcW w:type="dxa" w:w="3023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Ridge (L2, α = 1.585)</w:t>
            </w:r>
          </w:p>
        </w:tc>
        <w:tc>
          <w:tcPr>
            <w:tcW w:type="dxa" w:w="114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041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0.5185</w:t>
            </w:r>
          </w:p>
        </w:tc>
        <w:tc>
          <w:tcPr>
            <w:tcW w:type="dxa" w:w="93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0.4862</w:t>
            </w:r>
          </w:p>
        </w:tc>
        <w:tc>
          <w:tcPr>
            <w:tcW w:type="dxa" w:w="140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0.4597 ± 0.084</w:t>
            </w:r>
          </w:p>
        </w:tc>
        <w:tc>
          <w:tcPr>
            <w:tcW w:type="dxa" w:w="1523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0.0587</w:t>
            </w:r>
          </w:p>
        </w:tc>
      </w:tr>
      <w:tr>
        <w:tc>
          <w:tcPr>
            <w:tcW w:type="dxa" w:w="3023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Lasso (L1, α = 0.114)</w:t>
            </w:r>
          </w:p>
        </w:tc>
        <w:tc>
          <w:tcPr>
            <w:tcW w:type="dxa" w:w="114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10</w:t>
            </w:r>
          </w:p>
        </w:tc>
        <w:tc>
          <w:tcPr>
            <w:tcW w:type="dxa" w:w="1041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0.5185</w:t>
            </w:r>
          </w:p>
        </w:tc>
        <w:tc>
          <w:tcPr>
            <w:tcW w:type="dxa" w:w="93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0.4868</w:t>
            </w:r>
          </w:p>
        </w:tc>
        <w:tc>
          <w:tcPr>
            <w:tcW w:type="dxa" w:w="140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0.4577 ± 0.091</w:t>
            </w:r>
          </w:p>
        </w:tc>
        <w:tc>
          <w:tcPr>
            <w:tcW w:type="dxa" w:w="1523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0.0608</w:t>
            </w:r>
          </w:p>
        </w:tc>
      </w:tr>
    </w:tbl>
    <w:p>
      <w:pPr>
        <w:spacing w:after="120"/>
      </w:pPr>
    </w:p>
    <w:p>
      <w:pPr>
        <w:pStyle w:val="Heading3"/>
        <w:spacing w:before="200" w:after="120"/>
      </w:pPr>
      <w:r>
        <w:rPr>
          <w:color w:val="1F4E79"/>
        </w:rPr>
        <w:t>Lecturas</w:t>
      </w:r>
    </w:p>
    <w:p>
      <w:pPr>
        <w:jc w:val="both"/>
      </w:pPr>
      <w:r>
        <w:rPr>
          <w:b/>
          <w:i w:val="0"/>
        </w:rPr>
        <w:t>No hay sobreajuste.</w:t>
      </w:r>
      <w:r>
        <w:rPr>
          <w:b w:val="0"/>
          <w:i w:val="0"/>
        </w:rPr>
        <w:t xml:space="preserve"> La brecha entre entrenamiento y validación cruzada es de ~0.058 en las cuatro variantes: el modelo generaliza correctamente.</w:t>
      </w:r>
    </w:p>
    <w:p>
      <w:pPr>
        <w:jc w:val="both"/>
      </w:pPr>
      <w:r>
        <w:rPr>
          <w:b/>
          <w:i w:val="0"/>
        </w:rPr>
        <w:t>La regularización casi no cambia nada.</w:t>
      </w:r>
      <w:r>
        <w:rPr>
          <w:b w:val="0"/>
          <w:i w:val="0"/>
        </w:rPr>
        <w:t xml:space="preserve"> Con 331 muestras y solo 10 variables, el modelo no tiene capacidad suficiente para memorizar los datos, de modo que Ridge y Lasso apenas mueven las métricas (±0.003 en CV). Lasso anula una única variable, </w:t>
      </w:r>
      <w:r>
        <w:rPr>
          <w:rFonts w:ascii="Consolas" w:hAnsi="Consolas"/>
          <w:b w:val="0"/>
          <w:i w:val="0"/>
          <w:color w:val="A31515"/>
          <w:sz w:val="19"/>
        </w:rPr>
        <w:t>s3</w:t>
      </w:r>
      <w:r>
        <w:rPr>
          <w:b w:val="0"/>
          <w:i w:val="0"/>
        </w:rPr>
        <w:t xml:space="preserve"> — coherente con que </w:t>
      </w:r>
      <w:r>
        <w:rPr>
          <w:rFonts w:ascii="Consolas" w:hAnsi="Consolas"/>
          <w:b w:val="0"/>
          <w:i w:val="0"/>
          <w:color w:val="A31515"/>
          <w:sz w:val="19"/>
        </w:rPr>
        <w:t>s3</w:t>
      </w:r>
      <w:r>
        <w:rPr>
          <w:b w:val="0"/>
          <w:i w:val="0"/>
        </w:rPr>
        <w:t xml:space="preserve"> participa en la definición de </w:t>
      </w:r>
      <w:r>
        <w:rPr>
          <w:rFonts w:ascii="Consolas" w:hAnsi="Consolas"/>
          <w:b w:val="0"/>
          <w:i w:val="0"/>
          <w:color w:val="A31515"/>
          <w:sz w:val="19"/>
        </w:rPr>
        <w:t>s4</w:t>
      </w:r>
      <w:r>
        <w:rPr>
          <w:b w:val="0"/>
          <w:i w:val="0"/>
        </w:rPr>
        <w:t xml:space="preserve"> y aporta poca información propia.</w:t>
      </w:r>
    </w:p>
    <w:p>
      <w:pPr>
        <w:spacing w:before="160" w:after="160"/>
        <w:ind w:left="340" w:right="170"/>
        <w:pBdr>
          <w:left w:val="single" w:sz="18" w:space="4" w:color="FFB454"/>
        </w:pBdr>
        <w:shd w:val="clear" w:color="auto" w:fill="FFF7E6"/>
      </w:pPr>
      <w:r>
        <w:rPr>
          <w:b w:val="0"/>
          <w:i w:val="0"/>
        </w:rPr>
        <w:t xml:space="preserve">Este resultado es relevante para el Informe 2: la regularización aquí es </w:t>
      </w:r>
      <w:r>
        <w:rPr>
          <w:b/>
          <w:i w:val="0"/>
        </w:rPr>
        <w:t>innecesaria</w:t>
      </w:r>
      <w:r>
        <w:rPr>
          <w:b w:val="0"/>
          <w:i w:val="0"/>
        </w:rPr>
        <w:t xml:space="preserve">, pero se vuelve </w:t>
      </w:r>
      <w:r>
        <w:rPr>
          <w:b/>
          <w:i w:val="0"/>
        </w:rPr>
        <w:t>imprescindible</w:t>
      </w:r>
      <w:r>
        <w:rPr>
          <w:b w:val="0"/>
          <w:i w:val="0"/>
        </w:rPr>
        <w:t xml:space="preserve"> al aplicarla sobre la expansión polinomial, donde el número de parámetros sí desborda a las muestras disponibles.</w:t>
      </w:r>
    </w:p>
    <w:p>
      <w:pPr>
        <w:jc w:val="both"/>
      </w:pPr>
      <w:r>
        <w:rPr>
          <w:b/>
          <w:i w:val="0"/>
        </w:rPr>
        <w:t xml:space="preserve">Eliminar </w:t>
      </w:r>
      <w:r>
        <w:rPr>
          <w:rFonts w:ascii="Consolas" w:hAnsi="Consolas"/>
          <w:b/>
          <w:i w:val="0"/>
          <w:color w:val="A31515"/>
          <w:sz w:val="19"/>
        </w:rPr>
        <w:t>s1</w:t>
      </w:r>
      <w:r>
        <w:rPr>
          <w:b/>
          <w:i w:val="0"/>
        </w:rPr>
        <w:t xml:space="preserve"> y </w:t>
      </w:r>
      <w:r>
        <w:rPr>
          <w:rFonts w:ascii="Consolas" w:hAnsi="Consolas"/>
          <w:b/>
          <w:i w:val="0"/>
          <w:color w:val="A31515"/>
          <w:sz w:val="19"/>
        </w:rPr>
        <w:t>s2</w:t>
      </w:r>
      <w:r>
        <w:rPr>
          <w:b/>
          <w:i w:val="0"/>
        </w:rPr>
        <w:t xml:space="preserve"> mejora el R² de prueba (0.4964)</w:t>
      </w:r>
      <w:r>
        <w:rPr>
          <w:b w:val="0"/>
          <w:i w:val="0"/>
        </w:rPr>
        <w:t xml:space="preserve"> pero empeora el de validación cruzada (0.4504). Como la CV es el criterio más fiable con 111 muestras de prueba, no se adopta como modelo final; sin embargo confirma que esas dos variables aportan poca información única, tal como anticipaba su VIF.</w:t>
      </w:r>
    </w:p>
    <w:p>
      <w:pPr>
        <w:jc w:val="both"/>
      </w:pPr>
      <w:r>
        <w:rPr>
          <w:b/>
          <w:i w:val="0"/>
        </w:rPr>
        <w:t>Modelo final: OLS con las 10 variables</w:t>
      </w:r>
      <w:r>
        <w:rPr>
          <w:b w:val="0"/>
          <w:i w:val="0"/>
        </w:rPr>
        <w:t>, por tener el mejor R² de validación cruzada (0.4606) y la interpretación más directa.</w:t>
      </w:r>
    </w:p>
    <w:p>
      <w:pPr>
        <w:pStyle w:val="Heading2"/>
        <w:spacing w:before="200" w:after="120"/>
      </w:pPr>
      <w:r>
        <w:rPr>
          <w:color w:val="1F4E79"/>
        </w:rPr>
        <w:t>B.3 Significancia estadística de los coeficientes</w:t>
      </w:r>
    </w:p>
    <w:p>
      <w:pPr>
        <w:jc w:val="both"/>
      </w:pPr>
      <w:r>
        <w:rPr>
          <w:b w:val="0"/>
          <w:i w:val="0"/>
        </w:rPr>
        <w:t xml:space="preserve">Prueba </w:t>
      </w:r>
      <w:r>
        <w:rPr>
          <w:b w:val="0"/>
          <w:i/>
        </w:rPr>
        <w:t>t</w:t>
      </w:r>
      <w:r>
        <w:rPr>
          <w:b w:val="0"/>
          <w:i w:val="0"/>
        </w:rPr>
        <w:t xml:space="preserve"> sobre los coeficientes del modelo OLS con las 10 variables estandarizadas (gl = 331 − 11 = 320):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649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1814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Coeficiente</w:t>
            </w:r>
          </w:p>
        </w:tc>
        <w:tc>
          <w:tcPr>
            <w:tcW w:type="dxa" w:w="2309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Error estándar</w:t>
            </w:r>
          </w:p>
        </w:tc>
        <w:tc>
          <w:tcPr>
            <w:tcW w:type="dxa" w:w="825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t</w:t>
            </w:r>
          </w:p>
        </w:tc>
        <w:tc>
          <w:tcPr>
            <w:tcW w:type="dxa" w:w="1319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p-valor</w:t>
            </w:r>
          </w:p>
        </w:tc>
        <w:tc>
          <w:tcPr>
            <w:tcW w:type="dxa" w:w="1154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Signif.</w:t>
            </w:r>
          </w:p>
        </w:tc>
      </w:tr>
      <w:tr>
        <w:tc>
          <w:tcPr>
            <w:tcW w:type="dxa" w:w="1649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intercepto</w:t>
            </w:r>
          </w:p>
        </w:tc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154.3444</w:t>
            </w:r>
          </w:p>
        </w:tc>
        <w:tc>
          <w:tcPr>
            <w:tcW w:type="dxa" w:w="230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3.0142</w:t>
            </w:r>
          </w:p>
        </w:tc>
        <w:tc>
          <w:tcPr>
            <w:tcW w:type="dxa" w:w="82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51.21</w:t>
            </w:r>
          </w:p>
        </w:tc>
        <w:tc>
          <w:tcPr>
            <w:tcW w:type="dxa" w:w="131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&lt; 0.0001</w:t>
            </w:r>
          </w:p>
        </w:tc>
        <w:tc>
          <w:tcPr>
            <w:tcW w:type="dxa" w:w="1154"/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1649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age</w:t>
            </w:r>
          </w:p>
        </w:tc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2.2151</w:t>
            </w:r>
          </w:p>
        </w:tc>
        <w:tc>
          <w:tcPr>
            <w:tcW w:type="dxa" w:w="230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3.3234</w:t>
            </w:r>
          </w:p>
        </w:tc>
        <w:tc>
          <w:tcPr>
            <w:tcW w:type="dxa" w:w="82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0.67</w:t>
            </w:r>
          </w:p>
        </w:tc>
        <w:tc>
          <w:tcPr>
            <w:tcW w:type="dxa" w:w="131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0.5056</w:t>
            </w:r>
          </w:p>
        </w:tc>
        <w:tc>
          <w:tcPr>
            <w:tcW w:type="dxa" w:w="1154"/>
            <w:shd w:val="clear" w:color="auto" w:fill="F7F9FC"/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1649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sex</w:t>
            </w:r>
          </w:p>
        </w:tc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−11.5145</w:t>
            </w:r>
          </w:p>
        </w:tc>
        <w:tc>
          <w:tcPr>
            <w:tcW w:type="dxa" w:w="230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3.3670</w:t>
            </w:r>
          </w:p>
        </w:tc>
        <w:tc>
          <w:tcPr>
            <w:tcW w:type="dxa" w:w="82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−3.42</w:t>
            </w:r>
          </w:p>
        </w:tc>
        <w:tc>
          <w:tcPr>
            <w:tcW w:type="dxa" w:w="131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0.0007</w:t>
            </w:r>
          </w:p>
        </w:tc>
        <w:tc>
          <w:tcPr>
            <w:tcW w:type="dxa" w:w="1154"/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1649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bmi</w:t>
            </w:r>
          </w:p>
        </w:tc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25.0770</w:t>
            </w:r>
          </w:p>
        </w:tc>
        <w:tc>
          <w:tcPr>
            <w:tcW w:type="dxa" w:w="230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3.7263</w:t>
            </w:r>
          </w:p>
        </w:tc>
        <w:tc>
          <w:tcPr>
            <w:tcW w:type="dxa" w:w="82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6.73</w:t>
            </w:r>
          </w:p>
        </w:tc>
        <w:tc>
          <w:tcPr>
            <w:tcW w:type="dxa" w:w="131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&lt; 0.0001</w:t>
            </w:r>
          </w:p>
        </w:tc>
        <w:tc>
          <w:tcPr>
            <w:tcW w:type="dxa" w:w="1154"/>
            <w:shd w:val="clear" w:color="auto" w:fill="F7F9FC"/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1649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bp</w:t>
            </w:r>
          </w:p>
        </w:tc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18.2493</w:t>
            </w:r>
          </w:p>
        </w:tc>
        <w:tc>
          <w:tcPr>
            <w:tcW w:type="dxa" w:w="230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3.5898</w:t>
            </w:r>
          </w:p>
        </w:tc>
        <w:tc>
          <w:tcPr>
            <w:tcW w:type="dxa" w:w="82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5.08</w:t>
            </w:r>
          </w:p>
        </w:tc>
        <w:tc>
          <w:tcPr>
            <w:tcW w:type="dxa" w:w="131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&lt; 0.0001</w:t>
            </w:r>
          </w:p>
        </w:tc>
        <w:tc>
          <w:tcPr>
            <w:tcW w:type="dxa" w:w="1154"/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1649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</w:p>
        </w:tc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−44.1446</w:t>
            </w:r>
          </w:p>
        </w:tc>
        <w:tc>
          <w:tcPr>
            <w:tcW w:type="dxa" w:w="230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22.2102</w:t>
            </w:r>
          </w:p>
        </w:tc>
        <w:tc>
          <w:tcPr>
            <w:tcW w:type="dxa" w:w="82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−1.99</w:t>
            </w:r>
          </w:p>
        </w:tc>
        <w:tc>
          <w:tcPr>
            <w:tcW w:type="dxa" w:w="131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0.0477</w:t>
            </w:r>
          </w:p>
        </w:tc>
        <w:tc>
          <w:tcPr>
            <w:tcW w:type="dxa" w:w="115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*</w:t>
            </w:r>
          </w:p>
        </w:tc>
      </w:tr>
      <w:tr>
        <w:tc>
          <w:tcPr>
            <w:tcW w:type="dxa" w:w="1649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s2</w:t>
            </w:r>
          </w:p>
        </w:tc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24.5139</w:t>
            </w:r>
          </w:p>
        </w:tc>
        <w:tc>
          <w:tcPr>
            <w:tcW w:type="dxa" w:w="2309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17.9831</w:t>
            </w:r>
          </w:p>
        </w:tc>
        <w:tc>
          <w:tcPr>
            <w:tcW w:type="dxa" w:w="82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1.36</w:t>
            </w:r>
          </w:p>
        </w:tc>
        <w:tc>
          <w:tcPr>
            <w:tcW w:type="dxa" w:w="131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0.1738</w:t>
            </w:r>
          </w:p>
        </w:tc>
        <w:tc>
          <w:tcPr>
            <w:tcW w:type="dxa" w:w="1154"/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1649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s3</w:t>
            </w:r>
          </w:p>
        </w:tc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5.4976</w:t>
            </w:r>
          </w:p>
        </w:tc>
        <w:tc>
          <w:tcPr>
            <w:tcW w:type="dxa" w:w="230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11.2118</w:t>
            </w:r>
          </w:p>
        </w:tc>
        <w:tc>
          <w:tcPr>
            <w:tcW w:type="dxa" w:w="82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0.49</w:t>
            </w:r>
          </w:p>
        </w:tc>
        <w:tc>
          <w:tcPr>
            <w:tcW w:type="dxa" w:w="131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0.6242</w:t>
            </w:r>
          </w:p>
        </w:tc>
        <w:tc>
          <w:tcPr>
            <w:tcW w:type="dxa" w:w="1154"/>
            <w:shd w:val="clear" w:color="auto" w:fill="F7F9FC"/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1649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s4</w:t>
            </w:r>
          </w:p>
        </w:tc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13.0068</w:t>
            </w:r>
          </w:p>
        </w:tc>
        <w:tc>
          <w:tcPr>
            <w:tcW w:type="dxa" w:w="230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9.2005</w:t>
            </w:r>
          </w:p>
        </w:tc>
        <w:tc>
          <w:tcPr>
            <w:tcW w:type="dxa" w:w="82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1.41</w:t>
            </w:r>
          </w:p>
        </w:tc>
        <w:tc>
          <w:tcPr>
            <w:tcW w:type="dxa" w:w="131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0.1584</w:t>
            </w:r>
          </w:p>
        </w:tc>
        <w:tc>
          <w:tcPr>
            <w:tcW w:type="dxa" w:w="1154"/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1649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s5</w:t>
            </w:r>
          </w:p>
        </w:tc>
        <w:tc>
          <w:tcPr>
            <w:tcW w:type="dxa" w:w="1814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33.3798</w:t>
            </w:r>
          </w:p>
        </w:tc>
        <w:tc>
          <w:tcPr>
            <w:tcW w:type="dxa" w:w="230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9.4361</w:t>
            </w:r>
          </w:p>
        </w:tc>
        <w:tc>
          <w:tcPr>
            <w:tcW w:type="dxa" w:w="82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3.54</w:t>
            </w:r>
          </w:p>
        </w:tc>
        <w:tc>
          <w:tcPr>
            <w:tcW w:type="dxa" w:w="1319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0.0005</w:t>
            </w:r>
          </w:p>
        </w:tc>
        <w:tc>
          <w:tcPr>
            <w:tcW w:type="dxa" w:w="1154"/>
            <w:shd w:val="clear" w:color="auto" w:fill="F7F9FC"/>
          </w:tcPr>
          <w:p>
            <w:pPr>
              <w:spacing w:before="20" w:after="20"/>
              <w:jc w:val="right"/>
            </w:pPr>
          </w:p>
        </w:tc>
      </w:tr>
      <w:tr>
        <w:tc>
          <w:tcPr>
            <w:tcW w:type="dxa" w:w="1649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s6</w:t>
            </w:r>
          </w:p>
        </w:tc>
        <w:tc>
          <w:tcPr>
            <w:tcW w:type="dxa" w:w="1814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1.2480</w:t>
            </w:r>
          </w:p>
        </w:tc>
        <w:tc>
          <w:tcPr>
            <w:tcW w:type="dxa" w:w="230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3.6435</w:t>
            </w:r>
          </w:p>
        </w:tc>
        <w:tc>
          <w:tcPr>
            <w:tcW w:type="dxa" w:w="82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0.34</w:t>
            </w:r>
          </w:p>
        </w:tc>
        <w:tc>
          <w:tcPr>
            <w:tcW w:type="dxa" w:w="1319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0.7322</w:t>
            </w:r>
          </w:p>
        </w:tc>
        <w:tc>
          <w:tcPr>
            <w:tcW w:type="dxa" w:w="1154"/>
          </w:tcPr>
          <w:p>
            <w:pPr>
              <w:spacing w:before="20" w:after="20"/>
              <w:jc w:val="right"/>
            </w:pPr>
          </w:p>
        </w:tc>
      </w:tr>
    </w:tbl>
    <w:p>
      <w:pPr>
        <w:spacing w:after="120"/>
      </w:pPr>
    </w:p>
    <w:p>
      <w:pPr>
        <w:jc w:val="both"/>
      </w:pPr>
      <w:r>
        <w:rPr>
          <w:b w:val="0"/>
          <w:i/>
        </w:rPr>
        <w:t>Significancia: \</w:t>
      </w:r>
      <w:r>
        <w:rPr>
          <w:b w:val="0"/>
          <w:i w:val="0"/>
        </w:rPr>
        <w:t>\</w:t>
      </w:r>
      <w:r>
        <w:rPr>
          <w:b w:val="0"/>
          <w:i/>
        </w:rPr>
        <w:t>\</w:t>
      </w:r>
      <w:r>
        <w:rPr>
          <w:b w:val="0"/>
          <w:i w:val="0"/>
        </w:rPr>
        <w:t xml:space="preserve"> p &lt; 0.001, \</w:t>
      </w:r>
      <w:r>
        <w:rPr>
          <w:b w:val="0"/>
          <w:i/>
        </w:rPr>
        <w:t>\</w:t>
      </w:r>
      <w:r>
        <w:rPr>
          <w:b w:val="0"/>
          <w:i w:val="0"/>
        </w:rPr>
        <w:t xml:space="preserve"> p &lt; 0.01, \</w:t>
      </w:r>
      <w:r>
        <w:rPr>
          <w:b w:val="0"/>
          <w:i/>
        </w:rPr>
        <w:t xml:space="preserve"> p &lt; 0.05</w:t>
      </w:r>
    </w:p>
    <w:p>
      <w:pPr>
        <w:jc w:val="both"/>
      </w:pPr>
      <w:r>
        <w:rPr>
          <w:b/>
          <w:i w:val="0"/>
        </w:rPr>
        <w:t xml:space="preserve">Variables significativas al 5 %: </w:t>
      </w:r>
      <w:r>
        <w:rPr>
          <w:rFonts w:ascii="Consolas" w:hAnsi="Consolas"/>
          <w:b/>
          <w:i w:val="0"/>
          <w:color w:val="A31515"/>
          <w:sz w:val="19"/>
        </w:rPr>
        <w:t>sex</w:t>
      </w:r>
      <w:r>
        <w:rPr>
          <w:b/>
          <w:i w:val="0"/>
        </w:rPr>
        <w:t xml:space="preserve">, </w:t>
      </w:r>
      <w:r>
        <w:rPr>
          <w:rFonts w:ascii="Consolas" w:hAnsi="Consolas"/>
          <w:b/>
          <w:i w:val="0"/>
          <w:color w:val="A31515"/>
          <w:sz w:val="19"/>
        </w:rPr>
        <w:t>bmi</w:t>
      </w:r>
      <w:r>
        <w:rPr>
          <w:b/>
          <w:i w:val="0"/>
        </w:rPr>
        <w:t xml:space="preserve">, </w:t>
      </w:r>
      <w:r>
        <w:rPr>
          <w:rFonts w:ascii="Consolas" w:hAnsi="Consolas"/>
          <w:b/>
          <w:i w:val="0"/>
          <w:color w:val="A31515"/>
          <w:sz w:val="19"/>
        </w:rPr>
        <w:t>bp</w:t>
      </w:r>
      <w:r>
        <w:rPr>
          <w:b/>
          <w:i w:val="0"/>
        </w:rPr>
        <w:t xml:space="preserve">, </w:t>
      </w:r>
      <w:r>
        <w:rPr>
          <w:rFonts w:ascii="Consolas" w:hAnsi="Consolas"/>
          <w:b/>
          <w:i w:val="0"/>
          <w:color w:val="A31515"/>
          <w:sz w:val="19"/>
        </w:rPr>
        <w:t>s1</w:t>
      </w:r>
      <w:r>
        <w:rPr>
          <w:b/>
          <w:i w:val="0"/>
        </w:rPr>
        <w:t xml:space="preserve">, </w:t>
      </w:r>
      <w:r>
        <w:rPr>
          <w:rFonts w:ascii="Consolas" w:hAnsi="Consolas"/>
          <w:b/>
          <w:i w:val="0"/>
          <w:color w:val="A31515"/>
          <w:sz w:val="19"/>
        </w:rPr>
        <w:t>s5</w:t>
      </w:r>
      <w:r>
        <w:rPr>
          <w:b/>
          <w:i w:val="0"/>
        </w:rPr>
        <w:t>.</w:t>
      </w:r>
    </w:p>
    <w:p>
      <w:pPr>
        <w:pStyle w:val="Heading3"/>
        <w:spacing w:before="200" w:after="120"/>
      </w:pPr>
      <w:r>
        <w:rPr>
          <w:color w:val="1F4E79"/>
        </w:rPr>
        <w:t>Confirmación numérica del diagnóstico de la Fase A</w:t>
      </w:r>
    </w:p>
    <w:p>
      <w:pPr>
        <w:jc w:val="both"/>
      </w:pPr>
      <w:r>
        <w:rPr>
          <w:b w:val="0"/>
          <w:i w:val="0"/>
        </w:rPr>
        <w:t xml:space="preserve">El patrón es inequívoco. Las variables </w:t>
      </w:r>
      <w:r>
        <w:rPr>
          <w:b/>
          <w:i w:val="0"/>
        </w:rPr>
        <w:t>no significativas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color w:val="A31515"/>
          <w:sz w:val="19"/>
        </w:rPr>
        <w:t>s2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s3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s4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s6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age</w:t>
      </w:r>
      <w:r>
        <w:rPr>
          <w:b w:val="0"/>
          <w:i w:val="0"/>
        </w:rPr>
        <w:t xml:space="preserve">) incluyen justamente las de </w:t>
      </w:r>
      <w:r>
        <w:rPr>
          <w:b/>
          <w:i w:val="0"/>
        </w:rPr>
        <w:t>VIF más alto</w:t>
      </w:r>
      <w:r>
        <w:rPr>
          <w:b w:val="0"/>
          <w:i w:val="0"/>
        </w:rPr>
        <w:t>, y sus errores estándar lo delatan: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28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1768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VIF</w:t>
            </w:r>
          </w:p>
        </w:tc>
        <w:tc>
          <w:tcPr>
            <w:tcW w:type="dxa" w:w="4475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Error estándar</w:t>
            </w:r>
          </w:p>
        </w:tc>
      </w:tr>
      <w:tr>
        <w:tc>
          <w:tcPr>
            <w:tcW w:type="dxa" w:w="2828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s1</w:t>
            </w:r>
          </w:p>
        </w:tc>
        <w:tc>
          <w:tcPr>
            <w:tcW w:type="dxa" w:w="1768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59.20</w:t>
            </w:r>
          </w:p>
        </w:tc>
        <w:tc>
          <w:tcPr>
            <w:tcW w:type="dxa" w:w="4475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22.21</w:t>
            </w:r>
          </w:p>
        </w:tc>
      </w:tr>
      <w:tr>
        <w:tc>
          <w:tcPr>
            <w:tcW w:type="dxa" w:w="2828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s2</w:t>
            </w:r>
          </w:p>
        </w:tc>
        <w:tc>
          <w:tcPr>
            <w:tcW w:type="dxa" w:w="1768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39.19</w:t>
            </w:r>
          </w:p>
        </w:tc>
        <w:tc>
          <w:tcPr>
            <w:tcW w:type="dxa" w:w="447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17.98</w:t>
            </w:r>
          </w:p>
        </w:tc>
      </w:tr>
      <w:tr>
        <w:tc>
          <w:tcPr>
            <w:tcW w:type="dxa" w:w="2828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s3</w:t>
            </w:r>
          </w:p>
        </w:tc>
        <w:tc>
          <w:tcPr>
            <w:tcW w:type="dxa" w:w="1768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15.40</w:t>
            </w:r>
          </w:p>
        </w:tc>
        <w:tc>
          <w:tcPr>
            <w:tcW w:type="dxa" w:w="4475"/>
          </w:tcPr>
          <w:p>
            <w:pPr>
              <w:spacing w:before="20" w:after="20"/>
              <w:jc w:val="right"/>
            </w:pPr>
            <w:r>
              <w:rPr>
                <w:b/>
                <w:i w:val="0"/>
                <w:sz w:val="19"/>
              </w:rPr>
              <w:t>11.21</w:t>
            </w:r>
          </w:p>
        </w:tc>
      </w:tr>
      <w:tr>
        <w:tc>
          <w:tcPr>
            <w:tcW w:type="dxa" w:w="2828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age</w:t>
            </w:r>
          </w:p>
        </w:tc>
        <w:tc>
          <w:tcPr>
            <w:tcW w:type="dxa" w:w="1768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1.22</w:t>
            </w:r>
          </w:p>
        </w:tc>
        <w:tc>
          <w:tcPr>
            <w:tcW w:type="dxa" w:w="447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3.32</w:t>
            </w:r>
          </w:p>
        </w:tc>
      </w:tr>
      <w:tr>
        <w:tc>
          <w:tcPr>
            <w:tcW w:type="dxa" w:w="2828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sex</w:t>
            </w:r>
          </w:p>
        </w:tc>
        <w:tc>
          <w:tcPr>
            <w:tcW w:type="dxa" w:w="1768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1.28</w:t>
            </w:r>
          </w:p>
        </w:tc>
        <w:tc>
          <w:tcPr>
            <w:tcW w:type="dxa" w:w="4475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3.37</w:t>
            </w:r>
          </w:p>
        </w:tc>
      </w:tr>
      <w:tr>
        <w:tc>
          <w:tcPr>
            <w:tcW w:type="dxa" w:w="2828"/>
            <w:shd w:val="clear" w:color="auto" w:fill="F7F9FC"/>
          </w:tcPr>
          <w:p>
            <w:pPr>
              <w:spacing w:before="20" w:after="20"/>
            </w:pPr>
            <w:r>
              <w:rPr>
                <w:rFonts w:ascii="Consolas" w:hAnsi="Consolas"/>
                <w:b w:val="0"/>
                <w:i w:val="0"/>
                <w:color w:val="A31515"/>
                <w:sz w:val="17"/>
              </w:rPr>
              <w:t>bmi</w:t>
            </w:r>
          </w:p>
        </w:tc>
        <w:tc>
          <w:tcPr>
            <w:tcW w:type="dxa" w:w="1768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1.51</w:t>
            </w:r>
          </w:p>
        </w:tc>
        <w:tc>
          <w:tcPr>
            <w:tcW w:type="dxa" w:w="4475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3.73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b w:val="0"/>
          <w:i w:val="0"/>
        </w:rPr>
        <w:t xml:space="preserve">Los errores estándar de las variables colineales son entre </w:t>
      </w:r>
      <w:r>
        <w:rPr>
          <w:b/>
          <w:i w:val="0"/>
        </w:rPr>
        <w:t>5 y 7 veces mayores</w:t>
      </w:r>
      <w:r>
        <w:rPr>
          <w:b w:val="0"/>
          <w:i w:val="0"/>
        </w:rPr>
        <w:t xml:space="preserve">. Eso es exactamente lo que produce la multicolinealidad: </w:t>
      </w:r>
      <w:r>
        <w:rPr>
          <w:b/>
          <w:i w:val="0"/>
        </w:rPr>
        <w:t>infla la varianza de los estimadores</w:t>
      </w:r>
      <w:r>
        <w:rPr>
          <w:b w:val="0"/>
          <w:i w:val="0"/>
        </w:rPr>
        <w:t>. El modelo detecta que el perfil lipídico influye, pero no puede repartir el crédito entre variables que se contienen unas a otras por definición.</w:t>
      </w:r>
    </w:p>
    <w:p>
      <w:pPr>
        <w:jc w:val="both"/>
      </w:pPr>
      <w:r>
        <w:rPr>
          <w:b/>
          <w:i w:val="0"/>
        </w:rPr>
        <w:t>Implicación práctica:</w:t>
      </w:r>
      <w:r>
        <w:rPr>
          <w:b w:val="0"/>
          <w:i w:val="0"/>
        </w:rPr>
        <w:t xml:space="preserve"> los coeficientes lipídicos individuales </w:t>
      </w:r>
      <w:r>
        <w:rPr>
          <w:b/>
          <w:i w:val="0"/>
        </w:rPr>
        <w:t>no deben interpretarse clínicamente</w:t>
      </w:r>
      <w:r>
        <w:rPr>
          <w:b w:val="0"/>
          <w:i w:val="0"/>
        </w:rPr>
        <w:t xml:space="preserve">. El modelo sigue siendo válido para </w:t>
      </w:r>
      <w:r>
        <w:rPr>
          <w:b w:val="0"/>
          <w:i/>
        </w:rPr>
        <w:t>predecir</w:t>
      </w:r>
      <w:r>
        <w:rPr>
          <w:b w:val="0"/>
          <w:i w:val="0"/>
        </w:rPr>
        <w:t xml:space="preserve"> — la multicolinealidad no sesga las predicciones — pero no para </w:t>
      </w:r>
      <w:r>
        <w:rPr>
          <w:b w:val="0"/>
          <w:i/>
        </w:rPr>
        <w:t>explicar</w:t>
      </w:r>
      <w:r>
        <w:rPr>
          <w:b w:val="0"/>
          <w:i w:val="0"/>
        </w:rPr>
        <w:t xml:space="preserve"> el efecto aislado de </w:t>
      </w:r>
      <w:r>
        <w:rPr>
          <w:rFonts w:ascii="Consolas" w:hAnsi="Consolas"/>
          <w:b w:val="0"/>
          <w:i w:val="0"/>
          <w:color w:val="A31515"/>
          <w:sz w:val="19"/>
        </w:rPr>
        <w:t>s1</w:t>
      </w:r>
      <w:r>
        <w:rPr>
          <w:b w:val="0"/>
          <w:i w:val="0"/>
        </w:rPr>
        <w:t xml:space="preserve"> o </w:t>
      </w:r>
      <w:r>
        <w:rPr>
          <w:rFonts w:ascii="Consolas" w:hAnsi="Consolas"/>
          <w:b w:val="0"/>
          <w:i w:val="0"/>
          <w:color w:val="A31515"/>
          <w:sz w:val="19"/>
        </w:rPr>
        <w:t>s2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 xml:space="preserve">Los predictores clínicamente sólidos y estadísticamente limpios son </w:t>
      </w:r>
      <w:r>
        <w:rPr>
          <w:rFonts w:ascii="Consolas" w:hAnsi="Consolas"/>
          <w:b/>
          <w:i w:val="0"/>
          <w:color w:val="A31515"/>
          <w:sz w:val="19"/>
        </w:rPr>
        <w:t>bmi</w:t>
      </w:r>
      <w:r>
        <w:rPr>
          <w:b w:val="0"/>
          <w:i w:val="0"/>
        </w:rPr>
        <w:t xml:space="preserve"> (+25.08), </w:t>
      </w:r>
      <w:r>
        <w:rPr>
          <w:rFonts w:ascii="Consolas" w:hAnsi="Consolas"/>
          <w:b/>
          <w:i w:val="0"/>
          <w:color w:val="A31515"/>
          <w:sz w:val="19"/>
        </w:rPr>
        <w:t>s5</w:t>
      </w:r>
      <w:r>
        <w:rPr>
          <w:b w:val="0"/>
          <w:i w:val="0"/>
        </w:rPr>
        <w:t xml:space="preserve"> (+33.38), </w:t>
      </w:r>
      <w:r>
        <w:rPr>
          <w:rFonts w:ascii="Consolas" w:hAnsi="Consolas"/>
          <w:b/>
          <w:i w:val="0"/>
          <w:color w:val="A31515"/>
          <w:sz w:val="19"/>
        </w:rPr>
        <w:t>bp</w:t>
      </w:r>
      <w:r>
        <w:rPr>
          <w:b w:val="0"/>
          <w:i w:val="0"/>
        </w:rPr>
        <w:t xml:space="preserve"> (+18.25) y </w:t>
      </w:r>
      <w:r>
        <w:rPr>
          <w:rFonts w:ascii="Consolas" w:hAnsi="Consolas"/>
          <w:b/>
          <w:i w:val="0"/>
          <w:color w:val="A31515"/>
          <w:sz w:val="19"/>
        </w:rPr>
        <w:t>sex</w:t>
      </w:r>
      <w:r>
        <w:rPr>
          <w:b w:val="0"/>
          <w:i w:val="0"/>
        </w:rPr>
        <w:t xml:space="preserve"> (−11.51).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coeficien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C"/>
          <w:sz w:val="18"/>
        </w:rPr>
        <w:t>Figura. Peso de cada variable en el modelo</w:t>
      </w:r>
    </w:p>
    <w:p>
      <w:pPr>
        <w:pStyle w:val="Heading2"/>
        <w:spacing w:before="200" w:after="120"/>
      </w:pPr>
      <w:r>
        <w:rPr>
          <w:color w:val="1F4E79"/>
        </w:rPr>
        <w:t>B.4 Diagnóstico de residuos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3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residu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C"/>
          <w:sz w:val="18"/>
        </w:rPr>
        <w:t>Figura. Diagnóstico de residuos del modelo lineal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_real_vs_predich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44444C"/>
          <w:sz w:val="18"/>
        </w:rPr>
        <w:t>Figura. Valores reales frente a valores predichos</w:t>
      </w:r>
    </w:p>
    <w:p>
      <w:pPr>
        <w:jc w:val="both"/>
      </w:pPr>
      <w:r>
        <w:rPr>
          <w:b w:val="0"/>
          <w:i w:val="0"/>
        </w:rPr>
        <w:t xml:space="preserve">Los residuos presentan distribución </w:t>
      </w:r>
      <w:r>
        <w:rPr>
          <w:b/>
          <w:i w:val="0"/>
        </w:rPr>
        <w:t>aproximadamente normal</w:t>
      </w:r>
      <w:r>
        <w:rPr>
          <w:b w:val="0"/>
          <w:i w:val="0"/>
        </w:rPr>
        <w:t xml:space="preserve"> y </w:t>
      </w:r>
      <w:r>
        <w:rPr>
          <w:b/>
          <w:i w:val="0"/>
        </w:rPr>
        <w:t>sin patrón estructural</w:t>
      </w:r>
      <w:r>
        <w:rPr>
          <w:b w:val="0"/>
          <w:i w:val="0"/>
        </w:rPr>
        <w:t xml:space="preserve"> frente a las predicciones. Esto valida los supuestos del modelo lineal e indica que el error restante es </w:t>
      </w:r>
      <w:r>
        <w:rPr>
          <w:b/>
          <w:i w:val="0"/>
        </w:rPr>
        <w:t>ruido aleatorio, no sesgo sistemático sin capturar</w:t>
      </w:r>
      <w:r>
        <w:rPr>
          <w:b w:val="0"/>
          <w:i w:val="0"/>
        </w:rPr>
        <w:t>.</w:t>
      </w:r>
    </w:p>
    <w:p>
      <w:pPr>
        <w:jc w:val="both"/>
      </w:pPr>
      <w:r>
        <w:rPr>
          <w:b w:val="0"/>
          <w:i w:val="0"/>
        </w:rPr>
        <w:t>Es un resultado importante: si los residuos mostraran curvatura, habría margen para un modelo no lineal. No la muestran — lo que anticipa el resultado del Informe 2.</w:t>
      </w:r>
    </w:p>
    <w:p>
      <w:pPr>
        <w:pStyle w:val="Heading2"/>
        <w:spacing w:before="200" w:after="120"/>
      </w:pPr>
      <w:r>
        <w:rPr>
          <w:color w:val="1F4E79"/>
        </w:rPr>
        <w:t>B.5 Sobre la precisión alcanzada</w:t>
      </w:r>
    </w:p>
    <w:p>
      <w:pPr>
        <w:jc w:val="both"/>
      </w:pPr>
      <w:r>
        <w:rPr>
          <w:b w:val="0"/>
          <w:i w:val="0"/>
        </w:rPr>
        <w:t xml:space="preserve">Un R² de 0.485 puede parecer bajo. </w:t>
      </w:r>
      <w:r>
        <w:rPr>
          <w:b/>
          <w:i w:val="0"/>
        </w:rPr>
        <w:t>No lo es para este problema</w:t>
      </w:r>
      <w:r>
        <w:rPr>
          <w:b w:val="0"/>
          <w:i w:val="0"/>
        </w:rPr>
        <w:t>, y conviene argumentarlo con precisión:</w:t>
      </w:r>
    </w:p>
    <w:p>
      <w:pPr>
        <w:spacing w:after="60"/>
        <w:ind w:left="567" w:hanging="340"/>
      </w:pPr>
      <w:r>
        <w:rPr>
          <w:b/>
        </w:rPr>
        <w:t xml:space="preserve">1. </w:t>
      </w:r>
      <w:r>
        <w:rPr>
          <w:b/>
          <w:i w:val="0"/>
        </w:rPr>
        <w:t>Límite intrínseco de los datos.</w:t>
      </w:r>
      <w:r>
        <w:rPr>
          <w:b w:val="0"/>
          <w:i w:val="0"/>
        </w:rPr>
        <w:t xml:space="preserve"> Solo 442 pacientes y 10 variables basales. La progresión de una enfermedad crónica depende de factores no medidos aquí: carga genética, tratamiento recibido, adherencia terapéutica, dieta, actividad física, comorbilidades.</w:t>
      </w:r>
    </w:p>
    <w:p>
      <w:pPr>
        <w:spacing w:after="60"/>
        <w:ind w:left="567" w:hanging="340"/>
      </w:pPr>
      <w:r>
        <w:rPr>
          <w:b/>
        </w:rPr>
        <w:t xml:space="preserve">2. </w:t>
      </w:r>
      <w:r>
        <w:rPr>
          <w:b/>
          <w:i w:val="0"/>
        </w:rPr>
        <w:t>Referencia de la literatura.</w:t>
      </w:r>
      <w:r>
        <w:rPr>
          <w:b w:val="0"/>
          <w:i w:val="0"/>
        </w:rPr>
        <w:t xml:space="preserve"> El artículo que introdujo este dataset —Efron, Hastie, Johnstone y Tibshirani (2004), </w:t>
      </w:r>
      <w:r>
        <w:rPr>
          <w:b w:val="0"/>
          <w:i/>
        </w:rPr>
        <w:t>"Least Angle Regression"</w:t>
      </w:r>
      <w:r>
        <w:rPr>
          <w:b w:val="0"/>
          <w:i w:val="0"/>
        </w:rPr>
        <w:t>— trabaja en este mismo rango de ajuste. No es un resultado atípico.</w:t>
      </w:r>
    </w:p>
    <w:p>
      <w:pPr>
        <w:spacing w:after="60"/>
        <w:ind w:left="567" w:hanging="340"/>
      </w:pPr>
      <w:r>
        <w:rPr>
          <w:b/>
        </w:rPr>
        <w:t xml:space="preserve">3. </w:t>
      </w:r>
      <w:r>
        <w:rPr>
          <w:b/>
          <w:i w:val="0"/>
        </w:rPr>
        <w:t>El diagnóstico de residuos es correcto</w:t>
      </w:r>
      <w:r>
        <w:rPr>
          <w:b w:val="0"/>
          <w:i w:val="0"/>
        </w:rPr>
        <w:t>, como se documentó en B.4: el error restante es ruido, no estructura sin modelar.</w:t>
      </w:r>
    </w:p>
    <w:p>
      <w:pPr>
        <w:spacing w:after="60"/>
        <w:ind w:left="567" w:hanging="340"/>
      </w:pPr>
      <w:r>
        <w:rPr>
          <w:b/>
        </w:rPr>
        <w:t xml:space="preserve">4. </w:t>
      </w:r>
      <w:r>
        <w:rPr>
          <w:b/>
          <w:i w:val="0"/>
        </w:rPr>
        <w:t>Un R² alto sería sospechoso.</w:t>
      </w:r>
      <w:r>
        <w:rPr>
          <w:b w:val="0"/>
          <w:i w:val="0"/>
        </w:rPr>
        <w:t xml:space="preserve"> Como se demuestra en el Informe 2, el modelo que alcanza R² = 0.896 en entrenamiento resulta ser el </w:t>
      </w:r>
      <w:r>
        <w:rPr>
          <w:b/>
          <w:i w:val="0"/>
        </w:rPr>
        <w:t>peor de todos</w:t>
      </w:r>
      <w:r>
        <w:rPr>
          <w:b w:val="0"/>
          <w:i w:val="0"/>
        </w:rPr>
        <w:t xml:space="preserve"> al evaluarlo fuera de la muestra.</w:t>
      </w:r>
    </w:p>
    <w:p>
      <w:pPr>
        <w:jc w:val="both"/>
      </w:pPr>
      <w:r>
        <w:rPr>
          <w:b w:val="0"/>
          <w:i w:val="0"/>
        </w:rPr>
        <w:t>El modelo explica cerca de la mitad de la varianza de un fenómeno biológico complejo, con un error medio de ±41.5 puntos sobre una escala de 25 a 346.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1F4E79"/>
        </w:pBdr>
      </w:pPr>
      <w:r>
        <w:rPr>
          <w:color w:val="1F4E79"/>
        </w:rPr>
        <w:t>FASE C — Aplicativo web (modo Regresión Lineal Múltiple)</w:t>
      </w:r>
    </w:p>
    <w:p>
      <w:pPr>
        <w:jc w:val="both"/>
      </w:pPr>
      <w:r>
        <w:rPr>
          <w:rFonts w:ascii="Consolas" w:hAnsi="Consolas"/>
          <w:b w:val="0"/>
          <w:i w:val="0"/>
          <w:color w:val="A31515"/>
          <w:sz w:val="19"/>
        </w:rPr>
        <w:t>index.html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color w:val="A31515"/>
          <w:sz w:val="19"/>
        </w:rPr>
        <w:t>model.js</w:t>
      </w:r>
      <w:r>
        <w:rPr>
          <w:b w:val="0"/>
          <w:i w:val="0"/>
        </w:rPr>
        <w:t xml:space="preserve"> — HTML y JavaScript puro, sin dependencias externas ni proceso de compilación.</w:t>
      </w:r>
    </w:p>
    <w:p>
      <w:pPr>
        <w:jc w:val="both"/>
      </w:pPr>
      <w:r>
        <w:rPr>
          <w:rFonts w:ascii="Consolas" w:hAnsi="Consolas"/>
          <w:b w:val="0"/>
          <w:i w:val="0"/>
          <w:color w:val="A31515"/>
          <w:sz w:val="19"/>
        </w:rPr>
        <w:t>train.py</w:t>
      </w:r>
      <w:r>
        <w:rPr>
          <w:b w:val="0"/>
          <w:i w:val="0"/>
        </w:rPr>
        <w:t xml:space="preserve"> serializa el modelo en </w:t>
      </w:r>
      <w:r>
        <w:rPr>
          <w:rFonts w:ascii="Consolas" w:hAnsi="Consolas"/>
          <w:b w:val="0"/>
          <w:i w:val="0"/>
          <w:color w:val="A31515"/>
          <w:sz w:val="19"/>
        </w:rPr>
        <w:t>model.js</w:t>
      </w:r>
      <w:r>
        <w:rPr>
          <w:b w:val="0"/>
          <w:i w:val="0"/>
        </w:rPr>
        <w:t>: los parámetros de estandarización (μᵢ, σᵢ), los coeficientes βᵢ y el intercepto β₀. El aplicativo reconstruye la predicción con la misma fórmula de la sección B.1.</w:t>
      </w:r>
    </w:p>
    <w:p>
      <w:pPr>
        <w:pStyle w:val="Heading3"/>
        <w:spacing w:before="200" w:after="120"/>
      </w:pPr>
      <w:r>
        <w:rPr>
          <w:color w:val="1F4E79"/>
        </w:rPr>
        <w:t>Funcionalidades relevantes a este informe</w:t>
      </w:r>
    </w:p>
    <w:p>
      <w:pPr>
        <w:pStyle w:val="ListBullet"/>
        <w:spacing w:after="60"/>
        <w:ind w:left="425"/>
      </w:pPr>
      <w:r>
        <w:rPr>
          <w:b/>
          <w:i w:val="0"/>
        </w:rPr>
        <w:t>Entrada dinámica</w:t>
      </w:r>
      <w:r>
        <w:rPr>
          <w:b w:val="0"/>
          <w:i w:val="0"/>
        </w:rPr>
        <w:t xml:space="preserve"> de las 10 variables basales mediante deslizadores acotados al</w:t>
      </w:r>
    </w:p>
    <w:p>
      <w:pPr>
        <w:jc w:val="both"/>
      </w:pPr>
      <w:r>
        <w:rPr>
          <w:b w:val="0"/>
          <w:i w:val="0"/>
        </w:rPr>
        <w:t>rango real observado, sincronizados con campos numéricos. Predicción en tiempo real.</w:t>
      </w:r>
    </w:p>
    <w:p>
      <w:pPr>
        <w:pStyle w:val="ListBullet"/>
        <w:spacing w:after="60"/>
        <w:ind w:left="425"/>
      </w:pPr>
      <w:r>
        <w:rPr>
          <w:b/>
          <w:i w:val="0"/>
        </w:rPr>
        <w:t>Cálculo paso a paso</w:t>
      </w:r>
      <w:r>
        <w:rPr>
          <w:b w:val="0"/>
          <w:i w:val="0"/>
        </w:rPr>
        <w:t>: estandarización de cada variable, producto por su</w:t>
      </w:r>
    </w:p>
    <w:p>
      <w:pPr>
        <w:jc w:val="both"/>
      </w:pPr>
      <w:r>
        <w:rPr>
          <w:b w:val="0"/>
          <w:i w:val="0"/>
        </w:rPr>
        <w:t>coeficiente, suma y adición del intercepto, con los números reales de la predicción.</w:t>
      </w:r>
    </w:p>
    <w:p>
      <w:pPr>
        <w:pStyle w:val="ListBullet"/>
        <w:spacing w:after="60"/>
        <w:ind w:left="425"/>
      </w:pPr>
      <w:r>
        <w:rPr>
          <w:b/>
          <w:i w:val="0"/>
        </w:rPr>
        <w:t>Tabla de detalle</w:t>
      </w:r>
      <w:r>
        <w:rPr>
          <w:b w:val="0"/>
          <w:i w:val="0"/>
        </w:rPr>
        <w:t xml:space="preserve"> por variable con xᵢ, μᵢ, σᵢ, zᵢ, βᵢ y βᵢ·zᵢ.</w:t>
      </w:r>
    </w:p>
    <w:p>
      <w:pPr>
        <w:pStyle w:val="ListBullet"/>
        <w:spacing w:after="60"/>
        <w:ind w:left="425"/>
      </w:pPr>
      <w:r>
        <w:rPr>
          <w:b/>
          <w:i w:val="0"/>
        </w:rPr>
        <w:t>Tabla de VIF</w:t>
      </w:r>
      <w:r>
        <w:rPr>
          <w:b w:val="0"/>
          <w:i w:val="0"/>
        </w:rPr>
        <w:t xml:space="preserve"> de la Fase A.</w:t>
      </w:r>
    </w:p>
    <w:p>
      <w:pPr>
        <w:pStyle w:val="ListBullet"/>
        <w:spacing w:after="60"/>
        <w:ind w:left="425"/>
      </w:pPr>
      <w:r>
        <w:rPr>
          <w:b/>
          <w:i w:val="0"/>
        </w:rPr>
        <w:t>Aviso</w:t>
      </w:r>
      <w:r>
        <w:rPr>
          <w:b w:val="0"/>
          <w:i w:val="0"/>
        </w:rPr>
        <w:t xml:space="preserve"> de que se trata de un ejercicio académico, no de una herramienta de</w:t>
      </w:r>
    </w:p>
    <w:p>
      <w:pPr>
        <w:jc w:val="both"/>
      </w:pPr>
      <w:r>
        <w:rPr>
          <w:b w:val="0"/>
          <w:i w:val="0"/>
        </w:rPr>
        <w:t>diagnóstico clínico.</w:t>
      </w:r>
    </w:p>
    <w:p>
      <w:pPr>
        <w:pStyle w:val="Heading3"/>
        <w:spacing w:before="200" w:after="120"/>
      </w:pPr>
      <w:r>
        <w:rPr>
          <w:color w:val="1F4E79"/>
        </w:rPr>
        <w:t>Verificación de paridad con scikit-learn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4216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Caso de prueba</w:t>
            </w:r>
          </w:p>
        </w:tc>
        <w:tc>
          <w:tcPr>
            <w:tcW w:type="dxa" w:w="2683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Python (scikit-learn)</w:t>
            </w:r>
          </w:p>
        </w:tc>
        <w:tc>
          <w:tcPr>
            <w:tcW w:type="dxa" w:w="2172"/>
            <w:shd w:val="clear" w:color="auto" w:fill="1F4E79"/>
          </w:tcPr>
          <w:p>
            <w:pPr>
              <w:spacing w:before="40" w:after="40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19"/>
              </w:rPr>
              <w:t>JavaScript</w:t>
            </w:r>
          </w:p>
        </w:tc>
      </w:tr>
      <w:tr>
        <w:tc>
          <w:tcPr>
            <w:tcW w:type="dxa" w:w="4216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Medianas del dataset</w:t>
            </w:r>
          </w:p>
        </w:tc>
        <w:tc>
          <w:tcPr>
            <w:tcW w:type="dxa" w:w="2683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155.862491</w:t>
            </w:r>
          </w:p>
        </w:tc>
        <w:tc>
          <w:tcPr>
            <w:tcW w:type="dxa" w:w="2172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155.8624910825692</w:t>
            </w:r>
          </w:p>
        </w:tc>
      </w:tr>
      <w:tr>
        <w:tc>
          <w:tcPr>
            <w:tcW w:type="dxa" w:w="4216"/>
            <w:shd w:val="clear" w:color="auto" w:fill="F7F9FC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Primer registro del set de prueba</w:t>
            </w:r>
          </w:p>
        </w:tc>
        <w:tc>
          <w:tcPr>
            <w:tcW w:type="dxa" w:w="2683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137.949089</w:t>
            </w:r>
          </w:p>
        </w:tc>
        <w:tc>
          <w:tcPr>
            <w:tcW w:type="dxa" w:w="2172"/>
            <w:shd w:val="clear" w:color="auto" w:fill="F7F9FC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137.9490887781244</w:t>
            </w:r>
          </w:p>
        </w:tc>
      </w:tr>
      <w:tr>
        <w:tc>
          <w:tcPr>
            <w:tcW w:type="dxa" w:w="4216"/>
          </w:tcPr>
          <w:p>
            <w:pPr>
              <w:spacing w:before="20" w:after="20"/>
            </w:pPr>
            <w:r>
              <w:rPr>
                <w:b w:val="0"/>
                <w:i w:val="0"/>
                <w:sz w:val="19"/>
              </w:rPr>
              <w:t>Perfil de riesgo alto</w:t>
            </w:r>
          </w:p>
        </w:tc>
        <w:tc>
          <w:tcPr>
            <w:tcW w:type="dxa" w:w="2683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300.618775</w:t>
            </w:r>
          </w:p>
        </w:tc>
        <w:tc>
          <w:tcPr>
            <w:tcW w:type="dxa" w:w="2172"/>
          </w:tcPr>
          <w:p>
            <w:pPr>
              <w:spacing w:before="20" w:after="20"/>
              <w:jc w:val="right"/>
            </w:pPr>
            <w:r>
              <w:rPr>
                <w:b w:val="0"/>
                <w:i w:val="0"/>
                <w:sz w:val="19"/>
              </w:rPr>
              <w:t>300.6187747290852</w:t>
            </w:r>
          </w:p>
        </w:tc>
      </w:tr>
    </w:tbl>
    <w:p>
      <w:pPr>
        <w:spacing w:after="120"/>
      </w:pPr>
    </w:p>
    <w:p>
      <w:pPr>
        <w:jc w:val="both"/>
      </w:pPr>
      <w:r>
        <w:rPr>
          <w:b w:val="0"/>
          <w:i w:val="0"/>
        </w:rPr>
        <w:t>Coincidencia con precisión de punto flotante.</w:t>
      </w:r>
    </w:p>
    <w:p>
      <w:pPr>
        <w:pStyle w:val="Heading3"/>
        <w:spacing w:before="200" w:after="120"/>
      </w:pPr>
      <w:r>
        <w:rPr>
          <w:color w:val="1F4E79"/>
        </w:rPr>
        <w:t>Ejecución y despliegue</w:t>
      </w:r>
    </w:p>
    <w:p>
      <w:pPr>
        <w:jc w:val="both"/>
      </w:pPr>
      <w:r>
        <w:rPr>
          <w:b w:val="0"/>
          <w:i w:val="0"/>
        </w:rPr>
        <w:t xml:space="preserve">El archivo carga </w:t>
      </w:r>
      <w:r>
        <w:rPr>
          <w:rFonts w:ascii="Consolas" w:hAnsi="Consolas"/>
          <w:b w:val="0"/>
          <w:i w:val="0"/>
          <w:color w:val="A31515"/>
          <w:sz w:val="19"/>
        </w:rPr>
        <w:t>model.js</w:t>
      </w:r>
      <w:r>
        <w:rPr>
          <w:b w:val="0"/>
          <w:i w:val="0"/>
        </w:rPr>
        <w:t xml:space="preserve"> mediante </w:t>
      </w:r>
      <w:r>
        <w:rPr>
          <w:rFonts w:ascii="Consolas" w:hAnsi="Consolas"/>
          <w:b w:val="0"/>
          <w:i w:val="0"/>
          <w:color w:val="A31515"/>
          <w:sz w:val="19"/>
        </w:rPr>
        <w:t>&lt;script src&gt;</w:t>
      </w:r>
      <w:r>
        <w:rPr>
          <w:b w:val="0"/>
          <w:i w:val="0"/>
        </w:rPr>
        <w:t xml:space="preserve">, que algunos navegadores bloquean bajo el protocolo </w:t>
      </w:r>
      <w:r>
        <w:rPr>
          <w:rFonts w:ascii="Consolas" w:hAnsi="Consolas"/>
          <w:b w:val="0"/>
          <w:i w:val="0"/>
          <w:color w:val="A31515"/>
          <w:sz w:val="19"/>
        </w:rPr>
        <w:t>file://</w:t>
      </w:r>
      <w:r>
        <w:rPr>
          <w:b w:val="0"/>
          <w:i w:val="0"/>
        </w:rPr>
        <w:t>. Servirlo por HTTP:</w:t>
      </w:r>
    </w:p>
    <w:p>
      <w:pPr>
        <w:spacing w:before="120" w:after="120" w:line="240" w:lineRule="auto"/>
        <w:ind w:left="283"/>
        <w:shd w:val="clear" w:color="auto" w:fill="F2F2F2"/>
      </w:pPr>
      <w:r>
        <w:rPr>
          <w:rFonts w:ascii="Consolas" w:hAnsi="Consolas"/>
          <w:sz w:val="18"/>
        </w:rPr>
        <w:t>python -m http.server 8000</w:t>
      </w:r>
    </w:p>
    <w:p>
      <w:pPr>
        <w:jc w:val="both"/>
      </w:pPr>
      <w:r>
        <w:rPr>
          <w:b w:val="0"/>
          <w:i w:val="0"/>
        </w:rPr>
        <w:t xml:space="preserve">Para publicarlo basta con subir </w:t>
      </w:r>
      <w:r>
        <w:rPr>
          <w:rFonts w:ascii="Consolas" w:hAnsi="Consolas"/>
          <w:b w:val="0"/>
          <w:i w:val="0"/>
          <w:color w:val="A31515"/>
          <w:sz w:val="19"/>
        </w:rPr>
        <w:t>index.html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A31515"/>
          <w:sz w:val="19"/>
        </w:rPr>
        <w:t>model.js</w:t>
      </w:r>
      <w:r>
        <w:rPr>
          <w:b w:val="0"/>
          <w:i w:val="0"/>
        </w:rPr>
        <w:t xml:space="preserve"> a cualquier hosting estático (Netlify, GitHub Pages, Render). No requiere build ni servidor de aplicación.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1F4E79"/>
        </w:pBdr>
      </w:pPr>
      <w:r>
        <w:rPr>
          <w:color w:val="1F4E79"/>
        </w:rPr>
        <w:t>Conclusiones — Regresión Lineal Múltiple</w:t>
      </w:r>
    </w:p>
    <w:p>
      <w:pPr>
        <w:spacing w:after="60"/>
        <w:ind w:left="567" w:hanging="340"/>
      </w:pPr>
      <w:r>
        <w:rPr>
          <w:b/>
        </w:rPr>
        <w:t xml:space="preserve">1. </w:t>
      </w:r>
      <w:r>
        <w:rPr>
          <w:b/>
          <w:i w:val="0"/>
        </w:rPr>
        <w:t>El dataset es adecuado</w:t>
      </w:r>
      <w:r>
        <w:rPr>
          <w:b w:val="0"/>
          <w:i w:val="0"/>
        </w:rPr>
        <w:t xml:space="preserve"> para la metodología: variable objetivo continua, 10 predictores numéricos, sin nulos ni duplicados. Requiere </w:t>
      </w:r>
      <w:r>
        <w:rPr>
          <w:rFonts w:ascii="Consolas" w:hAnsi="Consolas"/>
          <w:b w:val="0"/>
          <w:i w:val="0"/>
          <w:color w:val="A31515"/>
          <w:sz w:val="19"/>
        </w:rPr>
        <w:t>scaled=False</w:t>
      </w:r>
      <w:r>
        <w:rPr>
          <w:b w:val="0"/>
          <w:i w:val="0"/>
        </w:rPr>
        <w:t xml:space="preserve"> para poder aplicar el preprocesamiento exigido y construir una interfaz usable.</w:t>
      </w:r>
    </w:p>
    <w:p>
      <w:pPr>
        <w:spacing w:after="60"/>
        <w:ind w:left="567" w:hanging="340"/>
      </w:pPr>
      <w:r>
        <w:rPr>
          <w:b/>
        </w:rPr>
        <w:t xml:space="preserve">2. </w:t>
      </w:r>
      <w:r>
        <w:rPr>
          <w:b/>
          <w:i w:val="0"/>
        </w:rPr>
        <w:t>La multicolinealidad es el hallazgo dominante</w:t>
      </w:r>
      <w:r>
        <w:rPr>
          <w:b w:val="0"/>
          <w:i w:val="0"/>
        </w:rPr>
        <w:t xml:space="preserve"> y es estructural: las variables lipídicas se contienen unas a otras por definición (</w:t>
      </w:r>
      <w:r>
        <w:rPr>
          <w:rFonts w:ascii="Consolas" w:hAnsi="Consolas"/>
          <w:b w:val="0"/>
          <w:i w:val="0"/>
          <w:color w:val="A31515"/>
          <w:sz w:val="19"/>
        </w:rPr>
        <w:t>s4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color w:val="A31515"/>
          <w:sz w:val="19"/>
        </w:rPr>
        <w:t>s1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color w:val="A31515"/>
          <w:sz w:val="19"/>
        </w:rPr>
        <w:t>s3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s2</w:t>
      </w:r>
      <w:r>
        <w:rPr>
          <w:b w:val="0"/>
          <w:i w:val="0"/>
        </w:rPr>
        <w:t xml:space="preserve"> ⊂ </w:t>
      </w:r>
      <w:r>
        <w:rPr>
          <w:rFonts w:ascii="Consolas" w:hAnsi="Consolas"/>
          <w:b w:val="0"/>
          <w:i w:val="0"/>
          <w:color w:val="A31515"/>
          <w:sz w:val="19"/>
        </w:rPr>
        <w:t>s1</w:t>
      </w:r>
      <w:r>
        <w:rPr>
          <w:b w:val="0"/>
          <w:i w:val="0"/>
        </w:rPr>
        <w:t xml:space="preserve">), con VIF de hasta 59.2. Su efecto se manifiesta como errores estándar entre 5 y 7 veces mayores en los coeficientes afectados, que en consecuencia </w:t>
      </w:r>
      <w:r>
        <w:rPr>
          <w:b/>
          <w:i w:val="0"/>
        </w:rPr>
        <w:t>no son interpretables individualmente</w:t>
      </w:r>
      <w:r>
        <w:rPr>
          <w:b w:val="0"/>
          <w:i w:val="0"/>
        </w:rPr>
        <w:t>.</w:t>
      </w:r>
    </w:p>
    <w:p>
      <w:pPr>
        <w:spacing w:after="60"/>
        <w:ind w:left="567" w:hanging="340"/>
      </w:pPr>
      <w:r>
        <w:rPr>
          <w:b/>
        </w:rPr>
        <w:t xml:space="preserve">3. </w:t>
      </w:r>
      <w:r>
        <w:rPr>
          <w:b/>
          <w:i w:val="0"/>
        </w:rPr>
        <w:t>La regularización no mejora el ajuste.</w:t>
      </w:r>
      <w:r>
        <w:rPr>
          <w:b w:val="0"/>
          <w:i w:val="0"/>
        </w:rPr>
        <w:t xml:space="preserve"> Con 10 variables y 331 muestras el modelo no tiene margen para sobreajustar, de modo que Ridge y Lasso no cambian las métricas.</w:t>
      </w:r>
    </w:p>
    <w:p>
      <w:pPr>
        <w:spacing w:after="60"/>
        <w:ind w:left="567" w:hanging="340"/>
      </w:pPr>
      <w:r>
        <w:rPr>
          <w:b/>
        </w:rPr>
        <w:t xml:space="preserve">4. </w:t>
      </w:r>
      <w:r>
        <w:rPr>
          <w:b/>
          <w:i w:val="0"/>
        </w:rPr>
        <w:t>El modelo final es OLS con las 10 variables</w:t>
      </w:r>
      <w:r>
        <w:rPr>
          <w:b w:val="0"/>
          <w:i w:val="0"/>
        </w:rPr>
        <w:t xml:space="preserve">: R² de prueba 0.4849, R² de validación cruzada 0.4606 ± 0.085, RMSE 53.37 y MAE 41.55. Los predictores más sólidos son </w:t>
      </w:r>
      <w:r>
        <w:rPr>
          <w:rFonts w:ascii="Consolas" w:hAnsi="Consolas"/>
          <w:b w:val="0"/>
          <w:i w:val="0"/>
          <w:color w:val="A31515"/>
          <w:sz w:val="19"/>
        </w:rPr>
        <w:t>bmi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s5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color w:val="A31515"/>
          <w:sz w:val="19"/>
        </w:rPr>
        <w:t>bp</w:t>
      </w:r>
      <w:r>
        <w:rPr>
          <w:b w:val="0"/>
          <w:i w:val="0"/>
        </w:rPr>
        <w:t xml:space="preserve"> y </w:t>
      </w:r>
      <w:r>
        <w:rPr>
          <w:rFonts w:ascii="Consolas" w:hAnsi="Consolas"/>
          <w:b w:val="0"/>
          <w:i w:val="0"/>
          <w:color w:val="A31515"/>
          <w:sz w:val="19"/>
        </w:rPr>
        <w:t>sex</w:t>
      </w:r>
      <w:r>
        <w:rPr>
          <w:b w:val="0"/>
          <w:i w:val="0"/>
        </w:rPr>
        <w:t>.</w:t>
      </w:r>
    </w:p>
    <w:p>
      <w:pPr>
        <w:spacing w:after="60"/>
        <w:ind w:left="567" w:hanging="340"/>
      </w:pPr>
      <w:r>
        <w:rPr>
          <w:b/>
        </w:rPr>
        <w:t xml:space="preserve">5. </w:t>
      </w:r>
      <w:r>
        <w:rPr>
          <w:b/>
          <w:i w:val="0"/>
        </w:rPr>
        <w:t>Los residuos validan el supuesto de linealidad</w:t>
      </w:r>
      <w:r>
        <w:rPr>
          <w:b w:val="0"/>
          <w:i w:val="0"/>
        </w:rPr>
        <w:t>: distribución normal y sin patrón estructural. El error restante es ruido, no sesgo sistemático.</w:t>
      </w:r>
    </w:p>
    <w:p>
      <w:pPr>
        <w:spacing w:after="60"/>
        <w:ind w:left="567" w:hanging="340"/>
      </w:pPr>
      <w:r>
        <w:rPr>
          <w:b/>
        </w:rPr>
        <w:t xml:space="preserve">6. </w:t>
      </w:r>
      <w:r>
        <w:rPr>
          <w:b/>
          <w:i w:val="0"/>
        </w:rPr>
        <w:t>La validación cruzada fue determinante.</w:t>
      </w:r>
      <w:r>
        <w:rPr>
          <w:b w:val="0"/>
          <w:i w:val="0"/>
        </w:rPr>
        <w:t xml:space="preserve"> Escogiendo por R² de prueba se habría seleccionado el modelo sin </w:t>
      </w:r>
      <w:r>
        <w:rPr>
          <w:rFonts w:ascii="Consolas" w:hAnsi="Consolas"/>
          <w:b w:val="0"/>
          <w:i w:val="0"/>
          <w:color w:val="A31515"/>
          <w:sz w:val="19"/>
        </w:rPr>
        <w:t>s1</w:t>
      </w:r>
      <w:r>
        <w:rPr>
          <w:b w:val="0"/>
          <w:i w:val="0"/>
        </w:rPr>
        <w:t>,</w:t>
      </w:r>
      <w:r>
        <w:rPr>
          <w:rFonts w:ascii="Consolas" w:hAnsi="Consolas"/>
          <w:b w:val="0"/>
          <w:i w:val="0"/>
          <w:color w:val="A31515"/>
          <w:sz w:val="19"/>
        </w:rPr>
        <w:t>s2</w:t>
      </w:r>
      <w:r>
        <w:rPr>
          <w:b w:val="0"/>
          <w:i w:val="0"/>
        </w:rPr>
        <w:t xml:space="preserve"> (0.4964); la CV muestra que esa diferencia no supera el ruido de muestreo.</w:t>
      </w:r>
    </w:p>
    <w:p>
      <w:r>
        <w:br w:type="page"/>
      </w:r>
    </w:p>
    <w:p>
      <w:pPr>
        <w:pStyle w:val="Heading1"/>
        <w:spacing w:before="280" w:after="120"/>
        <w:pBdr>
          <w:bottom w:val="single" w:sz="8" w:space="4" w:color="1F4E79"/>
        </w:pBdr>
      </w:pPr>
      <w:r>
        <w:rPr>
          <w:color w:val="1F4E79"/>
        </w:rPr>
        <w:t>Referencias</w:t>
      </w:r>
    </w:p>
    <w:p>
      <w:pPr>
        <w:spacing w:after="60"/>
        <w:ind w:left="567" w:hanging="340"/>
      </w:pPr>
      <w:r>
        <w:rPr>
          <w:b/>
        </w:rPr>
        <w:t xml:space="preserve">1. </w:t>
      </w:r>
      <w:r>
        <w:rPr>
          <w:b w:val="0"/>
          <w:i w:val="0"/>
        </w:rPr>
        <w:t xml:space="preserve">Efron, B., Hastie, T., Johnstone, I. y Tibshirani, R. (2004). </w:t>
      </w:r>
      <w:r>
        <w:rPr>
          <w:b w:val="0"/>
          <w:i/>
        </w:rPr>
        <w:t>Least Angle Regression</w:t>
      </w:r>
      <w:r>
        <w:rPr>
          <w:b w:val="0"/>
          <w:i w:val="0"/>
        </w:rPr>
        <w:t xml:space="preserve">. </w:t>
      </w:r>
      <w:r>
        <w:rPr>
          <w:b/>
          <w:i w:val="0"/>
        </w:rPr>
        <w:t>Annals of Statistics</w:t>
      </w:r>
      <w:r>
        <w:rPr>
          <w:b w:val="0"/>
          <w:i w:val="0"/>
        </w:rPr>
        <w:t xml:space="preserve">, 32(2), 407–499. </w:t>
      </w:r>
      <w:hyperlink r:id="rId17">
        <w:r>
          <w:rPr>
            <w:color w:val="0563C1"/>
            <w:u w:val="single"/>
          </w:rPr>
          <w:t xml:space="preserve">https://web.stanford.edu/~hastie/Papers/LARS/LeastAngle_2002.pdf</w:t>
        </w:r>
      </w:hyperlink>
    </w:p>
    <w:p>
      <w:pPr>
        <w:spacing w:after="60"/>
        <w:ind w:left="567" w:hanging="340"/>
      </w:pPr>
      <w:r>
        <w:rPr>
          <w:b/>
        </w:rPr>
        <w:t xml:space="preserve">2. </w:t>
      </w:r>
      <w:r>
        <w:rPr>
          <w:b w:val="0"/>
          <w:i w:val="0"/>
        </w:rPr>
        <w:t xml:space="preserve">Pedregosa, F. </w:t>
      </w:r>
      <w:r>
        <w:rPr>
          <w:b w:val="0"/>
          <w:i/>
        </w:rPr>
        <w:t>et al.</w:t>
      </w:r>
      <w:r>
        <w:rPr>
          <w:b w:val="0"/>
          <w:i w:val="0"/>
        </w:rPr>
        <w:t xml:space="preserve"> (2011). </w:t>
      </w:r>
      <w:r>
        <w:rPr>
          <w:b w:val="0"/>
          <w:i/>
        </w:rPr>
        <w:t>Scikit-learn: Machine Learning in Python</w:t>
      </w:r>
      <w:r>
        <w:rPr>
          <w:b w:val="0"/>
          <w:i w:val="0"/>
        </w:rPr>
        <w:t xml:space="preserve">. </w:t>
      </w:r>
      <w:r>
        <w:rPr>
          <w:b/>
          <w:i w:val="0"/>
        </w:rPr>
        <w:t>Journal of Machine Learning Research</w:t>
      </w:r>
      <w:r>
        <w:rPr>
          <w:b w:val="0"/>
          <w:i w:val="0"/>
        </w:rPr>
        <w:t>, 12, 2825–2830.</w:t>
      </w:r>
    </w:p>
    <w:p>
      <w:pPr>
        <w:spacing w:after="60"/>
        <w:ind w:left="567" w:hanging="340"/>
      </w:pPr>
      <w:r>
        <w:rPr>
          <w:b/>
        </w:rPr>
        <w:t xml:space="preserve">3. </w:t>
      </w:r>
      <w:r>
        <w:rPr>
          <w:b w:val="0"/>
          <w:i w:val="0"/>
        </w:rPr>
        <w:t xml:space="preserve">Documentación de scikit-learn — </w:t>
      </w:r>
      <w:r>
        <w:rPr>
          <w:rFonts w:ascii="Consolas" w:hAnsi="Consolas"/>
          <w:b w:val="0"/>
          <w:i w:val="0"/>
          <w:color w:val="A31515"/>
          <w:sz w:val="19"/>
        </w:rPr>
        <w:t>sklearn.datasets.load_diabetes</w:t>
      </w:r>
      <w:r>
        <w:rPr>
          <w:b w:val="0"/>
          <w:i w:val="0"/>
        </w:rPr>
        <w:t xml:space="preserve">. </w:t>
      </w:r>
      <w:hyperlink r:id="rId18">
        <w:r>
          <w:rPr>
            <w:color w:val="0563C1"/>
            <w:u w:val="single"/>
          </w:rPr>
          <w:t xml:space="preserve">https://scikit-learn.org/stable/modules/generated/sklearn.datasets.load_diabetes.html</w:t>
        </w:r>
      </w:hyperlink>
    </w:p>
    <w:p>
      <w:pPr>
        <w:spacing w:after="60"/>
        <w:ind w:left="567" w:hanging="340"/>
      </w:pPr>
      <w:r>
        <w:rPr>
          <w:b/>
        </w:rPr>
        <w:t xml:space="preserve">4. </w:t>
      </w:r>
      <w:r>
        <w:rPr>
          <w:b w:val="0"/>
          <w:i w:val="0"/>
        </w:rPr>
        <w:t xml:space="preserve">James, G., Witten, D., Hastie, T. y Tibshirani, R. (2021). </w:t>
      </w:r>
      <w:r>
        <w:rPr>
          <w:b w:val="0"/>
          <w:i/>
        </w:rPr>
        <w:t>An Introduction to Statistical Learning</w:t>
      </w:r>
      <w:r>
        <w:rPr>
          <w:b w:val="0"/>
          <w:i w:val="0"/>
        </w:rPr>
        <w:t>, 2.ª ed. Springer. Capítulo 3: Regresión Lineal.</w:t>
      </w:r>
    </w:p>
    <w:p>
      <w:pPr>
        <w:spacing w:after="60"/>
        <w:ind w:left="567" w:hanging="340"/>
      </w:pPr>
      <w:r>
        <w:rPr>
          <w:b/>
        </w:rPr>
        <w:t xml:space="preserve">5. </w:t>
      </w:r>
      <w:r>
        <w:rPr>
          <w:b w:val="0"/>
          <w:i w:val="0"/>
        </w:rPr>
        <w:t xml:space="preserve">Montgomery, D. C., Peck, E. A. y Vining, G. G. (2021). </w:t>
      </w:r>
      <w:r>
        <w:rPr>
          <w:b w:val="0"/>
          <w:i/>
        </w:rPr>
        <w:t>Introduction to Linear Regression Analysis</w:t>
      </w:r>
      <w:r>
        <w:rPr>
          <w:b w:val="0"/>
          <w:i w:val="0"/>
        </w:rPr>
        <w:t>, 6.ª ed. Wiley. (Diagnóstico de multicolinealidad y VIF).</w:t>
      </w:r>
    </w:p>
    <w:p>
      <w:pPr>
        <w:spacing w:after="60"/>
        <w:ind w:left="567" w:hanging="340"/>
      </w:pPr>
      <w:r>
        <w:rPr>
          <w:b/>
        </w:rPr>
        <w:t xml:space="preserve">6. </w:t>
      </w:r>
      <w:r>
        <w:rPr>
          <w:b w:val="0"/>
          <w:i w:val="0"/>
        </w:rPr>
        <w:t xml:space="preserve">Fuente original de los datos: </w:t>
      </w:r>
      <w:hyperlink r:id="rId19">
        <w:r>
          <w:rPr>
            <w:color w:val="0563C1"/>
            <w:u w:val="single"/>
          </w:rPr>
          <w:t xml:space="preserve">https://www4.stat.ncsu.edu/~boos/var.select/diabetes.html</w:t>
        </w:r>
      </w:hyperlink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444C"/>
        <w:sz w:val="17"/>
      </w:rPr>
      <w:t xml:space="preserve">Informe 1 — Regresión Lineal Múltiple   ·   Página </w:t>
    </w:r>
    <w:r>
      <w:rPr>
        <w:color w:val="44444C"/>
        <w:sz w:val="17"/>
      </w:rPr>
      <w:fldChar w:fldCharType="begin"/>
    </w:r>
    <w:r>
      <w:rPr>
        <w:color w:val="44444C"/>
        <w:sz w:val="17"/>
      </w:rPr>
      <w:instrText xml:space="preserve">PAGE</w:instrText>
    </w:r>
    <w:r>
      <w:rPr>
        <w:color w:val="44444C"/>
        <w:sz w:val="17"/>
      </w:rPr>
      <w:fldChar w:fldCharType="separate"/>
    </w:r>
    <w:r>
      <w:rPr>
        <w:color w:val="44444C"/>
        <w:sz w:val="17"/>
      </w:rPr>
      <w:t> </w:t>
    </w:r>
    <w:r>
      <w:rPr>
        <w:color w:val="44444C"/>
        <w:sz w:val="17"/>
      </w:rPr>
      <w:fldChar w:fldCharType="end"/>
    </w:r>
    <w:r>
      <w:rPr>
        <w:color w:val="44444C"/>
        <w:sz w:val="17"/>
      </w:rPr>
      <w:t xml:space="preserve"> de </w:t>
    </w:r>
    <w:r>
      <w:rPr>
        <w:color w:val="44444C"/>
        <w:sz w:val="17"/>
      </w:rPr>
      <w:fldChar w:fldCharType="begin"/>
    </w:r>
    <w:r>
      <w:rPr>
        <w:color w:val="44444C"/>
        <w:sz w:val="17"/>
      </w:rPr>
      <w:instrText xml:space="preserve">NUMPAGES</w:instrText>
    </w:r>
    <w:r>
      <w:rPr>
        <w:color w:val="44444C"/>
        <w:sz w:val="17"/>
      </w:rPr>
      <w:fldChar w:fldCharType="separate"/>
    </w:r>
    <w:r>
      <w:rPr>
        <w:color w:val="44444C"/>
        <w:sz w:val="17"/>
      </w:rPr>
      <w:t> </w:t>
    </w:r>
    <w:r>
      <w:rPr>
        <w:color w:val="44444C"/>
        <w:sz w:val="17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web.stanford.edu/~hastie/Papers/LARS/LeastAngle_2002.pdf" TargetMode="External"/><Relationship Id="rId18" Type="http://schemas.openxmlformats.org/officeDocument/2006/relationships/hyperlink" Target="https://scikit-learn.org/stable/modules/generated/sklearn.datasets.load_diabetes.html" TargetMode="External"/><Relationship Id="rId19" Type="http://schemas.openxmlformats.org/officeDocument/2006/relationships/hyperlink" Target="https://www4.stat.ncsu.edu/~boos/var.select/diabe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