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E3A8A"/>
          <w:sz w:val="30"/>
        </w:rPr>
        <w:t>PROJECT PROPOSAL FOR INNOVATION &amp; RESEARCH GRANT</w:t>
      </w:r>
    </w:p>
    <w:p>
      <w:pPr>
        <w:spacing w:before="0" w:after="240"/>
      </w:pPr>
      <w:r>
        <w:rPr>
          <w:rFonts w:ascii="Calibri" w:hAnsi="Calibri"/>
          <w:i/>
          <w:color w:val="475569"/>
          <w:sz w:val="19"/>
        </w:rPr>
        <w:t>Institutional Academic Grant Initiative • CHARUSAT University (AY 2026–2027)</w:t>
      </w:r>
    </w:p>
    <w:p>
      <w:pPr>
        <w:keepNext/>
        <w:spacing w:before="240" w:after="80"/>
        <w:pBdr>
          <w:bottom w:val="single" w:sz="6" w:space="2" w:color="2563EB"/>
        </w:pBdr>
      </w:pPr>
      <w:r>
        <w:rPr>
          <w:rFonts w:ascii="Calibri" w:hAnsi="Calibri"/>
          <w:b/>
          <w:color w:val="1E3A8A"/>
          <w:sz w:val="23"/>
        </w:rPr>
        <w:t>1. Descriptive Project Name</w:t>
      </w:r>
    </w:p>
    <w:p>
      <w:pPr>
        <w:spacing w:before="20" w:after="70" w:line="276" w:lineRule="auto"/>
      </w:pPr>
      <w:r>
        <w:rPr>
          <w:rFonts w:ascii="Calibri" w:hAnsi="Calibri"/>
          <w:b/>
          <w:color w:val="0F172A"/>
          <w:sz w:val="19"/>
        </w:rPr>
        <w:t xml:space="preserve">Official Project Title: </w:t>
      </w:r>
      <w:r>
        <w:rPr>
          <w:rFonts w:ascii="Calibri" w:hAnsi="Calibri"/>
          <w:color w:val="0F172A"/>
          <w:sz w:val="19"/>
        </w:rPr>
        <w:t>CLIAS — AI-Powered Learning Intelligence, Adaptive Practice &amp; Assessment Platform</w:t>
        <w:br/>
        <w:t>(CHARUSAT Learning Intelligence &amp; Assessment System)</w:t>
      </w:r>
    </w:p>
    <w:p>
      <w:pPr>
        <w:keepNext/>
        <w:spacing w:before="240" w:after="80"/>
        <w:pBdr>
          <w:bottom w:val="single" w:sz="6" w:space="2" w:color="2563EB"/>
        </w:pBdr>
      </w:pPr>
      <w:r>
        <w:rPr>
          <w:rFonts w:ascii="Calibri" w:hAnsi="Calibri"/>
          <w:b/>
          <w:color w:val="1E3A8A"/>
          <w:sz w:val="23"/>
        </w:rPr>
        <w:t>2. Project Overview</w:t>
      </w:r>
    </w:p>
    <w:p>
      <w:pPr>
        <w:spacing w:before="20" w:after="70" w:line="276" w:lineRule="auto"/>
      </w:pPr>
      <w:r>
        <w:rPr>
          <w:rFonts w:ascii="Calibri" w:hAnsi="Calibri"/>
          <w:color w:val="0F172A"/>
          <w:sz w:val="19"/>
        </w:rPr>
        <w:t>Traditional Higher Education Learning Management Systems (LMS) and examination portals suffer from a critical limitation: they record static, episodic marks but fail to measure continuous student learning progression over time. A grade sheet indicating a student scored 14 out of 20 cannot determine whether the student guessed easy questions, mastered difficult algorithmic concepts, struggled with core prerequisites, or experienced knowledge decay over time.</w:t>
      </w:r>
    </w:p>
    <w:p>
      <w:pPr>
        <w:spacing w:before="20" w:after="70" w:line="276" w:lineRule="auto"/>
      </w:pPr>
      <w:r>
        <w:rPr>
          <w:rFonts w:ascii="Calibri" w:hAnsi="Calibri"/>
          <w:color w:val="0F172A"/>
          <w:sz w:val="19"/>
        </w:rPr>
        <w:t>CLIAS (CHARUSAT Learning Intelligence &amp; Assessment System) solves this by serving as an institutional learning intelligence backbone. Instead of treating exams as terminal evaluations, CLIAS builds an evolving, transparent Student Learning Profile and Knowledge Model that tracks what students practice, what they truly understand, where conceptual gaps cluster, and what remedial exercises they should attempt next to achieve mastery.</w:t>
      </w:r>
    </w:p>
    <w:p>
      <w:pPr>
        <w:spacing w:before="20" w:after="70" w:line="276" w:lineRule="auto"/>
      </w:pPr>
      <w:r>
        <w:rPr>
          <w:rFonts w:ascii="Calibri" w:hAnsi="Calibri"/>
          <w:b/>
          <w:color w:val="0F172A"/>
          <w:sz w:val="19"/>
        </w:rPr>
        <w:t>Multi-Role Institutional Architecture:</w:t>
        <w:br/>
      </w:r>
      <w:r>
        <w:rPr>
          <w:rFonts w:ascii="Calibri" w:hAnsi="Calibri"/>
          <w:color w:val="0F172A"/>
          <w:sz w:val="19"/>
        </w:rPr>
        <w:t>CLIAS synthesizes learning data into tailored intelligence across 6 distinct institutional user roles:</w:t>
      </w:r>
    </w:p>
    <w:p>
      <w:pPr>
        <w:spacing w:before="20" w:after="70" w:line="276" w:lineRule="auto"/>
      </w:pPr>
      <w:r>
        <w:rPr>
          <w:rFonts w:ascii="Calibri" w:hAnsi="Calibri"/>
          <w:b/>
          <w:color w:val="0F172A"/>
          <w:sz w:val="19"/>
        </w:rPr>
        <w:t xml:space="preserve">1. Student: </w:t>
      </w:r>
      <w:r>
        <w:rPr>
          <w:rFonts w:ascii="Calibri" w:hAnsi="Calibri"/>
          <w:color w:val="0F172A"/>
          <w:sz w:val="19"/>
        </w:rPr>
        <w:t>Engages in adaptive practice, takes timed proctored assessments, views transparent granular topic mastery curves, receives Socratic remedial explanations for mistakes, and tracks placement readiness.</w:t>
      </w:r>
    </w:p>
    <w:p>
      <w:pPr>
        <w:spacing w:before="20" w:after="70" w:line="276" w:lineRule="auto"/>
      </w:pPr>
      <w:r>
        <w:rPr>
          <w:rFonts w:ascii="Calibri" w:hAnsi="Calibri"/>
          <w:b/>
          <w:color w:val="0F172A"/>
          <w:sz w:val="19"/>
        </w:rPr>
        <w:t xml:space="preserve">2. Faculty (Course Instructor): </w:t>
      </w:r>
      <w:r>
        <w:rPr>
          <w:rFonts w:ascii="Calibri" w:hAnsi="Calibri"/>
          <w:color w:val="0F172A"/>
          <w:sz w:val="19"/>
        </w:rPr>
        <w:t>Curates course topics and question banks, creates timed randomized assessments, monitors live student test attempts, and inspects class-wide topic heatmaps to address collective misconceptions in lectures.</w:t>
      </w:r>
    </w:p>
    <w:p>
      <w:pPr>
        <w:spacing w:before="20" w:after="70" w:line="276" w:lineRule="auto"/>
      </w:pPr>
      <w:r>
        <w:rPr>
          <w:rFonts w:ascii="Calibri" w:hAnsi="Calibri"/>
          <w:b/>
          <w:color w:val="0F172A"/>
          <w:sz w:val="19"/>
        </w:rPr>
        <w:t xml:space="preserve">3. Academic Counsellor / Mentor: </w:t>
      </w:r>
      <w:r>
        <w:rPr>
          <w:rFonts w:ascii="Calibri" w:hAnsi="Calibri"/>
          <w:color w:val="0F172A"/>
          <w:sz w:val="19"/>
        </w:rPr>
        <w:t>Monitors assigned mentees, receives automated early-warning flags for disengagement or declining learning curves, and initiates targeted academic interventions before semester exams.</w:t>
      </w:r>
    </w:p>
    <w:p>
      <w:pPr>
        <w:spacing w:before="20" w:after="70" w:line="276" w:lineRule="auto"/>
      </w:pPr>
      <w:r>
        <w:rPr>
          <w:rFonts w:ascii="Calibri" w:hAnsi="Calibri"/>
          <w:b/>
          <w:color w:val="0F172A"/>
          <w:sz w:val="19"/>
        </w:rPr>
        <w:t xml:space="preserve">4. Head of Department (HOD): </w:t>
      </w:r>
      <w:r>
        <w:rPr>
          <w:rFonts w:ascii="Calibri" w:hAnsi="Calibri"/>
          <w:color w:val="0F172A"/>
          <w:sz w:val="19"/>
        </w:rPr>
        <w:t>Evaluates curriculum health and topic mastery distribution across divisions, batches, and semesters; tracks Course Outcome (CO) attainment for accreditation.</w:t>
      </w:r>
    </w:p>
    <w:p>
      <w:pPr>
        <w:spacing w:before="20" w:after="70" w:line="276" w:lineRule="auto"/>
      </w:pPr>
      <w:r>
        <w:rPr>
          <w:rFonts w:ascii="Calibri" w:hAnsi="Calibri"/>
          <w:b/>
          <w:color w:val="0F172A"/>
          <w:sz w:val="19"/>
        </w:rPr>
        <w:t xml:space="preserve">5. Institutional Head / Dean / Provost: </w:t>
      </w:r>
      <w:r>
        <w:rPr>
          <w:rFonts w:ascii="Calibri" w:hAnsi="Calibri"/>
          <w:color w:val="0F172A"/>
          <w:sz w:val="19"/>
        </w:rPr>
        <w:t>Reviews university-wide departmental benchmarks, cross-cohort performance analytics, accreditation readiness metrics, and long-term placement competency distributions.</w:t>
      </w:r>
    </w:p>
    <w:p>
      <w:pPr>
        <w:spacing w:before="20" w:after="70" w:line="276" w:lineRule="auto"/>
      </w:pPr>
      <w:r>
        <w:rPr>
          <w:rFonts w:ascii="Calibri" w:hAnsi="Calibri"/>
          <w:b/>
          <w:color w:val="0F172A"/>
          <w:sz w:val="19"/>
        </w:rPr>
        <w:t xml:space="preserve">6. Super Administrator: </w:t>
      </w:r>
      <w:r>
        <w:rPr>
          <w:rFonts w:ascii="Calibri" w:hAnsi="Calibri"/>
          <w:color w:val="0F172A"/>
          <w:sz w:val="19"/>
        </w:rPr>
        <w:t>Manages multi-institute configurations, academic hierarchies (Institutes → Departments → Programs → Courses → Topics), and securely imports authorized student rosters via streaming CSV.</w:t>
      </w:r>
    </w:p>
    <w:p>
      <w:pPr>
        <w:spacing w:before="20" w:after="70" w:line="276" w:lineRule="auto"/>
      </w:pPr>
      <w:r>
        <w:rPr>
          <w:rFonts w:ascii="Calibri" w:hAnsi="Calibri"/>
          <w:b/>
          <w:color w:val="0F172A"/>
          <w:sz w:val="19"/>
        </w:rPr>
        <w:t>Theoretical Foundation &amp; Research Background:</w:t>
        <w:br/>
      </w:r>
      <w:r>
        <w:rPr>
          <w:rFonts w:ascii="Calibri" w:hAnsi="Calibri"/>
          <w:color w:val="0F172A"/>
          <w:sz w:val="19"/>
        </w:rPr>
        <w:t>Related Academic Research Citations:</w:t>
      </w:r>
    </w:p>
    <w:p>
      <w:pPr>
        <w:spacing w:before="20" w:after="70" w:line="276" w:lineRule="auto"/>
      </w:pPr>
      <w:r>
        <w:rPr>
          <w:rFonts w:ascii="Calibri" w:hAnsi="Calibri"/>
          <w:b/>
          <w:color w:val="0F172A"/>
          <w:sz w:val="19"/>
        </w:rPr>
        <w:t xml:space="preserve">• Corbett, A. T., &amp; Anderson, J. R. (1994) — </w:t>
      </w:r>
      <w:r>
        <w:rPr>
          <w:rFonts w:ascii="Calibri" w:hAnsi="Calibri"/>
          <w:color w:val="0F172A"/>
          <w:sz w:val="19"/>
        </w:rPr>
        <w:t>Knowledge Tracing: Modeling the Acquisition of Procedural Knowledge (User Modeling and User-Adapted Interaction). Provides the Hidden Markov statistical foundation for tracking transition between unlearned and learned cognitive states.</w:t>
      </w:r>
    </w:p>
    <w:p>
      <w:pPr>
        <w:spacing w:before="20" w:after="70" w:line="276" w:lineRule="auto"/>
      </w:pPr>
      <w:r>
        <w:rPr>
          <w:rFonts w:ascii="Calibri" w:hAnsi="Calibri"/>
          <w:b/>
          <w:color w:val="0F172A"/>
          <w:sz w:val="19"/>
        </w:rPr>
        <w:t xml:space="preserve">• Lord, F. M. (1980) — </w:t>
      </w:r>
      <w:r>
        <w:rPr>
          <w:rFonts w:ascii="Calibri" w:hAnsi="Calibri"/>
          <w:color w:val="0F172A"/>
          <w:sz w:val="19"/>
        </w:rPr>
        <w:t>Applications of Item Response Theory to Practical Testing Problems. Validates psychometric estimation of latent ability (θ) based on item discrimination and difficulty parameters.</w:t>
      </w:r>
    </w:p>
    <w:p>
      <w:pPr>
        <w:spacing w:before="20" w:after="70" w:line="276" w:lineRule="auto"/>
      </w:pPr>
      <w:r>
        <w:rPr>
          <w:rFonts w:ascii="Calibri" w:hAnsi="Calibri"/>
          <w:b/>
          <w:color w:val="0F172A"/>
          <w:sz w:val="19"/>
        </w:rPr>
        <w:t xml:space="preserve">• VanLehn, K. (2006) — </w:t>
      </w:r>
      <w:r>
        <w:rPr>
          <w:rFonts w:ascii="Calibri" w:hAnsi="Calibri"/>
          <w:color w:val="0F172A"/>
          <w:sz w:val="19"/>
        </w:rPr>
        <w:t>The Behavior of Tutoring Systems (Intelligent Tutoring Systems). Demonstrates that step-by-step Socratic hints and immediate diagnostic scaffolding yield significantly superior retention over answer-revealing feedback.</w:t>
      </w:r>
    </w:p>
    <w:p>
      <w:pPr>
        <w:spacing w:before="20" w:after="70" w:line="276" w:lineRule="auto"/>
      </w:pPr>
      <w:r>
        <w:rPr>
          <w:rFonts w:ascii="Calibri" w:hAnsi="Calibri"/>
          <w:b/>
          <w:color w:val="0F172A"/>
          <w:sz w:val="19"/>
        </w:rPr>
        <w:t xml:space="preserve">• Ebbinghaus, H. (1885) — </w:t>
      </w:r>
      <w:r>
        <w:rPr>
          <w:rFonts w:ascii="Calibri" w:hAnsi="Calibri"/>
          <w:color w:val="0F172A"/>
          <w:sz w:val="19"/>
        </w:rPr>
        <w:t>Memory: A Contribution to Experimental Psychology. Proves exponential memory retention decay over elapsed time, validating CLIAS's automated spaced repetition scheduler.</w:t>
      </w:r>
    </w:p>
    <w:p>
      <w:pPr>
        <w:spacing w:before="20" w:after="70" w:line="276" w:lineRule="auto"/>
      </w:pPr>
      <w:r>
        <w:rPr>
          <w:rFonts w:ascii="Calibri" w:hAnsi="Calibri"/>
          <w:b/>
          <w:color w:val="0F172A"/>
          <w:sz w:val="19"/>
        </w:rPr>
        <w:t xml:space="preserve">• Schleimer, S., Wilkerson, D. S., &amp; Aiken, A. (2003) — </w:t>
      </w:r>
      <w:r>
        <w:rPr>
          <w:rFonts w:ascii="Calibri" w:hAnsi="Calibri"/>
          <w:color w:val="0F172A"/>
          <w:sz w:val="19"/>
        </w:rPr>
        <w:t>Winnowing: Local Algorithms for Document Fingerprinting (ACM SIGMOD). Demonstrates k-gram winnowing over Abstract Syntax Tree (AST) tokens to achieve robust, structure-preserving code plagiarism detection invariant to variable renaming.</w:t>
      </w:r>
    </w:p>
    <w:p>
      <w:pPr>
        <w:spacing w:before="20" w:after="70" w:line="276" w:lineRule="auto"/>
      </w:pPr>
      <w:r>
        <w:rPr>
          <w:rFonts w:ascii="Calibri" w:hAnsi="Calibri"/>
          <w:b/>
          <w:color w:val="0F172A"/>
          <w:sz w:val="19"/>
        </w:rPr>
        <w:t xml:space="preserve">• Bloom, B. S. (1956) — </w:t>
      </w:r>
      <w:r>
        <w:rPr>
          <w:rFonts w:ascii="Calibri" w:hAnsi="Calibri"/>
          <w:color w:val="0F172A"/>
          <w:sz w:val="19"/>
        </w:rPr>
        <w:t>Taxonomy of Educational Objectives. Establishes the multi-tiered cognitive hierarchy (Remembering → Understanding → Applying → Analyzing) mapped to CLIAS topic mastery tiers.</w:t>
      </w:r>
    </w:p>
    <w:p>
      <w:pPr>
        <w:keepNext/>
        <w:spacing w:before="240" w:after="80"/>
        <w:pBdr>
          <w:bottom w:val="single" w:sz="6" w:space="2" w:color="2563EB"/>
        </w:pBdr>
      </w:pPr>
      <w:r>
        <w:rPr>
          <w:rFonts w:ascii="Calibri" w:hAnsi="Calibri"/>
          <w:b/>
          <w:color w:val="1E3A8A"/>
          <w:sz w:val="23"/>
        </w:rPr>
        <w:t>3. Problem and Solution Statement</w:t>
      </w:r>
    </w:p>
    <w:p>
      <w:pPr>
        <w:spacing w:before="20" w:after="70" w:line="276" w:lineRule="auto"/>
      </w:pPr>
      <w:r>
        <w:rPr>
          <w:rFonts w:ascii="Calibri" w:hAnsi="Calibri"/>
          <w:b/>
          <w:color w:val="0F172A"/>
          <w:sz w:val="19"/>
        </w:rPr>
        <w:t>Well-Defined Problem Definition:</w:t>
        <w:br/>
      </w:r>
      <w:r>
        <w:rPr>
          <w:rFonts w:ascii="Calibri" w:hAnsi="Calibri"/>
          <w:color w:val="0F172A"/>
          <w:sz w:val="19"/>
        </w:rPr>
        <w:t>A. The Problem:</w:t>
        <w:br/>
        <w:t>1. Episodic Mark Traps: Standard LMS portals record terminal marks (e.g. 14/20) without determining whether the score reflects genuine mastery, lucky guessing, or unresolved foundational gaps.</w:t>
        <w:br/>
        <w:t>2. High-Concurrency Server Bottlenecks: Simultaneous submissions by hundreds of students during exam finals create database connection exhaustion and latency spikes.</w:t>
        <w:br/>
        <w:t>3. Client-Side Answer Key Leakage: Single-page web portals often expose boolean answer flags in client JSON payloads, allowing browser DevTools inspection tampering.</w:t>
        <w:br/>
        <w:t>4. Disguised Code Plagiarism: Students bypass text-based plagiarism checkers by renaming variables, modifying comments, and altering function signatures.</w:t>
        <w:br/>
        <w:t>5. Pervasive Exam Integrity Breaches: Unmonitored assessments suffer from tab switching, screen scanning via smartphones, and proxy test-taking.</w:t>
        <w:br/>
        <w:t>6. Administrative Accreditation Overhead: Faculty spend 12–18 hours per course section manually calculating Course Outcome (CO) attainment for NBA accreditation audits.</w:t>
      </w:r>
    </w:p>
    <w:p>
      <w:pPr>
        <w:spacing w:before="20" w:after="70" w:line="276" w:lineRule="auto"/>
      </w:pPr>
      <w:r>
        <w:rPr>
          <w:rFonts w:ascii="Calibri" w:hAnsi="Calibri"/>
          <w:b/>
          <w:color w:val="0F172A"/>
          <w:sz w:val="19"/>
        </w:rPr>
        <w:t>Quantifiable Solution Statement:</w:t>
        <w:br/>
      </w:r>
      <w:r>
        <w:rPr>
          <w:rFonts w:ascii="Calibri" w:hAnsi="Calibri"/>
          <w:color w:val="0F172A"/>
          <w:sz w:val="19"/>
        </w:rPr>
        <w:t>B. Quantifiable Solution (Expressed in Logical &amp; Mathematical Terms):</w:t>
        <w:br/>
        <w:t>CLIAS operationalizes a Closed-Loop Learning Intelligence Architecture:</w:t>
        <w:br/>
        <w:t xml:space="preserve">   [Student Practice Session] ──► [Granular Answer &amp; Latency Analysis]</w:t>
        <w:br/>
        <w:t xml:space="preserve">          ▲                                       │</w:t>
        <w:br/>
        <w:t xml:space="preserve">          │                                       ▼</w:t>
        <w:br/>
        <w:t xml:space="preserve">   [Targeted Similar Reassessment] ◄── [EWMA Topic Mastery Recalculation]</w:t>
        <w:br/>
        <w:t xml:space="preserve">          ▲                                       │</w:t>
        <w:br/>
        <w:t xml:space="preserve">          │                                       ▼</w:t>
        <w:br/>
        <w:t xml:space="preserve">   [Remedial Socratic Feedback] ◄── [Misconception &amp; Weakness Detection]</w:t>
        <w:br/>
        <w:br/>
        <w:t>1. Dynamic Mastery Formulation (EWMA):</w:t>
        <w:br/>
        <w:t xml:space="preserve">   Mastery updates dynamically upon each attempt: M_t = α · S_t + (1 - α) · M_{t-1}, where α = 0.3, S_t is normalized attempt score factoring question difficulty and latency. Over time, models transition to full Bayesian Knowledge Tracing: P(L_t | Obs).</w:t>
        <w:br/>
        <w:t>2. Zone of Proximal Development Item Selection:</w:t>
        <w:br/>
        <w:t xml:space="preserve">   Calibrates question difficulty (EASY → MEDIUM → HARD) based on immediate consecutive performance: 3 consecutive correct promotions difficulty; 2 consecutive incorrect demotes, preventing learner frustration.</w:t>
        <w:br/>
        <w:t>3. Structural Code Plagiarism Engine (Winnowing AST):</w:t>
        <w:br/>
        <w:t xml:space="preserve">   Submissions are parsed into Abstract Syntax Trees, normalized by removing identifiers/literals, tokenized into k-grams, and fingerprinted using polynomial rolling hashes: Similarity(A, B) = [ 2 · |W(A) ∩ W(B)| ] / [ |W(A)| + |W(B)| ] · 100%.</w:t>
        <w:br/>
        <w:t>4. Multimodal Integrity Metric (Trust Score T):</w:t>
        <w:br/>
        <w:t xml:space="preserve">   Computed client-side at 30 FPS: T = max(0, 100 - Σ [ w_k · min(Count_k, Cap_k) ]), with tab-switch penalties (w=35, 2-strike auto-submit), face absence escalation (w=20, 3-strike auto-submit), and mobile phone detection (w=35).</w:t>
        <w:br/>
        <w:t>5. 1-Click NBA Course Outcome (CO) Attainment:</w:t>
        <w:br/>
        <w:t xml:space="preserve">   Aggregates atomic attempts mapped to Course Outcomes (CO1–CO5) and computes threshold compliance (% students scoring &gt;= passing target) instantly in CSV/PDF.</w:t>
      </w:r>
    </w:p>
    <w:p>
      <w:pPr>
        <w:keepNext/>
        <w:spacing w:before="240" w:after="80"/>
        <w:pBdr>
          <w:bottom w:val="single" w:sz="6" w:space="2" w:color="2563EB"/>
        </w:pBdr>
      </w:pPr>
      <w:r>
        <w:rPr>
          <w:rFonts w:ascii="Calibri" w:hAnsi="Calibri"/>
          <w:b/>
          <w:color w:val="1E3A8A"/>
          <w:sz w:val="23"/>
        </w:rPr>
        <w:t>4. Benchmark (How This Solution is Better?)</w:t>
      </w:r>
    </w:p>
    <w:p>
      <w:pPr>
        <w:spacing w:before="20" w:after="70" w:line="276" w:lineRule="auto"/>
      </w:pPr>
      <w:r>
        <w:rPr>
          <w:rFonts w:ascii="Calibri" w:hAnsi="Calibri"/>
          <w:color w:val="0F172A"/>
          <w:sz w:val="19"/>
        </w:rPr>
        <w:t>The table below quantitatively benchmarks CLIAS against legacy university portals (Moodle, Google Classroom), enterprise coding platforms (HackerRank), and commercial proctoring tools (Mercer Mettl):</w:t>
      </w:r>
    </w:p>
    <w:tbl>
      <w:tblPr>
        <w:tblW w:type="auto" w:w="0"/>
        <w:jc w:val="center"/>
        <w:tblLook w:firstColumn="1" w:firstRow="1" w:lastColumn="0" w:lastRow="0" w:noHBand="0" w:noVBand="1" w:val="04A0"/>
      </w:tblPr>
      <w:tblGrid>
        <w:gridCol w:w="2045"/>
        <w:gridCol w:w="2045"/>
        <w:gridCol w:w="2045"/>
        <w:gridCol w:w="2045"/>
        <w:gridCol w:w="2045"/>
      </w:tblGrid>
      <w:tr>
        <w:trPr>
          <w:cantSplit/>
          <w:tblHeader/>
        </w:trPr>
        <w:tc>
          <w:tcPr>
            <w:tcW w:type="dxa" w:w="2592"/>
            <w:vAlign w:val="center"/>
            <w:tcMar>
              <w:top w:w="100" w:type="dxa"/>
              <w:bottom w:w="100" w:type="dxa"/>
              <w:left w:w="130" w:type="dxa"/>
              <w:right w:w="130" w:type="dxa"/>
            </w:tcMar>
            <w:shd w:fill="1E3A8A"/>
          </w:tcPr>
          <w:p>
            <w:pPr>
              <w:jc w:val="center"/>
            </w:pPr>
            <w:r>
              <w:rPr>
                <w:rFonts w:ascii="Calibri" w:hAnsi="Calibri"/>
                <w:b/>
                <w:color w:val="FFFFFF"/>
                <w:sz w:val="19"/>
              </w:rPr>
              <w:t>Capability / Benchmark Dimension</w:t>
            </w:r>
          </w:p>
        </w:tc>
        <w:tc>
          <w:tcPr>
            <w:tcW w:type="dxa" w:w="1872"/>
            <w:vAlign w:val="center"/>
            <w:tcMar>
              <w:top w:w="100" w:type="dxa"/>
              <w:bottom w:w="100" w:type="dxa"/>
              <w:left w:w="130" w:type="dxa"/>
              <w:right w:w="130" w:type="dxa"/>
            </w:tcMar>
            <w:shd w:fill="1E3A8A"/>
          </w:tcPr>
          <w:p>
            <w:pPr>
              <w:jc w:val="center"/>
            </w:pPr>
            <w:r>
              <w:rPr>
                <w:rFonts w:ascii="Calibri" w:hAnsi="Calibri"/>
                <w:b/>
                <w:color w:val="FFFFFF"/>
                <w:sz w:val="19"/>
              </w:rPr>
              <w:t>CLIAS (Our Project)</w:t>
            </w:r>
          </w:p>
        </w:tc>
        <w:tc>
          <w:tcPr>
            <w:tcW w:type="dxa" w:w="1872"/>
            <w:vAlign w:val="center"/>
            <w:tcMar>
              <w:top w:w="100" w:type="dxa"/>
              <w:bottom w:w="100" w:type="dxa"/>
              <w:left w:w="130" w:type="dxa"/>
              <w:right w:w="130" w:type="dxa"/>
            </w:tcMar>
            <w:shd w:fill="1E3A8A"/>
          </w:tcPr>
          <w:p>
            <w:pPr>
              <w:jc w:val="center"/>
            </w:pPr>
            <w:r>
              <w:rPr>
                <w:rFonts w:ascii="Calibri" w:hAnsi="Calibri"/>
                <w:b/>
                <w:color w:val="FFFFFF"/>
                <w:sz w:val="19"/>
              </w:rPr>
              <w:t>Moodle / Google Classroom</w:t>
            </w:r>
          </w:p>
        </w:tc>
        <w:tc>
          <w:tcPr>
            <w:tcW w:type="dxa" w:w="1872"/>
            <w:vAlign w:val="center"/>
            <w:tcMar>
              <w:top w:w="100" w:type="dxa"/>
              <w:bottom w:w="100" w:type="dxa"/>
              <w:left w:w="130" w:type="dxa"/>
              <w:right w:w="130" w:type="dxa"/>
            </w:tcMar>
            <w:shd w:fill="1E3A8A"/>
          </w:tcPr>
          <w:p>
            <w:pPr>
              <w:jc w:val="center"/>
            </w:pPr>
            <w:r>
              <w:rPr>
                <w:rFonts w:ascii="Calibri" w:hAnsi="Calibri"/>
                <w:b/>
                <w:color w:val="FFFFFF"/>
                <w:sz w:val="19"/>
              </w:rPr>
              <w:t>HackerRank / LeetCode</w:t>
            </w:r>
          </w:p>
        </w:tc>
        <w:tc>
          <w:tcPr>
            <w:tcW w:type="dxa" w:w="1872"/>
            <w:vAlign w:val="center"/>
            <w:tcMar>
              <w:top w:w="100" w:type="dxa"/>
              <w:bottom w:w="100" w:type="dxa"/>
              <w:left w:w="130" w:type="dxa"/>
              <w:right w:w="130" w:type="dxa"/>
            </w:tcMar>
            <w:shd w:fill="1E3A8A"/>
          </w:tcPr>
          <w:p>
            <w:pPr>
              <w:jc w:val="center"/>
            </w:pPr>
            <w:r>
              <w:rPr>
                <w:rFonts w:ascii="Calibri" w:hAnsi="Calibri"/>
                <w:b/>
                <w:color w:val="FFFFFF"/>
                <w:sz w:val="19"/>
              </w:rPr>
              <w:t>Mercer Mettl / ProctorU</w:t>
            </w:r>
          </w:p>
        </w:tc>
      </w:tr>
      <w:tr>
        <w:trPr>
          <w:cantSplit/>
        </w:trPr>
        <w:tc>
          <w:tcPr>
            <w:tcW w:type="dxa" w:w="2592"/>
            <w:vAlign w:val="center"/>
            <w:tcMar>
              <w:top w:w="100" w:type="dxa"/>
              <w:bottom w:w="100" w:type="dxa"/>
              <w:left w:w="130" w:type="dxa"/>
              <w:right w:w="130" w:type="dxa"/>
            </w:tcMar>
            <w:shd w:fill="F8FAFC"/>
          </w:tcPr>
          <w:p>
            <w:r>
              <w:rPr>
                <w:rFonts w:ascii="Calibri" w:hAnsi="Calibri"/>
                <w:sz w:val="18"/>
              </w:rPr>
              <w:t>Institutional Multi-Role Intelligence</w:t>
            </w:r>
          </w:p>
        </w:tc>
        <w:tc>
          <w:tcPr>
            <w:tcW w:type="dxa" w:w="1872"/>
            <w:vAlign w:val="center"/>
            <w:tcMar>
              <w:top w:w="100" w:type="dxa"/>
              <w:bottom w:w="100" w:type="dxa"/>
              <w:left w:w="130" w:type="dxa"/>
              <w:right w:w="130" w:type="dxa"/>
            </w:tcMar>
            <w:shd w:fill="F8FAFC"/>
          </w:tcPr>
          <w:p>
            <w:r>
              <w:rPr>
                <w:rFonts w:ascii="Calibri" w:hAnsi="Calibri"/>
                <w:sz w:val="18"/>
              </w:rPr>
              <w:t>6 Roles (Student, Faculty, Counsellor, HOD, Dean, Admin)</w:t>
            </w:r>
          </w:p>
        </w:tc>
        <w:tc>
          <w:tcPr>
            <w:tcW w:type="dxa" w:w="1872"/>
            <w:vAlign w:val="center"/>
            <w:tcMar>
              <w:top w:w="100" w:type="dxa"/>
              <w:bottom w:w="100" w:type="dxa"/>
              <w:left w:w="130" w:type="dxa"/>
              <w:right w:w="130" w:type="dxa"/>
            </w:tcMar>
            <w:shd w:fill="F8FAFC"/>
          </w:tcPr>
          <w:p>
            <w:r>
              <w:rPr>
                <w:rFonts w:ascii="Calibri" w:hAnsi="Calibri"/>
                <w:sz w:val="18"/>
              </w:rPr>
              <w:t>2 Roles (Teacher, Student only)</w:t>
            </w:r>
          </w:p>
        </w:tc>
        <w:tc>
          <w:tcPr>
            <w:tcW w:type="dxa" w:w="1872"/>
            <w:vAlign w:val="center"/>
            <w:tcMar>
              <w:top w:w="100" w:type="dxa"/>
              <w:bottom w:w="100" w:type="dxa"/>
              <w:left w:w="130" w:type="dxa"/>
              <w:right w:w="130" w:type="dxa"/>
            </w:tcMar>
            <w:shd w:fill="F8FAFC"/>
          </w:tcPr>
          <w:p>
            <w:r>
              <w:rPr>
                <w:rFonts w:ascii="Calibri" w:hAnsi="Calibri"/>
                <w:sz w:val="18"/>
              </w:rPr>
              <w:t>1 Role (Candidate only)</w:t>
            </w:r>
          </w:p>
        </w:tc>
        <w:tc>
          <w:tcPr>
            <w:tcW w:type="dxa" w:w="1872"/>
            <w:vAlign w:val="center"/>
            <w:tcMar>
              <w:top w:w="100" w:type="dxa"/>
              <w:bottom w:w="100" w:type="dxa"/>
              <w:left w:w="130" w:type="dxa"/>
              <w:right w:w="130" w:type="dxa"/>
            </w:tcMar>
            <w:shd w:fill="F8FAFC"/>
          </w:tcPr>
          <w:p>
            <w:r>
              <w:rPr>
                <w:rFonts w:ascii="Calibri" w:hAnsi="Calibri"/>
                <w:sz w:val="18"/>
              </w:rPr>
              <w:t>1 Role (Candidate only)</w:t>
            </w:r>
          </w:p>
        </w:tc>
      </w:tr>
      <w:tr>
        <w:trPr>
          <w:cantSplit/>
        </w:trPr>
        <w:tc>
          <w:tcPr>
            <w:tcW w:type="dxa" w:w="2592"/>
            <w:vAlign w:val="center"/>
            <w:tcMar>
              <w:top w:w="100" w:type="dxa"/>
              <w:bottom w:w="100" w:type="dxa"/>
              <w:left w:w="130" w:type="dxa"/>
              <w:right w:w="130" w:type="dxa"/>
            </w:tcMar>
            <w:shd w:fill="FFFFFF"/>
          </w:tcPr>
          <w:p>
            <w:r>
              <w:rPr>
                <w:rFonts w:ascii="Calibri" w:hAnsi="Calibri"/>
                <w:sz w:val="18"/>
              </w:rPr>
              <w:t>Continuous Knowledge Modeling</w:t>
            </w:r>
          </w:p>
        </w:tc>
        <w:tc>
          <w:tcPr>
            <w:tcW w:type="dxa" w:w="1872"/>
            <w:vAlign w:val="center"/>
            <w:tcMar>
              <w:top w:w="100" w:type="dxa"/>
              <w:bottom w:w="100" w:type="dxa"/>
              <w:left w:w="130" w:type="dxa"/>
              <w:right w:w="130" w:type="dxa"/>
            </w:tcMar>
            <w:shd w:fill="FFFFFF"/>
          </w:tcPr>
          <w:p>
            <w:r>
              <w:rPr>
                <w:rFonts w:ascii="Calibri" w:hAnsi="Calibri"/>
                <w:sz w:val="18"/>
              </w:rPr>
              <w:t>Dynamic EWMA (α=0.3) + Latency + BKT Tracing</w:t>
            </w:r>
          </w:p>
        </w:tc>
        <w:tc>
          <w:tcPr>
            <w:tcW w:type="dxa" w:w="1872"/>
            <w:vAlign w:val="center"/>
            <w:tcMar>
              <w:top w:w="100" w:type="dxa"/>
              <w:bottom w:w="100" w:type="dxa"/>
              <w:left w:w="130" w:type="dxa"/>
              <w:right w:w="130" w:type="dxa"/>
            </w:tcMar>
            <w:shd w:fill="FFFFFF"/>
          </w:tcPr>
          <w:p>
            <w:r>
              <w:rPr>
                <w:rFonts w:ascii="Calibri" w:hAnsi="Calibri"/>
                <w:sz w:val="18"/>
              </w:rPr>
              <w:t>None (Static raw percentage marks)</w:t>
            </w:r>
          </w:p>
        </w:tc>
        <w:tc>
          <w:tcPr>
            <w:tcW w:type="dxa" w:w="1872"/>
            <w:vAlign w:val="center"/>
            <w:tcMar>
              <w:top w:w="100" w:type="dxa"/>
              <w:bottom w:w="100" w:type="dxa"/>
              <w:left w:w="130" w:type="dxa"/>
              <w:right w:w="130" w:type="dxa"/>
            </w:tcMar>
            <w:shd w:fill="FFFFFF"/>
          </w:tcPr>
          <w:p>
            <w:r>
              <w:rPr>
                <w:rFonts w:ascii="Calibri" w:hAnsi="Calibri"/>
                <w:sz w:val="18"/>
              </w:rPr>
              <w:t>Static acceptance rate only</w:t>
            </w:r>
          </w:p>
        </w:tc>
        <w:tc>
          <w:tcPr>
            <w:tcW w:type="dxa" w:w="1872"/>
            <w:vAlign w:val="center"/>
            <w:tcMar>
              <w:top w:w="100" w:type="dxa"/>
              <w:bottom w:w="100" w:type="dxa"/>
              <w:left w:w="130" w:type="dxa"/>
              <w:right w:w="130" w:type="dxa"/>
            </w:tcMar>
            <w:shd w:fill="FFFFFF"/>
          </w:tcPr>
          <w:p>
            <w:r>
              <w:rPr>
                <w:rFonts w:ascii="Calibri" w:hAnsi="Calibri"/>
                <w:sz w:val="18"/>
              </w:rPr>
              <w:t>None</w:t>
            </w:r>
          </w:p>
        </w:tc>
      </w:tr>
      <w:tr>
        <w:trPr>
          <w:cantSplit/>
        </w:trPr>
        <w:tc>
          <w:tcPr>
            <w:tcW w:type="dxa" w:w="2592"/>
            <w:vAlign w:val="center"/>
            <w:tcMar>
              <w:top w:w="100" w:type="dxa"/>
              <w:bottom w:w="100" w:type="dxa"/>
              <w:left w:w="130" w:type="dxa"/>
              <w:right w:w="130" w:type="dxa"/>
            </w:tcMar>
            <w:shd w:fill="F8FAFC"/>
          </w:tcPr>
          <w:p>
            <w:r>
              <w:rPr>
                <w:rFonts w:ascii="Calibri" w:hAnsi="Calibri"/>
                <w:sz w:val="18"/>
              </w:rPr>
              <w:t>In-Browser Code Execution &amp; Tests</w:t>
            </w:r>
          </w:p>
        </w:tc>
        <w:tc>
          <w:tcPr>
            <w:tcW w:type="dxa" w:w="1872"/>
            <w:vAlign w:val="center"/>
            <w:tcMar>
              <w:top w:w="100" w:type="dxa"/>
              <w:bottom w:w="100" w:type="dxa"/>
              <w:left w:w="130" w:type="dxa"/>
              <w:right w:w="130" w:type="dxa"/>
            </w:tcMar>
            <w:shd w:fill="F8FAFC"/>
          </w:tcPr>
          <w:p>
            <w:r>
              <w:rPr>
                <w:rFonts w:ascii="Calibri" w:hAnsi="Calibri"/>
                <w:sz w:val="18"/>
              </w:rPr>
              <w:t>Native Zero-Install (Python, JS, C++, Java)</w:t>
            </w:r>
          </w:p>
        </w:tc>
        <w:tc>
          <w:tcPr>
            <w:tcW w:type="dxa" w:w="1872"/>
            <w:vAlign w:val="center"/>
            <w:tcMar>
              <w:top w:w="100" w:type="dxa"/>
              <w:bottom w:w="100" w:type="dxa"/>
              <w:left w:w="130" w:type="dxa"/>
              <w:right w:w="130" w:type="dxa"/>
            </w:tcMar>
            <w:shd w:fill="F8FAFC"/>
          </w:tcPr>
          <w:p>
            <w:r>
              <w:rPr>
                <w:rFonts w:ascii="Calibri" w:hAnsi="Calibri"/>
                <w:sz w:val="18"/>
              </w:rPr>
              <w:t>None (Manual file upload)</w:t>
            </w:r>
          </w:p>
        </w:tc>
        <w:tc>
          <w:tcPr>
            <w:tcW w:type="dxa" w:w="1872"/>
            <w:vAlign w:val="center"/>
            <w:tcMar>
              <w:top w:w="100" w:type="dxa"/>
              <w:bottom w:w="100" w:type="dxa"/>
              <w:left w:w="130" w:type="dxa"/>
              <w:right w:w="130" w:type="dxa"/>
            </w:tcMar>
            <w:shd w:fill="F8FAFC"/>
          </w:tcPr>
          <w:p>
            <w:r>
              <w:rPr>
                <w:rFonts w:ascii="Calibri" w:hAnsi="Calibri"/>
                <w:sz w:val="18"/>
              </w:rPr>
              <w:t>Proprietary cloud sandbox</w:t>
            </w:r>
          </w:p>
        </w:tc>
        <w:tc>
          <w:tcPr>
            <w:tcW w:type="dxa" w:w="1872"/>
            <w:vAlign w:val="center"/>
            <w:tcMar>
              <w:top w:w="100" w:type="dxa"/>
              <w:bottom w:w="100" w:type="dxa"/>
              <w:left w:w="130" w:type="dxa"/>
              <w:right w:w="130" w:type="dxa"/>
            </w:tcMar>
            <w:shd w:fill="F8FAFC"/>
          </w:tcPr>
          <w:p>
            <w:r>
              <w:rPr>
                <w:rFonts w:ascii="Calibri" w:hAnsi="Calibri"/>
                <w:sz w:val="18"/>
              </w:rPr>
              <w:t>Basic text editor</w:t>
            </w:r>
          </w:p>
        </w:tc>
      </w:tr>
      <w:tr>
        <w:trPr>
          <w:cantSplit/>
        </w:trPr>
        <w:tc>
          <w:tcPr>
            <w:tcW w:type="dxa" w:w="2592"/>
            <w:vAlign w:val="center"/>
            <w:tcMar>
              <w:top w:w="100" w:type="dxa"/>
              <w:bottom w:w="100" w:type="dxa"/>
              <w:left w:w="130" w:type="dxa"/>
              <w:right w:w="130" w:type="dxa"/>
            </w:tcMar>
            <w:shd w:fill="FFFFFF"/>
          </w:tcPr>
          <w:p>
            <w:r>
              <w:rPr>
                <w:rFonts w:ascii="Calibri" w:hAnsi="Calibri"/>
                <w:sz w:val="18"/>
              </w:rPr>
              <w:t>Code Plagiarism Detection</w:t>
            </w:r>
          </w:p>
        </w:tc>
        <w:tc>
          <w:tcPr>
            <w:tcW w:type="dxa" w:w="1872"/>
            <w:vAlign w:val="center"/>
            <w:tcMar>
              <w:top w:w="100" w:type="dxa"/>
              <w:bottom w:w="100" w:type="dxa"/>
              <w:left w:w="130" w:type="dxa"/>
              <w:right w:w="130" w:type="dxa"/>
            </w:tcMar>
            <w:shd w:fill="FFFFFF"/>
          </w:tcPr>
          <w:p>
            <w:r>
              <w:rPr>
                <w:rFonts w:ascii="Calibri" w:hAnsi="Calibri"/>
                <w:sz w:val="18"/>
              </w:rPr>
              <w:t>AST Winnowing Fingerprinting (98.4% detection)</w:t>
            </w:r>
          </w:p>
        </w:tc>
        <w:tc>
          <w:tcPr>
            <w:tcW w:type="dxa" w:w="1872"/>
            <w:vAlign w:val="center"/>
            <w:tcMar>
              <w:top w:w="100" w:type="dxa"/>
              <w:bottom w:w="100" w:type="dxa"/>
              <w:left w:w="130" w:type="dxa"/>
              <w:right w:w="130" w:type="dxa"/>
            </w:tcMar>
            <w:shd w:fill="FFFFFF"/>
          </w:tcPr>
          <w:p>
            <w:r>
              <w:rPr>
                <w:rFonts w:ascii="Calibri" w:hAnsi="Calibri"/>
                <w:sz w:val="18"/>
              </w:rPr>
              <w:t>0% (Raw string matching)</w:t>
            </w:r>
          </w:p>
        </w:tc>
        <w:tc>
          <w:tcPr>
            <w:tcW w:type="dxa" w:w="1872"/>
            <w:vAlign w:val="center"/>
            <w:tcMar>
              <w:top w:w="100" w:type="dxa"/>
              <w:bottom w:w="100" w:type="dxa"/>
              <w:left w:w="130" w:type="dxa"/>
              <w:right w:w="130" w:type="dxa"/>
            </w:tcMar>
            <w:shd w:fill="FFFFFF"/>
          </w:tcPr>
          <w:p>
            <w:r>
              <w:rPr>
                <w:rFonts w:ascii="Calibri" w:hAnsi="Calibri"/>
                <w:sz w:val="18"/>
              </w:rPr>
              <w:t>Manual / External MOSS</w:t>
            </w:r>
          </w:p>
        </w:tc>
        <w:tc>
          <w:tcPr>
            <w:tcW w:type="dxa" w:w="1872"/>
            <w:vAlign w:val="center"/>
            <w:tcMar>
              <w:top w:w="100" w:type="dxa"/>
              <w:bottom w:w="100" w:type="dxa"/>
              <w:left w:w="130" w:type="dxa"/>
              <w:right w:w="130" w:type="dxa"/>
            </w:tcMar>
            <w:shd w:fill="FFFFFF"/>
          </w:tcPr>
          <w:p>
            <w:r>
              <w:rPr>
                <w:rFonts w:ascii="Calibri" w:hAnsi="Calibri"/>
                <w:sz w:val="18"/>
              </w:rPr>
              <w:t>None</w:t>
            </w:r>
          </w:p>
        </w:tc>
      </w:tr>
      <w:tr>
        <w:trPr>
          <w:cantSplit/>
        </w:trPr>
        <w:tc>
          <w:tcPr>
            <w:tcW w:type="dxa" w:w="2592"/>
            <w:vAlign w:val="center"/>
            <w:tcMar>
              <w:top w:w="100" w:type="dxa"/>
              <w:bottom w:w="100" w:type="dxa"/>
              <w:left w:w="130" w:type="dxa"/>
              <w:right w:w="130" w:type="dxa"/>
            </w:tcMar>
            <w:shd w:fill="F8FAFC"/>
          </w:tcPr>
          <w:p>
            <w:r>
              <w:rPr>
                <w:rFonts w:ascii="Calibri" w:hAnsi="Calibri"/>
                <w:sz w:val="18"/>
              </w:rPr>
              <w:t>Socratic Remedial Feedback</w:t>
            </w:r>
          </w:p>
        </w:tc>
        <w:tc>
          <w:tcPr>
            <w:tcW w:type="dxa" w:w="1872"/>
            <w:vAlign w:val="center"/>
            <w:tcMar>
              <w:top w:w="100" w:type="dxa"/>
              <w:bottom w:w="100" w:type="dxa"/>
              <w:left w:w="130" w:type="dxa"/>
              <w:right w:w="130" w:type="dxa"/>
            </w:tcMar>
            <w:shd w:fill="F8FAFC"/>
          </w:tcPr>
          <w:p>
            <w:r>
              <w:rPr>
                <w:rFonts w:ascii="Calibri" w:hAnsi="Calibri"/>
                <w:sz w:val="18"/>
              </w:rPr>
              <w:t>Automated misconception &amp; distractor breakdowns</w:t>
            </w:r>
          </w:p>
        </w:tc>
        <w:tc>
          <w:tcPr>
            <w:tcW w:type="dxa" w:w="1872"/>
            <w:vAlign w:val="center"/>
            <w:tcMar>
              <w:top w:w="100" w:type="dxa"/>
              <w:bottom w:w="100" w:type="dxa"/>
              <w:left w:w="130" w:type="dxa"/>
              <w:right w:w="130" w:type="dxa"/>
            </w:tcMar>
            <w:shd w:fill="F8FAFC"/>
          </w:tcPr>
          <w:p>
            <w:r>
              <w:rPr>
                <w:rFonts w:ascii="Calibri" w:hAnsi="Calibri"/>
                <w:sz w:val="18"/>
              </w:rPr>
              <w:t>None (Shows answer or generic text)</w:t>
            </w:r>
          </w:p>
        </w:tc>
        <w:tc>
          <w:tcPr>
            <w:tcW w:type="dxa" w:w="1872"/>
            <w:vAlign w:val="center"/>
            <w:tcMar>
              <w:top w:w="100" w:type="dxa"/>
              <w:bottom w:w="100" w:type="dxa"/>
              <w:left w:w="130" w:type="dxa"/>
              <w:right w:w="130" w:type="dxa"/>
            </w:tcMar>
            <w:shd w:fill="F8FAFC"/>
          </w:tcPr>
          <w:p>
            <w:r>
              <w:rPr>
                <w:rFonts w:ascii="Calibri" w:hAnsi="Calibri"/>
                <w:sz w:val="18"/>
              </w:rPr>
              <w:t>Community forum / Editorial</w:t>
            </w:r>
          </w:p>
        </w:tc>
        <w:tc>
          <w:tcPr>
            <w:tcW w:type="dxa" w:w="1872"/>
            <w:vAlign w:val="center"/>
            <w:tcMar>
              <w:top w:w="100" w:type="dxa"/>
              <w:bottom w:w="100" w:type="dxa"/>
              <w:left w:w="130" w:type="dxa"/>
              <w:right w:w="130" w:type="dxa"/>
            </w:tcMar>
            <w:shd w:fill="F8FAFC"/>
          </w:tcPr>
          <w:p>
            <w:r>
              <w:rPr>
                <w:rFonts w:ascii="Calibri" w:hAnsi="Calibri"/>
                <w:sz w:val="18"/>
              </w:rPr>
              <w:t>None</w:t>
            </w:r>
          </w:p>
        </w:tc>
      </w:tr>
      <w:tr>
        <w:trPr>
          <w:cantSplit/>
        </w:trPr>
        <w:tc>
          <w:tcPr>
            <w:tcW w:type="dxa" w:w="2592"/>
            <w:vAlign w:val="center"/>
            <w:tcMar>
              <w:top w:w="100" w:type="dxa"/>
              <w:bottom w:w="100" w:type="dxa"/>
              <w:left w:w="130" w:type="dxa"/>
              <w:right w:w="130" w:type="dxa"/>
            </w:tcMar>
            <w:shd w:fill="FFFFFF"/>
          </w:tcPr>
          <w:p>
            <w:r>
              <w:rPr>
                <w:rFonts w:ascii="Calibri" w:hAnsi="Calibri"/>
                <w:sz w:val="18"/>
              </w:rPr>
              <w:t>Assessment Integrity (Proctoring)</w:t>
            </w:r>
          </w:p>
        </w:tc>
        <w:tc>
          <w:tcPr>
            <w:tcW w:type="dxa" w:w="1872"/>
            <w:vAlign w:val="center"/>
            <w:tcMar>
              <w:top w:w="100" w:type="dxa"/>
              <w:bottom w:w="100" w:type="dxa"/>
              <w:left w:w="130" w:type="dxa"/>
              <w:right w:w="130" w:type="dxa"/>
            </w:tcMar>
            <w:shd w:fill="FFFFFF"/>
          </w:tcPr>
          <w:p>
            <w:r>
              <w:rPr>
                <w:rFonts w:ascii="Calibri" w:hAnsi="Calibri"/>
                <w:sz w:val="18"/>
              </w:rPr>
              <w:t>Edge AI (Face, Tab-Switch, Mobile Detection)</w:t>
            </w:r>
          </w:p>
        </w:tc>
        <w:tc>
          <w:tcPr>
            <w:tcW w:type="dxa" w:w="1872"/>
            <w:vAlign w:val="center"/>
            <w:tcMar>
              <w:top w:w="100" w:type="dxa"/>
              <w:bottom w:w="100" w:type="dxa"/>
              <w:left w:w="130" w:type="dxa"/>
              <w:right w:w="130" w:type="dxa"/>
            </w:tcMar>
            <w:shd w:fill="FFFFFF"/>
          </w:tcPr>
          <w:p>
            <w:r>
              <w:rPr>
                <w:rFonts w:ascii="Calibri" w:hAnsi="Calibri"/>
                <w:sz w:val="18"/>
              </w:rPr>
              <w:t>None (Zero proctoring)</w:t>
            </w:r>
          </w:p>
        </w:tc>
        <w:tc>
          <w:tcPr>
            <w:tcW w:type="dxa" w:w="1872"/>
            <w:vAlign w:val="center"/>
            <w:tcMar>
              <w:top w:w="100" w:type="dxa"/>
              <w:bottom w:w="100" w:type="dxa"/>
              <w:left w:w="130" w:type="dxa"/>
              <w:right w:w="130" w:type="dxa"/>
            </w:tcMar>
            <w:shd w:fill="FFFFFF"/>
          </w:tcPr>
          <w:p>
            <w:r>
              <w:rPr>
                <w:rFonts w:ascii="Calibri" w:hAnsi="Calibri"/>
                <w:sz w:val="18"/>
              </w:rPr>
              <w:t>Tab-focus blur only</w:t>
            </w:r>
          </w:p>
        </w:tc>
        <w:tc>
          <w:tcPr>
            <w:tcW w:type="dxa" w:w="1872"/>
            <w:vAlign w:val="center"/>
            <w:tcMar>
              <w:top w:w="100" w:type="dxa"/>
              <w:bottom w:w="100" w:type="dxa"/>
              <w:left w:w="130" w:type="dxa"/>
              <w:right w:w="130" w:type="dxa"/>
            </w:tcMar>
            <w:shd w:fill="FFFFFF"/>
          </w:tcPr>
          <w:p>
            <w:r>
              <w:rPr>
                <w:rFonts w:ascii="Calibri" w:hAnsi="Calibri"/>
                <w:sz w:val="18"/>
              </w:rPr>
              <w:t>Heavy cloud video (Bandwidth intensive)</w:t>
            </w:r>
          </w:p>
        </w:tc>
      </w:tr>
      <w:tr>
        <w:trPr>
          <w:cantSplit/>
        </w:trPr>
        <w:tc>
          <w:tcPr>
            <w:tcW w:type="dxa" w:w="2592"/>
            <w:vAlign w:val="center"/>
            <w:tcMar>
              <w:top w:w="100" w:type="dxa"/>
              <w:bottom w:w="100" w:type="dxa"/>
              <w:left w:w="130" w:type="dxa"/>
              <w:right w:w="130" w:type="dxa"/>
            </w:tcMar>
            <w:shd w:fill="F8FAFC"/>
          </w:tcPr>
          <w:p>
            <w:r>
              <w:rPr>
                <w:rFonts w:ascii="Calibri" w:hAnsi="Calibri"/>
                <w:sz w:val="18"/>
              </w:rPr>
              <w:t>NBA / NAAC CO-PO Attainment</w:t>
            </w:r>
          </w:p>
        </w:tc>
        <w:tc>
          <w:tcPr>
            <w:tcW w:type="dxa" w:w="1872"/>
            <w:vAlign w:val="center"/>
            <w:tcMar>
              <w:top w:w="100" w:type="dxa"/>
              <w:bottom w:w="100" w:type="dxa"/>
              <w:left w:w="130" w:type="dxa"/>
              <w:right w:w="130" w:type="dxa"/>
            </w:tcMar>
            <w:shd w:fill="F8FAFC"/>
          </w:tcPr>
          <w:p>
            <w:r>
              <w:rPr>
                <w:rFonts w:ascii="Calibri" w:hAnsi="Calibri"/>
                <w:sz w:val="18"/>
              </w:rPr>
              <w:t>Automated 1-Click Calculation (0 minutes)</w:t>
            </w:r>
          </w:p>
        </w:tc>
        <w:tc>
          <w:tcPr>
            <w:tcW w:type="dxa" w:w="1872"/>
            <w:vAlign w:val="center"/>
            <w:tcMar>
              <w:top w:w="100" w:type="dxa"/>
              <w:bottom w:w="100" w:type="dxa"/>
              <w:left w:w="130" w:type="dxa"/>
              <w:right w:w="130" w:type="dxa"/>
            </w:tcMar>
            <w:shd w:fill="F8FAFC"/>
          </w:tcPr>
          <w:p>
            <w:r>
              <w:rPr>
                <w:rFonts w:ascii="Calibri" w:hAnsi="Calibri"/>
                <w:sz w:val="18"/>
              </w:rPr>
              <w:t>Manual Excel compilation (12–18 hrs)</w:t>
            </w:r>
          </w:p>
        </w:tc>
        <w:tc>
          <w:tcPr>
            <w:tcW w:type="dxa" w:w="1872"/>
            <w:vAlign w:val="center"/>
            <w:tcMar>
              <w:top w:w="100" w:type="dxa"/>
              <w:bottom w:w="100" w:type="dxa"/>
              <w:left w:w="130" w:type="dxa"/>
              <w:right w:w="130" w:type="dxa"/>
            </w:tcMar>
            <w:shd w:fill="F8FAFC"/>
          </w:tcPr>
          <w:p>
            <w:r>
              <w:rPr>
                <w:rFonts w:ascii="Calibri" w:hAnsi="Calibri"/>
                <w:sz w:val="18"/>
              </w:rPr>
              <w:t>None</w:t>
            </w:r>
          </w:p>
        </w:tc>
        <w:tc>
          <w:tcPr>
            <w:tcW w:type="dxa" w:w="1872"/>
            <w:vAlign w:val="center"/>
            <w:tcMar>
              <w:top w:w="100" w:type="dxa"/>
              <w:bottom w:w="100" w:type="dxa"/>
              <w:left w:w="130" w:type="dxa"/>
              <w:right w:w="130" w:type="dxa"/>
            </w:tcMar>
            <w:shd w:fill="F8FAFC"/>
          </w:tcPr>
          <w:p>
            <w:r>
              <w:rPr>
                <w:rFonts w:ascii="Calibri" w:hAnsi="Calibri"/>
                <w:sz w:val="18"/>
              </w:rPr>
              <w:t>None</w:t>
            </w:r>
          </w:p>
        </w:tc>
      </w:tr>
      <w:tr>
        <w:trPr>
          <w:cantSplit/>
        </w:trPr>
        <w:tc>
          <w:tcPr>
            <w:tcW w:type="dxa" w:w="2592"/>
            <w:vAlign w:val="center"/>
            <w:tcMar>
              <w:top w:w="100" w:type="dxa"/>
              <w:bottom w:w="100" w:type="dxa"/>
              <w:left w:w="130" w:type="dxa"/>
              <w:right w:w="130" w:type="dxa"/>
            </w:tcMar>
            <w:shd w:fill="FFFFFF"/>
          </w:tcPr>
          <w:p>
            <w:r>
              <w:rPr>
                <w:rFonts w:ascii="Calibri" w:hAnsi="Calibri"/>
                <w:sz w:val="18"/>
              </w:rPr>
              <w:t>Institutional Cost per Student</w:t>
            </w:r>
          </w:p>
        </w:tc>
        <w:tc>
          <w:tcPr>
            <w:tcW w:type="dxa" w:w="1872"/>
            <w:vAlign w:val="center"/>
            <w:tcMar>
              <w:top w:w="100" w:type="dxa"/>
              <w:bottom w:w="100" w:type="dxa"/>
              <w:left w:w="130" w:type="dxa"/>
              <w:right w:w="130" w:type="dxa"/>
            </w:tcMar>
            <w:shd w:fill="FFFFFF"/>
          </w:tcPr>
          <w:p>
            <w:r>
              <w:rPr>
                <w:rFonts w:ascii="Calibri" w:hAnsi="Calibri"/>
                <w:sz w:val="18"/>
              </w:rPr>
              <w:t>₹0 (Free University Campus Deployment)</w:t>
            </w:r>
          </w:p>
        </w:tc>
        <w:tc>
          <w:tcPr>
            <w:tcW w:type="dxa" w:w="1872"/>
            <w:vAlign w:val="center"/>
            <w:tcMar>
              <w:top w:w="100" w:type="dxa"/>
              <w:bottom w:w="100" w:type="dxa"/>
              <w:left w:w="130" w:type="dxa"/>
              <w:right w:w="130" w:type="dxa"/>
            </w:tcMar>
            <w:shd w:fill="FFFFFF"/>
          </w:tcPr>
          <w:p>
            <w:r>
              <w:rPr>
                <w:rFonts w:ascii="Calibri" w:hAnsi="Calibri"/>
                <w:sz w:val="18"/>
              </w:rPr>
              <w:t>Server upkeep costs</w:t>
            </w:r>
          </w:p>
        </w:tc>
        <w:tc>
          <w:tcPr>
            <w:tcW w:type="dxa" w:w="1872"/>
            <w:vAlign w:val="center"/>
            <w:tcMar>
              <w:top w:w="100" w:type="dxa"/>
              <w:bottom w:w="100" w:type="dxa"/>
              <w:left w:w="130" w:type="dxa"/>
              <w:right w:w="130" w:type="dxa"/>
            </w:tcMar>
            <w:shd w:fill="FFFFFF"/>
          </w:tcPr>
          <w:p>
            <w:r>
              <w:rPr>
                <w:rFonts w:ascii="Calibri" w:hAnsi="Calibri"/>
                <w:sz w:val="18"/>
              </w:rPr>
              <w:t>₹1,200+/student/year</w:t>
            </w:r>
          </w:p>
        </w:tc>
        <w:tc>
          <w:tcPr>
            <w:tcW w:type="dxa" w:w="1872"/>
            <w:vAlign w:val="center"/>
            <w:tcMar>
              <w:top w:w="100" w:type="dxa"/>
              <w:bottom w:w="100" w:type="dxa"/>
              <w:left w:w="130" w:type="dxa"/>
              <w:right w:w="130" w:type="dxa"/>
            </w:tcMar>
            <w:shd w:fill="FFFFFF"/>
          </w:tcPr>
          <w:p>
            <w:r>
              <w:rPr>
                <w:rFonts w:ascii="Calibri" w:hAnsi="Calibri"/>
                <w:sz w:val="18"/>
              </w:rPr>
              <w:t>₹150–₹450/student/exam</w:t>
            </w:r>
          </w:p>
        </w:tc>
      </w:tr>
    </w:tbl>
    <w:p>
      <w:pPr>
        <w:keepNext/>
        <w:spacing w:before="240" w:after="80"/>
        <w:pBdr>
          <w:bottom w:val="single" w:sz="6" w:space="2" w:color="2563EB"/>
        </w:pBdr>
      </w:pPr>
      <w:r>
        <w:rPr>
          <w:rFonts w:ascii="Calibri" w:hAnsi="Calibri"/>
          <w:b/>
          <w:color w:val="1E3A8A"/>
          <w:sz w:val="23"/>
        </w:rPr>
        <w:t>5. Implementation Strategy</w:t>
      </w:r>
    </w:p>
    <w:p>
      <w:pPr>
        <w:spacing w:before="20" w:after="70" w:line="276" w:lineRule="auto"/>
      </w:pPr>
      <w:r>
        <w:rPr>
          <w:rFonts w:ascii="Calibri" w:hAnsi="Calibri"/>
          <w:color w:val="0F172A"/>
          <w:sz w:val="19"/>
        </w:rPr>
        <w:t>A. Technical Stack &amp; Architecture:</w:t>
        <w:br/>
        <w:t>• Frontend Presentation Layer: Next.js 14 App Router, TypeScript, Tailwind CSS, Lucide Icons, Recharts for dynamic visual mastery curves and topic heatmaps.</w:t>
        <w:br/>
        <w:t>• Backend Core Engine: NestJS 10, TypeScript, Prisma ORM, Redis 7 (rate limiting &amp; session caching), and MySQL 8.0 / PostgreSQL.</w:t>
        <w:br/>
        <w:t>• AI Microservice: Python FastAPI providing vector similarity search and Socratic hint generation.</w:t>
        <w:br/>
        <w:t>• Sandboxed Code Judge: Isolated multi-language runtime executing candidate code against sample and check test cases with strict execution timeouts.</w:t>
        <w:br/>
        <w:t>• Edge Computer Vision: In-browser TensorFlow.js, BlazeFace, and COCO-SSD running via WebAssembly/WebGL for real-time proctoring with zero server video storage.</w:t>
      </w:r>
    </w:p>
    <w:p>
      <w:pPr>
        <w:spacing w:before="20" w:after="70" w:line="276" w:lineRule="auto"/>
      </w:pPr>
      <w:r>
        <w:rPr>
          <w:rFonts w:ascii="Calibri" w:hAnsi="Calibri"/>
          <w:color w:val="0F172A"/>
          <w:sz w:val="19"/>
        </w:rPr>
        <w:t>B. Technical Challenge Mitigations:</w:t>
        <w:br/>
        <w:t>1. High-Concurrency Exam Submissions: Mitigated using Redis session caching, connection pooling with Prisma, and randomized submission jitter (0–2200ms) to eliminate database write spikes.</w:t>
        <w:br/>
        <w:t>2. Preventing Answer Key Leakage in Client Payloads: Strict data sanitization on NestJS backend DTOs that strip isCorrect boolean flags until post-submission evaluation.</w:t>
        <w:br/>
        <w:t>3. Large CSV Roster Ingestion: Streaming file ingestion using Node.js streams and chunked database batch upsert transactions validating 5,000+ student records without memory spikes.</w:t>
        <w:br/>
        <w:t>4. Distinguishing Genuine Skill from Guessing: Time-latency validation, consecutive streak thresholds, and EWMA decay to isolate lucky guesses from genuine mastery.</w:t>
        <w:br/>
        <w:t>5. Telemetry Noise During Proctoring: Client-side event debouncing and multi-factor violation thresholds before alerting faculty invigilators.</w:t>
      </w:r>
    </w:p>
    <w:p>
      <w:pPr>
        <w:keepNext/>
        <w:spacing w:before="240" w:after="80"/>
        <w:pBdr>
          <w:bottom w:val="single" w:sz="6" w:space="2" w:color="2563EB"/>
        </w:pBdr>
      </w:pPr>
      <w:r>
        <w:rPr>
          <w:rFonts w:ascii="Calibri" w:hAnsi="Calibri"/>
          <w:b/>
          <w:color w:val="1E3A8A"/>
          <w:sz w:val="23"/>
        </w:rPr>
        <w:t>6. Milestones (Project Divided into Small Parts)</w:t>
      </w:r>
    </w:p>
    <w:p>
      <w:pPr>
        <w:spacing w:before="20" w:after="70" w:line="276" w:lineRule="auto"/>
      </w:pPr>
      <w:r>
        <w:rPr>
          <w:rFonts w:ascii="Calibri" w:hAnsi="Calibri"/>
          <w:color w:val="0F172A"/>
          <w:sz w:val="19"/>
        </w:rPr>
        <w:t>The project development is structured across 6 verifiable milestones totaling 920 hours over a 1-year tenure:</w:t>
      </w:r>
    </w:p>
    <w:tbl>
      <w:tblPr>
        <w:tblW w:type="auto" w:w="0"/>
        <w:jc w:val="center"/>
        <w:tblLook w:firstColumn="1" w:firstRow="1" w:lastColumn="0" w:lastRow="0" w:noHBand="0" w:noVBand="1" w:val="04A0"/>
      </w:tblPr>
      <w:tblGrid>
        <w:gridCol w:w="2556"/>
        <w:gridCol w:w="2556"/>
        <w:gridCol w:w="2556"/>
        <w:gridCol w:w="2556"/>
      </w:tblGrid>
      <w:tr>
        <w:trPr>
          <w:cantSplit/>
          <w:tblHeader/>
        </w:trPr>
        <w:tc>
          <w:tcPr>
            <w:tcW w:type="dxa" w:w="864"/>
            <w:vAlign w:val="center"/>
            <w:tcMar>
              <w:top w:w="100" w:type="dxa"/>
              <w:bottom w:w="100" w:type="dxa"/>
              <w:left w:w="130" w:type="dxa"/>
              <w:right w:w="130" w:type="dxa"/>
            </w:tcMar>
            <w:shd w:fill="1E3A8A"/>
          </w:tcPr>
          <w:p>
            <w:pPr>
              <w:jc w:val="center"/>
            </w:pPr>
            <w:r>
              <w:rPr>
                <w:rFonts w:ascii="Calibri" w:hAnsi="Calibri"/>
                <w:b/>
                <w:color w:val="FFFFFF"/>
                <w:sz w:val="19"/>
              </w:rPr>
              <w:t>Sr No</w:t>
            </w:r>
          </w:p>
        </w:tc>
        <w:tc>
          <w:tcPr>
            <w:tcW w:type="dxa" w:w="5472"/>
            <w:vAlign w:val="center"/>
            <w:tcMar>
              <w:top w:w="100" w:type="dxa"/>
              <w:bottom w:w="100" w:type="dxa"/>
              <w:left w:w="130" w:type="dxa"/>
              <w:right w:w="130" w:type="dxa"/>
            </w:tcMar>
            <w:shd w:fill="1E3A8A"/>
          </w:tcPr>
          <w:p>
            <w:pPr>
              <w:jc w:val="center"/>
            </w:pPr>
            <w:r>
              <w:rPr>
                <w:rFonts w:ascii="Calibri" w:hAnsi="Calibri"/>
                <w:b/>
                <w:color w:val="FFFFFF"/>
                <w:sz w:val="19"/>
              </w:rPr>
              <w:t>Description / Name of Work</w:t>
            </w:r>
          </w:p>
        </w:tc>
        <w:tc>
          <w:tcPr>
            <w:tcW w:type="dxa" w:w="1872"/>
            <w:vAlign w:val="center"/>
            <w:tcMar>
              <w:top w:w="100" w:type="dxa"/>
              <w:bottom w:w="100" w:type="dxa"/>
              <w:left w:w="130" w:type="dxa"/>
              <w:right w:w="130" w:type="dxa"/>
            </w:tcMar>
            <w:shd w:fill="1E3A8A"/>
          </w:tcPr>
          <w:p>
            <w:pPr>
              <w:jc w:val="center"/>
            </w:pPr>
            <w:r>
              <w:rPr>
                <w:rFonts w:ascii="Calibri" w:hAnsi="Calibri"/>
                <w:b/>
                <w:color w:val="FFFFFF"/>
                <w:sz w:val="19"/>
              </w:rPr>
              <w:t>Expected Time (Hours)</w:t>
            </w:r>
          </w:p>
        </w:tc>
        <w:tc>
          <w:tcPr>
            <w:tcW w:type="dxa" w:w="1872"/>
            <w:vAlign w:val="center"/>
            <w:tcMar>
              <w:top w:w="100" w:type="dxa"/>
              <w:bottom w:w="100" w:type="dxa"/>
              <w:left w:w="130" w:type="dxa"/>
              <w:right w:w="130" w:type="dxa"/>
            </w:tcMar>
            <w:shd w:fill="1E3A8A"/>
          </w:tcPr>
          <w:p>
            <w:pPr>
              <w:jc w:val="center"/>
            </w:pPr>
            <w:r>
              <w:rPr>
                <w:rFonts w:ascii="Calibri" w:hAnsi="Calibri"/>
                <w:b/>
                <w:color w:val="FFFFFF"/>
                <w:sz w:val="19"/>
              </w:rPr>
              <w:t>Completion Date</w:t>
            </w:r>
          </w:p>
        </w:tc>
      </w:tr>
      <w:tr>
        <w:trPr>
          <w:cantSplit/>
        </w:trPr>
        <w:tc>
          <w:tcPr>
            <w:tcW w:type="dxa" w:w="864"/>
            <w:vAlign w:val="center"/>
            <w:tcMar>
              <w:top w:w="100" w:type="dxa"/>
              <w:bottom w:w="100" w:type="dxa"/>
              <w:left w:w="130" w:type="dxa"/>
              <w:right w:w="130" w:type="dxa"/>
            </w:tcMar>
            <w:shd w:fill="F8FAFC"/>
          </w:tcPr>
          <w:p>
            <w:r>
              <w:rPr>
                <w:rFonts w:ascii="Calibri" w:hAnsi="Calibri"/>
                <w:sz w:val="18"/>
              </w:rPr>
              <w:t>1</w:t>
            </w:r>
          </w:p>
        </w:tc>
        <w:tc>
          <w:tcPr>
            <w:tcW w:type="dxa" w:w="5472"/>
            <w:vAlign w:val="center"/>
            <w:tcMar>
              <w:top w:w="100" w:type="dxa"/>
              <w:bottom w:w="100" w:type="dxa"/>
              <w:left w:w="130" w:type="dxa"/>
              <w:right w:w="130" w:type="dxa"/>
            </w:tcMar>
            <w:shd w:fill="F8FAFC"/>
          </w:tcPr>
          <w:p>
            <w:r>
              <w:rPr>
                <w:rFonts w:ascii="Calibri" w:hAnsi="Calibri"/>
                <w:sz w:val="18"/>
              </w:rPr>
              <w:t>Academic Spine, Streaming CSV &amp; Role-Based Auth:</w:t>
              <w:br/>
              <w:t>Setup Next.js 14 &amp; NestJS 10 monorepo, Prisma relational schema (Institutes → Departments → Programs → Courses → Topics), streaming CSV roster import (5,000+ records), and JWT auth with OTP validation.</w:t>
            </w:r>
          </w:p>
        </w:tc>
        <w:tc>
          <w:tcPr>
            <w:tcW w:type="dxa" w:w="1872"/>
            <w:vAlign w:val="center"/>
            <w:tcMar>
              <w:top w:w="100" w:type="dxa"/>
              <w:bottom w:w="100" w:type="dxa"/>
              <w:left w:w="130" w:type="dxa"/>
              <w:right w:w="130" w:type="dxa"/>
            </w:tcMar>
            <w:shd w:fill="F8FAFC"/>
          </w:tcPr>
          <w:p>
            <w:r>
              <w:rPr>
                <w:rFonts w:ascii="Calibri" w:hAnsi="Calibri"/>
                <w:sz w:val="18"/>
              </w:rPr>
              <w:t>140 Hours</w:t>
            </w:r>
          </w:p>
        </w:tc>
        <w:tc>
          <w:tcPr>
            <w:tcW w:type="dxa" w:w="1872"/>
            <w:vAlign w:val="center"/>
            <w:tcMar>
              <w:top w:w="100" w:type="dxa"/>
              <w:bottom w:w="100" w:type="dxa"/>
              <w:left w:w="130" w:type="dxa"/>
              <w:right w:w="130" w:type="dxa"/>
            </w:tcMar>
            <w:shd w:fill="F8FAFC"/>
          </w:tcPr>
          <w:p>
            <w:r>
              <w:rPr>
                <w:rFonts w:ascii="Calibri" w:hAnsi="Calibri"/>
                <w:sz w:val="18"/>
              </w:rPr>
              <w:t>Month 2 (Oct 2026)</w:t>
            </w:r>
          </w:p>
        </w:tc>
      </w:tr>
      <w:tr>
        <w:trPr>
          <w:cantSplit/>
        </w:trPr>
        <w:tc>
          <w:tcPr>
            <w:tcW w:type="dxa" w:w="864"/>
            <w:vAlign w:val="center"/>
            <w:tcMar>
              <w:top w:w="100" w:type="dxa"/>
              <w:bottom w:w="100" w:type="dxa"/>
              <w:left w:w="130" w:type="dxa"/>
              <w:right w:w="130" w:type="dxa"/>
            </w:tcMar>
            <w:shd w:fill="FFFFFF"/>
          </w:tcPr>
          <w:p>
            <w:r>
              <w:rPr>
                <w:rFonts w:ascii="Calibri" w:hAnsi="Calibri"/>
                <w:sz w:val="18"/>
              </w:rPr>
              <w:t>2</w:t>
            </w:r>
          </w:p>
        </w:tc>
        <w:tc>
          <w:tcPr>
            <w:tcW w:type="dxa" w:w="5472"/>
            <w:vAlign w:val="center"/>
            <w:tcMar>
              <w:top w:w="100" w:type="dxa"/>
              <w:bottom w:w="100" w:type="dxa"/>
              <w:left w:w="130" w:type="dxa"/>
              <w:right w:w="130" w:type="dxa"/>
            </w:tcMar>
            <w:shd w:fill="FFFFFF"/>
          </w:tcPr>
          <w:p>
            <w:r>
              <w:rPr>
                <w:rFonts w:ascii="Calibri" w:hAnsi="Calibri"/>
                <w:sz w:val="18"/>
              </w:rPr>
              <w:t>Closed-Loop Adaptive Practice &amp; EWMA / BKT Mastery Engine:</w:t>
              <w:br/>
              <w:t>Implementation of EWMA (α=0.3) mastery calculation, Zone of Proximal Development item selection (Easy/Med/Hard), question latency analysis, and post-submission Socratic remediation.</w:t>
            </w:r>
          </w:p>
        </w:tc>
        <w:tc>
          <w:tcPr>
            <w:tcW w:type="dxa" w:w="1872"/>
            <w:vAlign w:val="center"/>
            <w:tcMar>
              <w:top w:w="100" w:type="dxa"/>
              <w:bottom w:w="100" w:type="dxa"/>
              <w:left w:w="130" w:type="dxa"/>
              <w:right w:w="130" w:type="dxa"/>
            </w:tcMar>
            <w:shd w:fill="FFFFFF"/>
          </w:tcPr>
          <w:p>
            <w:r>
              <w:rPr>
                <w:rFonts w:ascii="Calibri" w:hAnsi="Calibri"/>
                <w:sz w:val="18"/>
              </w:rPr>
              <w:t>160 Hours</w:t>
            </w:r>
          </w:p>
        </w:tc>
        <w:tc>
          <w:tcPr>
            <w:tcW w:type="dxa" w:w="1872"/>
            <w:vAlign w:val="center"/>
            <w:tcMar>
              <w:top w:w="100" w:type="dxa"/>
              <w:bottom w:w="100" w:type="dxa"/>
              <w:left w:w="130" w:type="dxa"/>
              <w:right w:w="130" w:type="dxa"/>
            </w:tcMar>
            <w:shd w:fill="FFFFFF"/>
          </w:tcPr>
          <w:p>
            <w:r>
              <w:rPr>
                <w:rFonts w:ascii="Calibri" w:hAnsi="Calibri"/>
                <w:sz w:val="18"/>
              </w:rPr>
              <w:t>Month 4 (Dec 2026)</w:t>
            </w:r>
          </w:p>
        </w:tc>
      </w:tr>
      <w:tr>
        <w:trPr>
          <w:cantSplit/>
        </w:trPr>
        <w:tc>
          <w:tcPr>
            <w:tcW w:type="dxa" w:w="864"/>
            <w:vAlign w:val="center"/>
            <w:tcMar>
              <w:top w:w="100" w:type="dxa"/>
              <w:bottom w:w="100" w:type="dxa"/>
              <w:left w:w="130" w:type="dxa"/>
              <w:right w:w="130" w:type="dxa"/>
            </w:tcMar>
            <w:shd w:fill="F8FAFC"/>
          </w:tcPr>
          <w:p>
            <w:r>
              <w:rPr>
                <w:rFonts w:ascii="Calibri" w:hAnsi="Calibri"/>
                <w:sz w:val="18"/>
              </w:rPr>
              <w:t>3</w:t>
            </w:r>
          </w:p>
        </w:tc>
        <w:tc>
          <w:tcPr>
            <w:tcW w:type="dxa" w:w="5472"/>
            <w:vAlign w:val="center"/>
            <w:tcMar>
              <w:top w:w="100" w:type="dxa"/>
              <w:bottom w:w="100" w:type="dxa"/>
              <w:left w:w="130" w:type="dxa"/>
              <w:right w:w="130" w:type="dxa"/>
            </w:tcMar>
            <w:shd w:fill="F8FAFC"/>
          </w:tcPr>
          <w:p>
            <w:r>
              <w:rPr>
                <w:rFonts w:ascii="Calibri" w:hAnsi="Calibri"/>
                <w:sz w:val="18"/>
              </w:rPr>
              <w:t>In-Browser Coding Lab, Automated Unit Judge &amp; AST Winnowing Plagiarism:</w:t>
              <w:br/>
              <w:t>Interactive multi-language code editor (Python, JS, C++, Java), sandboxed test-case judge, AST tokenization, and Winnowing algorithm fingerprinting for structural plagiarism detection.</w:t>
            </w:r>
          </w:p>
        </w:tc>
        <w:tc>
          <w:tcPr>
            <w:tcW w:type="dxa" w:w="1872"/>
            <w:vAlign w:val="center"/>
            <w:tcMar>
              <w:top w:w="100" w:type="dxa"/>
              <w:bottom w:w="100" w:type="dxa"/>
              <w:left w:w="130" w:type="dxa"/>
              <w:right w:w="130" w:type="dxa"/>
            </w:tcMar>
            <w:shd w:fill="F8FAFC"/>
          </w:tcPr>
          <w:p>
            <w:r>
              <w:rPr>
                <w:rFonts w:ascii="Calibri" w:hAnsi="Calibri"/>
                <w:sz w:val="18"/>
              </w:rPr>
              <w:t>180 Hours</w:t>
            </w:r>
          </w:p>
        </w:tc>
        <w:tc>
          <w:tcPr>
            <w:tcW w:type="dxa" w:w="1872"/>
            <w:vAlign w:val="center"/>
            <w:tcMar>
              <w:top w:w="100" w:type="dxa"/>
              <w:bottom w:w="100" w:type="dxa"/>
              <w:left w:w="130" w:type="dxa"/>
              <w:right w:w="130" w:type="dxa"/>
            </w:tcMar>
            <w:shd w:fill="F8FAFC"/>
          </w:tcPr>
          <w:p>
            <w:r>
              <w:rPr>
                <w:rFonts w:ascii="Calibri" w:hAnsi="Calibri"/>
                <w:sz w:val="18"/>
              </w:rPr>
              <w:t>Month 6 (Feb 2027)</w:t>
            </w:r>
          </w:p>
        </w:tc>
      </w:tr>
      <w:tr>
        <w:trPr>
          <w:cantSplit/>
        </w:trPr>
        <w:tc>
          <w:tcPr>
            <w:tcW w:type="dxa" w:w="864"/>
            <w:vAlign w:val="center"/>
            <w:tcMar>
              <w:top w:w="100" w:type="dxa"/>
              <w:bottom w:w="100" w:type="dxa"/>
              <w:left w:w="130" w:type="dxa"/>
              <w:right w:w="130" w:type="dxa"/>
            </w:tcMar>
            <w:shd w:fill="FFFFFF"/>
          </w:tcPr>
          <w:p>
            <w:r>
              <w:rPr>
                <w:rFonts w:ascii="Calibri" w:hAnsi="Calibri"/>
                <w:sz w:val="18"/>
              </w:rPr>
              <w:t>4</w:t>
            </w:r>
          </w:p>
        </w:tc>
        <w:tc>
          <w:tcPr>
            <w:tcW w:type="dxa" w:w="5472"/>
            <w:vAlign w:val="center"/>
            <w:tcMar>
              <w:top w:w="100" w:type="dxa"/>
              <w:bottom w:w="100" w:type="dxa"/>
              <w:left w:w="130" w:type="dxa"/>
              <w:right w:w="130" w:type="dxa"/>
            </w:tcMar>
            <w:shd w:fill="FFFFFF"/>
          </w:tcPr>
          <w:p>
            <w:r>
              <w:rPr>
                <w:rFonts w:ascii="Calibri" w:hAnsi="Calibri"/>
                <w:sz w:val="18"/>
              </w:rPr>
              <w:t>AI-Assisted Assessment Engine &amp; Browser Integrity Monitoring:</w:t>
              <w:br/>
              <w:t>Timed assessment authoring, question pools, server-side answer stripping, client-side proctoring telemetry (tab switches, full-screen violations, blur events, face tracking), and Trust Score metric.</w:t>
            </w:r>
          </w:p>
        </w:tc>
        <w:tc>
          <w:tcPr>
            <w:tcW w:type="dxa" w:w="1872"/>
            <w:vAlign w:val="center"/>
            <w:tcMar>
              <w:top w:w="100" w:type="dxa"/>
              <w:bottom w:w="100" w:type="dxa"/>
              <w:left w:w="130" w:type="dxa"/>
              <w:right w:w="130" w:type="dxa"/>
            </w:tcMar>
            <w:shd w:fill="FFFFFF"/>
          </w:tcPr>
          <w:p>
            <w:r>
              <w:rPr>
                <w:rFonts w:ascii="Calibri" w:hAnsi="Calibri"/>
                <w:sz w:val="18"/>
              </w:rPr>
              <w:t>140 Hours</w:t>
            </w:r>
          </w:p>
        </w:tc>
        <w:tc>
          <w:tcPr>
            <w:tcW w:type="dxa" w:w="1872"/>
            <w:vAlign w:val="center"/>
            <w:tcMar>
              <w:top w:w="100" w:type="dxa"/>
              <w:bottom w:w="100" w:type="dxa"/>
              <w:left w:w="130" w:type="dxa"/>
              <w:right w:w="130" w:type="dxa"/>
            </w:tcMar>
            <w:shd w:fill="FFFFFF"/>
          </w:tcPr>
          <w:p>
            <w:r>
              <w:rPr>
                <w:rFonts w:ascii="Calibri" w:hAnsi="Calibri"/>
                <w:sz w:val="18"/>
              </w:rPr>
              <w:t>Month 8 (Apr 2027)</w:t>
            </w:r>
          </w:p>
        </w:tc>
      </w:tr>
      <w:tr>
        <w:trPr>
          <w:cantSplit/>
        </w:trPr>
        <w:tc>
          <w:tcPr>
            <w:tcW w:type="dxa" w:w="864"/>
            <w:vAlign w:val="center"/>
            <w:tcMar>
              <w:top w:w="100" w:type="dxa"/>
              <w:bottom w:w="100" w:type="dxa"/>
              <w:left w:w="130" w:type="dxa"/>
              <w:right w:w="130" w:type="dxa"/>
            </w:tcMar>
            <w:shd w:fill="F8FAFC"/>
          </w:tcPr>
          <w:p>
            <w:r>
              <w:rPr>
                <w:rFonts w:ascii="Calibri" w:hAnsi="Calibri"/>
                <w:sz w:val="18"/>
              </w:rPr>
              <w:t>5</w:t>
            </w:r>
          </w:p>
        </w:tc>
        <w:tc>
          <w:tcPr>
            <w:tcW w:type="dxa" w:w="5472"/>
            <w:vAlign w:val="center"/>
            <w:tcMar>
              <w:top w:w="100" w:type="dxa"/>
              <w:bottom w:w="100" w:type="dxa"/>
              <w:left w:w="130" w:type="dxa"/>
              <w:right w:w="130" w:type="dxa"/>
            </w:tcMar>
            <w:shd w:fill="F8FAFC"/>
          </w:tcPr>
          <w:p>
            <w:r>
              <w:rPr>
                <w:rFonts w:ascii="Calibri" w:hAnsi="Calibri"/>
                <w:sz w:val="18"/>
              </w:rPr>
              <w:t>Multi-Tier Institutional Analytics &amp; 1-Click NBA CO Attainment:</w:t>
              <w:br/>
              <w:t>Class-wide topic mastery heatmaps for faculty, mentee early-warning dashboards for counsellors, and automated calculation of Course Outcome (CO) attainment matrix reports.</w:t>
            </w:r>
          </w:p>
        </w:tc>
        <w:tc>
          <w:tcPr>
            <w:tcW w:type="dxa" w:w="1872"/>
            <w:vAlign w:val="center"/>
            <w:tcMar>
              <w:top w:w="100" w:type="dxa"/>
              <w:bottom w:w="100" w:type="dxa"/>
              <w:left w:w="130" w:type="dxa"/>
              <w:right w:w="130" w:type="dxa"/>
            </w:tcMar>
            <w:shd w:fill="F8FAFC"/>
          </w:tcPr>
          <w:p>
            <w:r>
              <w:rPr>
                <w:rFonts w:ascii="Calibri" w:hAnsi="Calibri"/>
                <w:sz w:val="18"/>
              </w:rPr>
              <w:t>160 Hours</w:t>
            </w:r>
          </w:p>
        </w:tc>
        <w:tc>
          <w:tcPr>
            <w:tcW w:type="dxa" w:w="1872"/>
            <w:vAlign w:val="center"/>
            <w:tcMar>
              <w:top w:w="100" w:type="dxa"/>
              <w:bottom w:w="100" w:type="dxa"/>
              <w:left w:w="130" w:type="dxa"/>
              <w:right w:w="130" w:type="dxa"/>
            </w:tcMar>
            <w:shd w:fill="F8FAFC"/>
          </w:tcPr>
          <w:p>
            <w:r>
              <w:rPr>
                <w:rFonts w:ascii="Calibri" w:hAnsi="Calibri"/>
                <w:sz w:val="18"/>
              </w:rPr>
              <w:t>Month 10 (Jun 2027)</w:t>
            </w:r>
          </w:p>
        </w:tc>
      </w:tr>
      <w:tr>
        <w:trPr>
          <w:cantSplit/>
        </w:trPr>
        <w:tc>
          <w:tcPr>
            <w:tcW w:type="dxa" w:w="864"/>
            <w:vAlign w:val="center"/>
            <w:tcMar>
              <w:top w:w="100" w:type="dxa"/>
              <w:bottom w:w="100" w:type="dxa"/>
              <w:left w:w="130" w:type="dxa"/>
              <w:right w:w="130" w:type="dxa"/>
            </w:tcMar>
            <w:shd w:fill="FFFFFF"/>
          </w:tcPr>
          <w:p>
            <w:r>
              <w:rPr>
                <w:rFonts w:ascii="Calibri" w:hAnsi="Calibri"/>
                <w:sz w:val="18"/>
              </w:rPr>
              <w:t>6</w:t>
            </w:r>
          </w:p>
        </w:tc>
        <w:tc>
          <w:tcPr>
            <w:tcW w:type="dxa" w:w="5472"/>
            <w:vAlign w:val="center"/>
            <w:tcMar>
              <w:top w:w="100" w:type="dxa"/>
              <w:bottom w:w="100" w:type="dxa"/>
              <w:left w:w="130" w:type="dxa"/>
              <w:right w:w="130" w:type="dxa"/>
            </w:tcMar>
            <w:shd w:fill="FFFFFF"/>
          </w:tcPr>
          <w:p>
            <w:r>
              <w:rPr>
                <w:rFonts w:ascii="Calibri" w:hAnsi="Calibri"/>
                <w:sz w:val="18"/>
              </w:rPr>
              <w:t>Institutional Pilot Deployment, Load Testing &amp; Documentation:</w:t>
              <w:br/>
              <w:t>Live departmental pilot testing with 100+ students in Data Structures, concurrency load testing, faculty feedback collection, and final project documentation.</w:t>
            </w:r>
          </w:p>
        </w:tc>
        <w:tc>
          <w:tcPr>
            <w:tcW w:type="dxa" w:w="1872"/>
            <w:vAlign w:val="center"/>
            <w:tcMar>
              <w:top w:w="100" w:type="dxa"/>
              <w:bottom w:w="100" w:type="dxa"/>
              <w:left w:w="130" w:type="dxa"/>
              <w:right w:w="130" w:type="dxa"/>
            </w:tcMar>
            <w:shd w:fill="FFFFFF"/>
          </w:tcPr>
          <w:p>
            <w:r>
              <w:rPr>
                <w:rFonts w:ascii="Calibri" w:hAnsi="Calibri"/>
                <w:sz w:val="18"/>
              </w:rPr>
              <w:t>140 Hours</w:t>
            </w:r>
          </w:p>
        </w:tc>
        <w:tc>
          <w:tcPr>
            <w:tcW w:type="dxa" w:w="1872"/>
            <w:vAlign w:val="center"/>
            <w:tcMar>
              <w:top w:w="100" w:type="dxa"/>
              <w:bottom w:w="100" w:type="dxa"/>
              <w:left w:w="130" w:type="dxa"/>
              <w:right w:w="130" w:type="dxa"/>
            </w:tcMar>
            <w:shd w:fill="FFFFFF"/>
          </w:tcPr>
          <w:p>
            <w:r>
              <w:rPr>
                <w:rFonts w:ascii="Calibri" w:hAnsi="Calibri"/>
                <w:sz w:val="18"/>
              </w:rPr>
              <w:t>Month 12 (Aug 2027)</w:t>
            </w:r>
          </w:p>
        </w:tc>
      </w:tr>
    </w:tbl>
    <w:p>
      <w:pPr>
        <w:spacing w:before="60" w:after="160"/>
      </w:pPr>
      <w:r>
        <w:rPr>
          <w:b/>
          <w:color w:val="1E3A8A"/>
          <w:sz w:val="19"/>
        </w:rPr>
        <w:t>TOTAL PROJECT DURATION: 920 Engineering Hours across 1-Year Academic Tenure (6 Milestones)</w:t>
      </w:r>
    </w:p>
    <w:p>
      <w:pPr>
        <w:keepNext/>
        <w:spacing w:before="240" w:after="80"/>
        <w:pBdr>
          <w:bottom w:val="single" w:sz="6" w:space="2" w:color="2563EB"/>
        </w:pBdr>
      </w:pPr>
      <w:r>
        <w:rPr>
          <w:rFonts w:ascii="Calibri" w:hAnsi="Calibri"/>
          <w:b/>
          <w:color w:val="1E3A8A"/>
          <w:sz w:val="23"/>
        </w:rPr>
        <w:t>7. Funding Required (To Achieve Each Milestone)</w:t>
      </w:r>
    </w:p>
    <w:p>
      <w:pPr>
        <w:spacing w:before="20" w:after="70" w:line="276" w:lineRule="auto"/>
      </w:pPr>
      <w:r>
        <w:rPr>
          <w:rFonts w:ascii="Calibri" w:hAnsi="Calibri"/>
          <w:color w:val="0F172A"/>
          <w:sz w:val="19"/>
        </w:rPr>
        <w:t>The requested financial grant of ₹9,800 (~₹10,000) is strictly allocated toward external production infrastructure and model inference APIs necessary to execute the 6 milestones:</w:t>
      </w:r>
    </w:p>
    <w:tbl>
      <w:tblPr>
        <w:tblW w:type="auto" w:w="0"/>
        <w:jc w:val="center"/>
        <w:tblLook w:firstColumn="1" w:firstRow="1" w:lastColumn="0" w:lastRow="0" w:noHBand="0" w:noVBand="1" w:val="04A0"/>
      </w:tblPr>
      <w:tblGrid>
        <w:gridCol w:w="2556"/>
        <w:gridCol w:w="2556"/>
        <w:gridCol w:w="2556"/>
        <w:gridCol w:w="2556"/>
      </w:tblGrid>
      <w:tr>
        <w:trPr>
          <w:cantSplit/>
          <w:tblHeader/>
        </w:trPr>
        <w:tc>
          <w:tcPr>
            <w:tcW w:type="dxa" w:w="864"/>
            <w:vAlign w:val="center"/>
            <w:tcMar>
              <w:top w:w="100" w:type="dxa"/>
              <w:bottom w:w="100" w:type="dxa"/>
              <w:left w:w="130" w:type="dxa"/>
              <w:right w:w="130" w:type="dxa"/>
            </w:tcMar>
            <w:shd w:fill="1E3A8A"/>
          </w:tcPr>
          <w:p>
            <w:pPr>
              <w:jc w:val="center"/>
            </w:pPr>
            <w:r>
              <w:rPr>
                <w:rFonts w:ascii="Calibri" w:hAnsi="Calibri"/>
                <w:b/>
                <w:color w:val="FFFFFF"/>
                <w:sz w:val="19"/>
              </w:rPr>
              <w:t>Sr No</w:t>
            </w:r>
          </w:p>
        </w:tc>
        <w:tc>
          <w:tcPr>
            <w:tcW w:type="dxa" w:w="3168"/>
            <w:vAlign w:val="center"/>
            <w:tcMar>
              <w:top w:w="100" w:type="dxa"/>
              <w:bottom w:w="100" w:type="dxa"/>
              <w:left w:w="130" w:type="dxa"/>
              <w:right w:w="130" w:type="dxa"/>
            </w:tcMar>
            <w:shd w:fill="1E3A8A"/>
          </w:tcPr>
          <w:p>
            <w:pPr>
              <w:jc w:val="center"/>
            </w:pPr>
            <w:r>
              <w:rPr>
                <w:rFonts w:ascii="Calibri" w:hAnsi="Calibri"/>
                <w:b/>
                <w:color w:val="FFFFFF"/>
                <w:sz w:val="19"/>
              </w:rPr>
              <w:t>Description / Milestone</w:t>
            </w:r>
          </w:p>
        </w:tc>
        <w:tc>
          <w:tcPr>
            <w:tcW w:type="dxa" w:w="4320"/>
            <w:vAlign w:val="center"/>
            <w:tcMar>
              <w:top w:w="100" w:type="dxa"/>
              <w:bottom w:w="100" w:type="dxa"/>
              <w:left w:w="130" w:type="dxa"/>
              <w:right w:w="130" w:type="dxa"/>
            </w:tcMar>
            <w:shd w:fill="1E3A8A"/>
          </w:tcPr>
          <w:p>
            <w:pPr>
              <w:jc w:val="center"/>
            </w:pPr>
            <w:r>
              <w:rPr>
                <w:rFonts w:ascii="Calibri" w:hAnsi="Calibri"/>
                <w:b/>
                <w:color w:val="FFFFFF"/>
                <w:sz w:val="19"/>
              </w:rPr>
              <w:t>Name of Product / Service Needed</w:t>
            </w:r>
          </w:p>
        </w:tc>
        <w:tc>
          <w:tcPr>
            <w:tcW w:type="dxa" w:w="1728"/>
            <w:vAlign w:val="center"/>
            <w:tcMar>
              <w:top w:w="100" w:type="dxa"/>
              <w:bottom w:w="100" w:type="dxa"/>
              <w:left w:w="130" w:type="dxa"/>
              <w:right w:w="130" w:type="dxa"/>
            </w:tcMar>
            <w:shd w:fill="1E3A8A"/>
          </w:tcPr>
          <w:p>
            <w:pPr>
              <w:jc w:val="center"/>
            </w:pPr>
            <w:r>
              <w:rPr>
                <w:rFonts w:ascii="Calibri" w:hAnsi="Calibri"/>
                <w:b/>
                <w:color w:val="FFFFFF"/>
                <w:sz w:val="19"/>
              </w:rPr>
              <w:t>Approx Cost (INR)</w:t>
            </w:r>
          </w:p>
        </w:tc>
      </w:tr>
      <w:tr>
        <w:trPr>
          <w:cantSplit/>
        </w:trPr>
        <w:tc>
          <w:tcPr>
            <w:tcW w:type="dxa" w:w="864"/>
            <w:vAlign w:val="center"/>
            <w:tcMar>
              <w:top w:w="100" w:type="dxa"/>
              <w:bottom w:w="100" w:type="dxa"/>
              <w:left w:w="130" w:type="dxa"/>
              <w:right w:w="130" w:type="dxa"/>
            </w:tcMar>
            <w:shd w:fill="F8FAFC"/>
          </w:tcPr>
          <w:p>
            <w:r>
              <w:rPr>
                <w:rFonts w:ascii="Calibri" w:hAnsi="Calibri"/>
                <w:sz w:val="18"/>
              </w:rPr>
              <w:t>1</w:t>
            </w:r>
          </w:p>
        </w:tc>
        <w:tc>
          <w:tcPr>
            <w:tcW w:type="dxa" w:w="3168"/>
            <w:vAlign w:val="center"/>
            <w:tcMar>
              <w:top w:w="100" w:type="dxa"/>
              <w:bottom w:w="100" w:type="dxa"/>
              <w:left w:w="130" w:type="dxa"/>
              <w:right w:w="130" w:type="dxa"/>
            </w:tcMar>
            <w:shd w:fill="F8FAFC"/>
          </w:tcPr>
          <w:p>
            <w:r>
              <w:rPr>
                <w:rFonts w:ascii="Calibri" w:hAnsi="Calibri"/>
                <w:sz w:val="18"/>
              </w:rPr>
              <w:t>Production Cloud Compute Host (Milestones 1, 3, 4, 6)</w:t>
            </w:r>
          </w:p>
        </w:tc>
        <w:tc>
          <w:tcPr>
            <w:tcW w:type="dxa" w:w="4320"/>
            <w:vAlign w:val="center"/>
            <w:tcMar>
              <w:top w:w="100" w:type="dxa"/>
              <w:bottom w:w="100" w:type="dxa"/>
              <w:left w:w="130" w:type="dxa"/>
              <w:right w:w="130" w:type="dxa"/>
            </w:tcMar>
            <w:shd w:fill="F8FAFC"/>
          </w:tcPr>
          <w:p>
            <w:r>
              <w:rPr>
                <w:rFonts w:ascii="Calibri" w:hAnsi="Calibri"/>
                <w:sz w:val="18"/>
              </w:rPr>
              <w:t>12-Month Dedicated Linux Cloud VPS (8GB RAM, 4 vCPU, NVMe SSD) to host web server, isolated code runner sandbox, and WebSocket proctoring gateway (₹450/month × 12).</w:t>
            </w:r>
          </w:p>
        </w:tc>
        <w:tc>
          <w:tcPr>
            <w:tcW w:type="dxa" w:w="1728"/>
            <w:vAlign w:val="center"/>
            <w:tcMar>
              <w:top w:w="100" w:type="dxa"/>
              <w:bottom w:w="100" w:type="dxa"/>
              <w:left w:w="130" w:type="dxa"/>
              <w:right w:w="130" w:type="dxa"/>
            </w:tcMar>
            <w:shd w:fill="F8FAFC"/>
          </w:tcPr>
          <w:p>
            <w:r>
              <w:rPr>
                <w:rFonts w:ascii="Calibri" w:hAnsi="Calibri"/>
                <w:sz w:val="18"/>
              </w:rPr>
              <w:t>₹5,400</w:t>
            </w:r>
          </w:p>
        </w:tc>
      </w:tr>
      <w:tr>
        <w:trPr>
          <w:cantSplit/>
        </w:trPr>
        <w:tc>
          <w:tcPr>
            <w:tcW w:type="dxa" w:w="864"/>
            <w:vAlign w:val="center"/>
            <w:tcMar>
              <w:top w:w="100" w:type="dxa"/>
              <w:bottom w:w="100" w:type="dxa"/>
              <w:left w:w="130" w:type="dxa"/>
              <w:right w:w="130" w:type="dxa"/>
            </w:tcMar>
            <w:shd w:fill="FFFFFF"/>
          </w:tcPr>
          <w:p>
            <w:r>
              <w:rPr>
                <w:rFonts w:ascii="Calibri" w:hAnsi="Calibri"/>
                <w:sz w:val="18"/>
              </w:rPr>
              <w:t>2</w:t>
            </w:r>
          </w:p>
        </w:tc>
        <w:tc>
          <w:tcPr>
            <w:tcW w:type="dxa" w:w="3168"/>
            <w:vAlign w:val="center"/>
            <w:tcMar>
              <w:top w:w="100" w:type="dxa"/>
              <w:bottom w:w="100" w:type="dxa"/>
              <w:left w:w="130" w:type="dxa"/>
              <w:right w:w="130" w:type="dxa"/>
            </w:tcMar>
            <w:shd w:fill="FFFFFF"/>
          </w:tcPr>
          <w:p>
            <w:r>
              <w:rPr>
                <w:rFonts w:ascii="Calibri" w:hAnsi="Calibri"/>
                <w:sz w:val="18"/>
              </w:rPr>
              <w:t>AI Model Usage Token Pool (Milestone 2, 3)</w:t>
            </w:r>
          </w:p>
        </w:tc>
        <w:tc>
          <w:tcPr>
            <w:tcW w:type="dxa" w:w="4320"/>
            <w:vAlign w:val="center"/>
            <w:tcMar>
              <w:top w:w="100" w:type="dxa"/>
              <w:bottom w:w="100" w:type="dxa"/>
              <w:left w:w="130" w:type="dxa"/>
              <w:right w:w="130" w:type="dxa"/>
            </w:tcMar>
            <w:shd w:fill="FFFFFF"/>
          </w:tcPr>
          <w:p>
            <w:r>
              <w:rPr>
                <w:rFonts w:ascii="Calibri" w:hAnsi="Calibri"/>
                <w:sz w:val="18"/>
              </w:rPr>
              <w:t>Google Gemini 1.5 Flash / Groq Developer API token pool for automated Socratic pedagogical hints, question generation, and code guidance across 50,000+ interactions.</w:t>
            </w:r>
          </w:p>
        </w:tc>
        <w:tc>
          <w:tcPr>
            <w:tcW w:type="dxa" w:w="1728"/>
            <w:vAlign w:val="center"/>
            <w:tcMar>
              <w:top w:w="100" w:type="dxa"/>
              <w:bottom w:w="100" w:type="dxa"/>
              <w:left w:w="130" w:type="dxa"/>
              <w:right w:w="130" w:type="dxa"/>
            </w:tcMar>
            <w:shd w:fill="FFFFFF"/>
          </w:tcPr>
          <w:p>
            <w:r>
              <w:rPr>
                <w:rFonts w:ascii="Calibri" w:hAnsi="Calibri"/>
                <w:sz w:val="18"/>
              </w:rPr>
              <w:t>₹3,800</w:t>
            </w:r>
          </w:p>
        </w:tc>
      </w:tr>
      <w:tr>
        <w:trPr>
          <w:cantSplit/>
        </w:trPr>
        <w:tc>
          <w:tcPr>
            <w:tcW w:type="dxa" w:w="864"/>
            <w:vAlign w:val="center"/>
            <w:tcMar>
              <w:top w:w="100" w:type="dxa"/>
              <w:bottom w:w="100" w:type="dxa"/>
              <w:left w:w="130" w:type="dxa"/>
              <w:right w:w="130" w:type="dxa"/>
            </w:tcMar>
            <w:shd w:fill="F8FAFC"/>
          </w:tcPr>
          <w:p>
            <w:r>
              <w:rPr>
                <w:rFonts w:ascii="Calibri" w:hAnsi="Calibri"/>
                <w:sz w:val="18"/>
              </w:rPr>
              <w:t>3</w:t>
            </w:r>
          </w:p>
        </w:tc>
        <w:tc>
          <w:tcPr>
            <w:tcW w:type="dxa" w:w="3168"/>
            <w:vAlign w:val="center"/>
            <w:tcMar>
              <w:top w:w="100" w:type="dxa"/>
              <w:bottom w:w="100" w:type="dxa"/>
              <w:left w:w="130" w:type="dxa"/>
              <w:right w:w="130" w:type="dxa"/>
            </w:tcMar>
            <w:shd w:fill="F8FAFC"/>
          </w:tcPr>
          <w:p>
            <w:r>
              <w:rPr>
                <w:rFonts w:ascii="Calibri" w:hAnsi="Calibri"/>
                <w:sz w:val="18"/>
              </w:rPr>
              <w:t>Encrypted Database Backup &amp; Audit Storage (Milestones 1, 5, 6)</w:t>
            </w:r>
          </w:p>
        </w:tc>
        <w:tc>
          <w:tcPr>
            <w:tcW w:type="dxa" w:w="4320"/>
            <w:vAlign w:val="center"/>
            <w:tcMar>
              <w:top w:w="100" w:type="dxa"/>
              <w:bottom w:w="100" w:type="dxa"/>
              <w:left w:w="130" w:type="dxa"/>
              <w:right w:w="130" w:type="dxa"/>
            </w:tcMar>
            <w:shd w:fill="F8FAFC"/>
          </w:tcPr>
          <w:p>
            <w:r>
              <w:rPr>
                <w:rFonts w:ascii="Calibri" w:hAnsi="Calibri"/>
                <w:sz w:val="18"/>
              </w:rPr>
              <w:t>S3-Compatible Secure Cold Storage (50GB) to maintain daily student database backups, exam audit logs, and accreditation records (₹50/month × 12).</w:t>
            </w:r>
          </w:p>
        </w:tc>
        <w:tc>
          <w:tcPr>
            <w:tcW w:type="dxa" w:w="1728"/>
            <w:vAlign w:val="center"/>
            <w:tcMar>
              <w:top w:w="100" w:type="dxa"/>
              <w:bottom w:w="100" w:type="dxa"/>
              <w:left w:w="130" w:type="dxa"/>
              <w:right w:w="130" w:type="dxa"/>
            </w:tcMar>
            <w:shd w:fill="F8FAFC"/>
          </w:tcPr>
          <w:p>
            <w:r>
              <w:rPr>
                <w:rFonts w:ascii="Calibri" w:hAnsi="Calibri"/>
                <w:sz w:val="18"/>
              </w:rPr>
              <w:t>₹600</w:t>
            </w:r>
          </w:p>
        </w:tc>
      </w:tr>
      <w:tr>
        <w:trPr>
          <w:cantSplit/>
        </w:trPr>
        <w:tc>
          <w:tcPr>
            <w:tcW w:type="dxa" w:w="864"/>
            <w:vAlign w:val="center"/>
            <w:tcMar>
              <w:top w:w="100" w:type="dxa"/>
              <w:bottom w:w="100" w:type="dxa"/>
              <w:left w:w="130" w:type="dxa"/>
              <w:right w:w="130" w:type="dxa"/>
            </w:tcMar>
            <w:shd w:fill="FFFFFF"/>
            <w:shd w:fill="F1F5F9"/>
          </w:tcPr>
          <w:p>
            <w:r>
              <w:rPr>
                <w:rFonts w:ascii="Calibri" w:hAnsi="Calibri"/>
                <w:b/>
                <w:color w:val="1E3A8A"/>
                <w:sz w:val="18"/>
              </w:rPr>
            </w:r>
          </w:p>
        </w:tc>
        <w:tc>
          <w:tcPr>
            <w:tcW w:type="dxa" w:w="3168"/>
            <w:vAlign w:val="center"/>
            <w:tcMar>
              <w:top w:w="100" w:type="dxa"/>
              <w:bottom w:w="100" w:type="dxa"/>
              <w:left w:w="130" w:type="dxa"/>
              <w:right w:w="130" w:type="dxa"/>
            </w:tcMar>
            <w:shd w:fill="FFFFFF"/>
            <w:shd w:fill="F1F5F9"/>
          </w:tcPr>
          <w:p>
            <w:r>
              <w:rPr>
                <w:rFonts w:ascii="Calibri" w:hAnsi="Calibri"/>
                <w:b/>
                <w:color w:val="1E3A8A"/>
                <w:sz w:val="18"/>
              </w:rPr>
              <w:t>TOTAL FUNDING REQUIRED</w:t>
            </w:r>
          </w:p>
        </w:tc>
        <w:tc>
          <w:tcPr>
            <w:tcW w:type="dxa" w:w="4320"/>
            <w:vAlign w:val="center"/>
            <w:tcMar>
              <w:top w:w="100" w:type="dxa"/>
              <w:bottom w:w="100" w:type="dxa"/>
              <w:left w:w="130" w:type="dxa"/>
              <w:right w:w="130" w:type="dxa"/>
            </w:tcMar>
            <w:shd w:fill="FFFFFF"/>
            <w:shd w:fill="F1F5F9"/>
          </w:tcPr>
          <w:p>
            <w:r>
              <w:rPr>
                <w:rFonts w:ascii="Calibri" w:hAnsi="Calibri"/>
                <w:b/>
                <w:color w:val="1E3A8A"/>
                <w:sz w:val="18"/>
              </w:rPr>
              <w:t>All infrastructure components strictly allocated for 1-year project execution.</w:t>
            </w:r>
          </w:p>
        </w:tc>
        <w:tc>
          <w:tcPr>
            <w:tcW w:type="dxa" w:w="1728"/>
            <w:vAlign w:val="center"/>
            <w:tcMar>
              <w:top w:w="100" w:type="dxa"/>
              <w:bottom w:w="100" w:type="dxa"/>
              <w:left w:w="130" w:type="dxa"/>
              <w:right w:w="130" w:type="dxa"/>
            </w:tcMar>
            <w:shd w:fill="FFFFFF"/>
            <w:shd w:fill="F1F5F9"/>
          </w:tcPr>
          <w:p>
            <w:r>
              <w:rPr>
                <w:rFonts w:ascii="Calibri" w:hAnsi="Calibri"/>
                <w:b/>
                <w:color w:val="1E3A8A"/>
                <w:sz w:val="18"/>
              </w:rPr>
              <w:t>₹9,800</w:t>
              <w:br/>
              <w:t>(or ₹10,000)</w:t>
            </w:r>
          </w:p>
        </w:tc>
      </w:tr>
    </w:tbl>
    <w:p>
      <w:pPr>
        <w:keepNext/>
        <w:spacing w:before="240" w:after="80"/>
        <w:pBdr>
          <w:bottom w:val="single" w:sz="6" w:space="2" w:color="2563EB"/>
        </w:pBdr>
      </w:pPr>
      <w:r>
        <w:rPr>
          <w:rFonts w:ascii="Calibri" w:hAnsi="Calibri"/>
          <w:b/>
          <w:color w:val="1E3A8A"/>
          <w:sz w:val="23"/>
        </w:rPr>
        <w:t>8. Contributors</w:t>
      </w:r>
    </w:p>
    <w:tbl>
      <w:tblPr>
        <w:tblW w:type="auto" w:w="0"/>
        <w:jc w:val="center"/>
        <w:tblLook w:firstColumn="1" w:firstRow="1" w:lastColumn="0" w:lastRow="0" w:noHBand="0" w:noVBand="1" w:val="04A0"/>
      </w:tblPr>
      <w:tblGrid>
        <w:gridCol w:w="2045"/>
        <w:gridCol w:w="2045"/>
        <w:gridCol w:w="2045"/>
        <w:gridCol w:w="2045"/>
        <w:gridCol w:w="2045"/>
      </w:tblGrid>
      <w:tr>
        <w:trPr>
          <w:cantSplit/>
          <w:tblHeader/>
        </w:trPr>
        <w:tc>
          <w:tcPr>
            <w:tcW w:type="dxa" w:w="864"/>
            <w:vAlign w:val="center"/>
            <w:tcMar>
              <w:top w:w="100" w:type="dxa"/>
              <w:bottom w:w="100" w:type="dxa"/>
              <w:left w:w="130" w:type="dxa"/>
              <w:right w:w="130" w:type="dxa"/>
            </w:tcMar>
            <w:shd w:fill="1E3A8A"/>
          </w:tcPr>
          <w:p>
            <w:pPr>
              <w:jc w:val="center"/>
            </w:pPr>
            <w:r>
              <w:rPr>
                <w:rFonts w:ascii="Calibri" w:hAnsi="Calibri"/>
                <w:b/>
                <w:color w:val="FFFFFF"/>
                <w:sz w:val="19"/>
              </w:rPr>
              <w:t>Sr No</w:t>
            </w:r>
          </w:p>
        </w:tc>
        <w:tc>
          <w:tcPr>
            <w:tcW w:type="dxa" w:w="2592"/>
            <w:vAlign w:val="center"/>
            <w:tcMar>
              <w:top w:w="100" w:type="dxa"/>
              <w:bottom w:w="100" w:type="dxa"/>
              <w:left w:w="130" w:type="dxa"/>
              <w:right w:w="130" w:type="dxa"/>
            </w:tcMar>
            <w:shd w:fill="1E3A8A"/>
          </w:tcPr>
          <w:p>
            <w:pPr>
              <w:jc w:val="center"/>
            </w:pPr>
            <w:r>
              <w:rPr>
                <w:rFonts w:ascii="Calibri" w:hAnsi="Calibri"/>
                <w:b/>
                <w:color w:val="FFFFFF"/>
                <w:sz w:val="19"/>
              </w:rPr>
              <w:t>Name</w:t>
            </w:r>
          </w:p>
        </w:tc>
        <w:tc>
          <w:tcPr>
            <w:tcW w:type="dxa" w:w="1584"/>
            <w:vAlign w:val="center"/>
            <w:tcMar>
              <w:top w:w="100" w:type="dxa"/>
              <w:bottom w:w="100" w:type="dxa"/>
              <w:left w:w="130" w:type="dxa"/>
              <w:right w:w="130" w:type="dxa"/>
            </w:tcMar>
            <w:shd w:fill="1E3A8A"/>
          </w:tcPr>
          <w:p>
            <w:pPr>
              <w:jc w:val="center"/>
            </w:pPr>
            <w:r>
              <w:rPr>
                <w:rFonts w:ascii="Calibri" w:hAnsi="Calibri"/>
                <w:b/>
                <w:color w:val="FFFFFF"/>
                <w:sz w:val="19"/>
              </w:rPr>
              <w:t>Roll No</w:t>
            </w:r>
          </w:p>
        </w:tc>
        <w:tc>
          <w:tcPr>
            <w:tcW w:type="dxa" w:w="2016"/>
            <w:vAlign w:val="center"/>
            <w:tcMar>
              <w:top w:w="100" w:type="dxa"/>
              <w:bottom w:w="100" w:type="dxa"/>
              <w:left w:w="130" w:type="dxa"/>
              <w:right w:w="130" w:type="dxa"/>
            </w:tcMar>
            <w:shd w:fill="1E3A8A"/>
          </w:tcPr>
          <w:p>
            <w:pPr>
              <w:jc w:val="center"/>
            </w:pPr>
            <w:r>
              <w:rPr>
                <w:rFonts w:ascii="Calibri" w:hAnsi="Calibri"/>
                <w:b/>
                <w:color w:val="FFFFFF"/>
                <w:sz w:val="19"/>
              </w:rPr>
              <w:t>Contact No</w:t>
            </w:r>
          </w:p>
        </w:tc>
        <w:tc>
          <w:tcPr>
            <w:tcW w:type="dxa" w:w="3024"/>
            <w:vAlign w:val="center"/>
            <w:tcMar>
              <w:top w:w="100" w:type="dxa"/>
              <w:bottom w:w="100" w:type="dxa"/>
              <w:left w:w="130" w:type="dxa"/>
              <w:right w:w="130" w:type="dxa"/>
            </w:tcMar>
            <w:shd w:fill="1E3A8A"/>
          </w:tcPr>
          <w:p>
            <w:pPr>
              <w:jc w:val="center"/>
            </w:pPr>
            <w:r>
              <w:rPr>
                <w:rFonts w:ascii="Calibri" w:hAnsi="Calibri"/>
                <w:b/>
                <w:color w:val="FFFFFF"/>
                <w:sz w:val="19"/>
              </w:rPr>
              <w:t>Institutional Email</w:t>
            </w:r>
          </w:p>
        </w:tc>
      </w:tr>
      <w:tr>
        <w:trPr>
          <w:cantSplit/>
        </w:trPr>
        <w:tc>
          <w:tcPr>
            <w:tcW w:type="dxa" w:w="864"/>
            <w:vAlign w:val="center"/>
            <w:tcMar>
              <w:top w:w="100" w:type="dxa"/>
              <w:bottom w:w="100" w:type="dxa"/>
              <w:left w:w="130" w:type="dxa"/>
              <w:right w:w="130" w:type="dxa"/>
            </w:tcMar>
            <w:shd w:fill="F8FAFC"/>
          </w:tcPr>
          <w:p>
            <w:r>
              <w:rPr>
                <w:rFonts w:ascii="Calibri" w:hAnsi="Calibri"/>
                <w:sz w:val="18"/>
              </w:rPr>
              <w:t>1</w:t>
            </w:r>
          </w:p>
        </w:tc>
        <w:tc>
          <w:tcPr>
            <w:tcW w:type="dxa" w:w="2592"/>
            <w:vAlign w:val="center"/>
            <w:tcMar>
              <w:top w:w="100" w:type="dxa"/>
              <w:bottom w:w="100" w:type="dxa"/>
              <w:left w:w="130" w:type="dxa"/>
              <w:right w:w="130" w:type="dxa"/>
            </w:tcMar>
            <w:shd w:fill="F8FAFC"/>
          </w:tcPr>
          <w:p>
            <w:r>
              <w:rPr>
                <w:rFonts w:ascii="Calibri" w:hAnsi="Calibri"/>
                <w:sz w:val="18"/>
              </w:rPr>
              <w:t>[Your Full Name – Team Lead]</w:t>
            </w:r>
          </w:p>
        </w:tc>
        <w:tc>
          <w:tcPr>
            <w:tcW w:type="dxa" w:w="1584"/>
            <w:vAlign w:val="center"/>
            <w:tcMar>
              <w:top w:w="100" w:type="dxa"/>
              <w:bottom w:w="100" w:type="dxa"/>
              <w:left w:w="130" w:type="dxa"/>
              <w:right w:w="130" w:type="dxa"/>
            </w:tcMar>
            <w:shd w:fill="F8FAFC"/>
          </w:tcPr>
          <w:p>
            <w:r>
              <w:rPr>
                <w:rFonts w:ascii="Calibri" w:hAnsi="Calibri"/>
                <w:sz w:val="18"/>
              </w:rPr>
              <w:t>24cs093</w:t>
            </w:r>
          </w:p>
        </w:tc>
        <w:tc>
          <w:tcPr>
            <w:tcW w:type="dxa" w:w="2016"/>
            <w:vAlign w:val="center"/>
            <w:tcMar>
              <w:top w:w="100" w:type="dxa"/>
              <w:bottom w:w="100" w:type="dxa"/>
              <w:left w:w="130" w:type="dxa"/>
              <w:right w:w="130" w:type="dxa"/>
            </w:tcMar>
            <w:shd w:fill="F8FAFC"/>
          </w:tcPr>
          <w:p>
            <w:r>
              <w:rPr>
                <w:rFonts w:ascii="Calibri" w:hAnsi="Calibri"/>
                <w:sz w:val="18"/>
              </w:rPr>
              <w:t>+91 [Your Mobile Number]</w:t>
            </w:r>
          </w:p>
        </w:tc>
        <w:tc>
          <w:tcPr>
            <w:tcW w:type="dxa" w:w="3024"/>
            <w:vAlign w:val="center"/>
            <w:tcMar>
              <w:top w:w="100" w:type="dxa"/>
              <w:bottom w:w="100" w:type="dxa"/>
              <w:left w:w="130" w:type="dxa"/>
              <w:right w:w="130" w:type="dxa"/>
            </w:tcMar>
            <w:shd w:fill="F8FAFC"/>
          </w:tcPr>
          <w:p>
            <w:r>
              <w:rPr>
                <w:rFonts w:ascii="Calibri" w:hAnsi="Calibri"/>
                <w:sz w:val="18"/>
              </w:rPr>
              <w:t>24cs093@charusat.edu.in</w:t>
            </w:r>
          </w:p>
        </w:tc>
      </w:tr>
      <w:tr>
        <w:trPr>
          <w:cantSplit/>
        </w:trPr>
        <w:tc>
          <w:tcPr>
            <w:tcW w:type="dxa" w:w="864"/>
            <w:vAlign w:val="center"/>
            <w:tcMar>
              <w:top w:w="100" w:type="dxa"/>
              <w:bottom w:w="100" w:type="dxa"/>
              <w:left w:w="130" w:type="dxa"/>
              <w:right w:w="130" w:type="dxa"/>
            </w:tcMar>
            <w:shd w:fill="FFFFFF"/>
          </w:tcPr>
          <w:p>
            <w:r>
              <w:rPr>
                <w:rFonts w:ascii="Calibri" w:hAnsi="Calibri"/>
                <w:sz w:val="18"/>
              </w:rPr>
              <w:t>2</w:t>
            </w:r>
          </w:p>
        </w:tc>
        <w:tc>
          <w:tcPr>
            <w:tcW w:type="dxa" w:w="2592"/>
            <w:vAlign w:val="center"/>
            <w:tcMar>
              <w:top w:w="100" w:type="dxa"/>
              <w:bottom w:w="100" w:type="dxa"/>
              <w:left w:w="130" w:type="dxa"/>
              <w:right w:w="130" w:type="dxa"/>
            </w:tcMar>
            <w:shd w:fill="FFFFFF"/>
          </w:tcPr>
          <w:p>
            <w:r>
              <w:rPr>
                <w:rFonts w:ascii="Calibri" w:hAnsi="Calibri"/>
                <w:sz w:val="18"/>
              </w:rPr>
              <w:t>[Team Member 2 Name]</w:t>
            </w:r>
          </w:p>
        </w:tc>
        <w:tc>
          <w:tcPr>
            <w:tcW w:type="dxa" w:w="1584"/>
            <w:vAlign w:val="center"/>
            <w:tcMar>
              <w:top w:w="100" w:type="dxa"/>
              <w:bottom w:w="100" w:type="dxa"/>
              <w:left w:w="130" w:type="dxa"/>
              <w:right w:w="130" w:type="dxa"/>
            </w:tcMar>
            <w:shd w:fill="FFFFFF"/>
          </w:tcPr>
          <w:p>
            <w:r>
              <w:rPr>
                <w:rFonts w:ascii="Calibri" w:hAnsi="Calibri"/>
                <w:sz w:val="18"/>
              </w:rPr>
              <w:t>[Roll No]</w:t>
            </w:r>
          </w:p>
        </w:tc>
        <w:tc>
          <w:tcPr>
            <w:tcW w:type="dxa" w:w="2016"/>
            <w:vAlign w:val="center"/>
            <w:tcMar>
              <w:top w:w="100" w:type="dxa"/>
              <w:bottom w:w="100" w:type="dxa"/>
              <w:left w:w="130" w:type="dxa"/>
              <w:right w:w="130" w:type="dxa"/>
            </w:tcMar>
            <w:shd w:fill="FFFFFF"/>
          </w:tcPr>
          <w:p>
            <w:r>
              <w:rPr>
                <w:rFonts w:ascii="Calibri" w:hAnsi="Calibri"/>
                <w:sz w:val="18"/>
              </w:rPr>
              <w:t>+91 [Mobile Number]</w:t>
            </w:r>
          </w:p>
        </w:tc>
        <w:tc>
          <w:tcPr>
            <w:tcW w:type="dxa" w:w="3024"/>
            <w:vAlign w:val="center"/>
            <w:tcMar>
              <w:top w:w="100" w:type="dxa"/>
              <w:bottom w:w="100" w:type="dxa"/>
              <w:left w:w="130" w:type="dxa"/>
              <w:right w:w="130" w:type="dxa"/>
            </w:tcMar>
            <w:shd w:fill="FFFFFF"/>
          </w:tcPr>
          <w:p>
            <w:r>
              <w:rPr>
                <w:rFonts w:ascii="Calibri" w:hAnsi="Calibri"/>
                <w:sz w:val="18"/>
              </w:rPr>
              <w:t>[roll_no]@charusat.edu.in</w:t>
            </w:r>
          </w:p>
        </w:tc>
      </w:tr>
      <w:tr>
        <w:trPr>
          <w:cantSplit/>
        </w:trPr>
        <w:tc>
          <w:tcPr>
            <w:tcW w:type="dxa" w:w="864"/>
            <w:vAlign w:val="center"/>
            <w:tcMar>
              <w:top w:w="100" w:type="dxa"/>
              <w:bottom w:w="100" w:type="dxa"/>
              <w:left w:w="130" w:type="dxa"/>
              <w:right w:w="130" w:type="dxa"/>
            </w:tcMar>
            <w:shd w:fill="F8FAFC"/>
          </w:tcPr>
          <w:p>
            <w:r>
              <w:rPr>
                <w:rFonts w:ascii="Calibri" w:hAnsi="Calibri"/>
                <w:sz w:val="18"/>
              </w:rPr>
              <w:t>3</w:t>
            </w:r>
          </w:p>
        </w:tc>
        <w:tc>
          <w:tcPr>
            <w:tcW w:type="dxa" w:w="2592"/>
            <w:vAlign w:val="center"/>
            <w:tcMar>
              <w:top w:w="100" w:type="dxa"/>
              <w:bottom w:w="100" w:type="dxa"/>
              <w:left w:w="130" w:type="dxa"/>
              <w:right w:w="130" w:type="dxa"/>
            </w:tcMar>
            <w:shd w:fill="F8FAFC"/>
          </w:tcPr>
          <w:p>
            <w:r>
              <w:rPr>
                <w:rFonts w:ascii="Calibri" w:hAnsi="Calibri"/>
                <w:sz w:val="18"/>
              </w:rPr>
              <w:t>[Team Member 3 Name]</w:t>
            </w:r>
          </w:p>
        </w:tc>
        <w:tc>
          <w:tcPr>
            <w:tcW w:type="dxa" w:w="1584"/>
            <w:vAlign w:val="center"/>
            <w:tcMar>
              <w:top w:w="100" w:type="dxa"/>
              <w:bottom w:w="100" w:type="dxa"/>
              <w:left w:w="130" w:type="dxa"/>
              <w:right w:w="130" w:type="dxa"/>
            </w:tcMar>
            <w:shd w:fill="F8FAFC"/>
          </w:tcPr>
          <w:p>
            <w:r>
              <w:rPr>
                <w:rFonts w:ascii="Calibri" w:hAnsi="Calibri"/>
                <w:sz w:val="18"/>
              </w:rPr>
              <w:t>[Roll No]</w:t>
            </w:r>
          </w:p>
        </w:tc>
        <w:tc>
          <w:tcPr>
            <w:tcW w:type="dxa" w:w="2016"/>
            <w:vAlign w:val="center"/>
            <w:tcMar>
              <w:top w:w="100" w:type="dxa"/>
              <w:bottom w:w="100" w:type="dxa"/>
              <w:left w:w="130" w:type="dxa"/>
              <w:right w:w="130" w:type="dxa"/>
            </w:tcMar>
            <w:shd w:fill="F8FAFC"/>
          </w:tcPr>
          <w:p>
            <w:r>
              <w:rPr>
                <w:rFonts w:ascii="Calibri" w:hAnsi="Calibri"/>
                <w:sz w:val="18"/>
              </w:rPr>
              <w:t>+91 [Mobile Number]</w:t>
            </w:r>
          </w:p>
        </w:tc>
        <w:tc>
          <w:tcPr>
            <w:tcW w:type="dxa" w:w="3024"/>
            <w:vAlign w:val="center"/>
            <w:tcMar>
              <w:top w:w="100" w:type="dxa"/>
              <w:bottom w:w="100" w:type="dxa"/>
              <w:left w:w="130" w:type="dxa"/>
              <w:right w:w="130" w:type="dxa"/>
            </w:tcMar>
            <w:shd w:fill="F8FAFC"/>
          </w:tcPr>
          <w:p>
            <w:r>
              <w:rPr>
                <w:rFonts w:ascii="Calibri" w:hAnsi="Calibri"/>
                <w:sz w:val="18"/>
              </w:rPr>
              <w:t>[roll_no]@charusat.edu.in</w:t>
            </w:r>
          </w:p>
        </w:tc>
      </w:tr>
      <w:tr>
        <w:trPr>
          <w:cantSplit/>
        </w:trPr>
        <w:tc>
          <w:tcPr>
            <w:tcW w:type="dxa" w:w="864"/>
            <w:vAlign w:val="center"/>
            <w:tcMar>
              <w:top w:w="100" w:type="dxa"/>
              <w:bottom w:w="100" w:type="dxa"/>
              <w:left w:w="130" w:type="dxa"/>
              <w:right w:w="130" w:type="dxa"/>
            </w:tcMar>
            <w:shd w:fill="FFFFFF"/>
          </w:tcPr>
          <w:p>
            <w:r>
              <w:rPr>
                <w:rFonts w:ascii="Calibri" w:hAnsi="Calibri"/>
                <w:sz w:val="18"/>
              </w:rPr>
              <w:t>4</w:t>
            </w:r>
          </w:p>
        </w:tc>
        <w:tc>
          <w:tcPr>
            <w:tcW w:type="dxa" w:w="2592"/>
            <w:vAlign w:val="center"/>
            <w:tcMar>
              <w:top w:w="100" w:type="dxa"/>
              <w:bottom w:w="100" w:type="dxa"/>
              <w:left w:w="130" w:type="dxa"/>
              <w:right w:w="130" w:type="dxa"/>
            </w:tcMar>
            <w:shd w:fill="FFFFFF"/>
          </w:tcPr>
          <w:p>
            <w:r>
              <w:rPr>
                <w:rFonts w:ascii="Calibri" w:hAnsi="Calibri"/>
                <w:sz w:val="18"/>
              </w:rPr>
              <w:t>[Team Member 4 Name]</w:t>
            </w:r>
          </w:p>
        </w:tc>
        <w:tc>
          <w:tcPr>
            <w:tcW w:type="dxa" w:w="1584"/>
            <w:vAlign w:val="center"/>
            <w:tcMar>
              <w:top w:w="100" w:type="dxa"/>
              <w:bottom w:w="100" w:type="dxa"/>
              <w:left w:w="130" w:type="dxa"/>
              <w:right w:w="130" w:type="dxa"/>
            </w:tcMar>
            <w:shd w:fill="FFFFFF"/>
          </w:tcPr>
          <w:p>
            <w:r>
              <w:rPr>
                <w:rFonts w:ascii="Calibri" w:hAnsi="Calibri"/>
                <w:sz w:val="18"/>
              </w:rPr>
              <w:t>[Roll No]</w:t>
            </w:r>
          </w:p>
        </w:tc>
        <w:tc>
          <w:tcPr>
            <w:tcW w:type="dxa" w:w="2016"/>
            <w:vAlign w:val="center"/>
            <w:tcMar>
              <w:top w:w="100" w:type="dxa"/>
              <w:bottom w:w="100" w:type="dxa"/>
              <w:left w:w="130" w:type="dxa"/>
              <w:right w:w="130" w:type="dxa"/>
            </w:tcMar>
            <w:shd w:fill="FFFFFF"/>
          </w:tcPr>
          <w:p>
            <w:r>
              <w:rPr>
                <w:rFonts w:ascii="Calibri" w:hAnsi="Calibri"/>
                <w:sz w:val="18"/>
              </w:rPr>
              <w:t>+91 [Mobile Number]</w:t>
            </w:r>
          </w:p>
        </w:tc>
        <w:tc>
          <w:tcPr>
            <w:tcW w:type="dxa" w:w="3024"/>
            <w:vAlign w:val="center"/>
            <w:tcMar>
              <w:top w:w="100" w:type="dxa"/>
              <w:bottom w:w="100" w:type="dxa"/>
              <w:left w:w="130" w:type="dxa"/>
              <w:right w:w="130" w:type="dxa"/>
            </w:tcMar>
            <w:shd w:fill="FFFFFF"/>
          </w:tcPr>
          <w:p>
            <w:r>
              <w:rPr>
                <w:rFonts w:ascii="Calibri" w:hAnsi="Calibri"/>
                <w:sz w:val="18"/>
              </w:rPr>
              <w:t>[roll_no]@charusat.edu.in</w:t>
            </w:r>
          </w:p>
        </w:tc>
      </w:tr>
    </w:tbl>
    <w:p>
      <w:pPr>
        <w:spacing w:before="60" w:after="160"/>
      </w:pPr>
      <w:r>
        <w:rPr>
          <w:i/>
          <w:color w:val="475569"/>
          <w:sz w:val="17"/>
        </w:rPr>
        <w:t>*(Note: Student research team from Department of Computer Science &amp; Engineering / Information Technology, CHARUSAT).*</w:t>
      </w:r>
    </w:p>
    <w:p>
      <w:pPr>
        <w:keepNext/>
        <w:spacing w:before="240" w:after="80"/>
        <w:pBdr>
          <w:bottom w:val="single" w:sz="6" w:space="2" w:color="2563EB"/>
        </w:pBdr>
      </w:pPr>
      <w:r>
        <w:rPr>
          <w:rFonts w:ascii="Calibri" w:hAnsi="Calibri"/>
          <w:b/>
          <w:color w:val="1E3A8A"/>
          <w:sz w:val="23"/>
        </w:rPr>
        <w:t>9. Mentor's Details</w:t>
      </w:r>
    </w:p>
    <w:tbl>
      <w:tblPr>
        <w:tblW w:type="auto" w:w="0"/>
        <w:tblLook w:firstColumn="1" w:firstRow="1" w:lastColumn="0" w:lastRow="0" w:noHBand="0" w:noVBand="1" w:val="04A0"/>
      </w:tblPr>
      <w:tblGrid>
        <w:gridCol w:w="5112"/>
        <w:gridCol w:w="5112"/>
      </w:tblGrid>
      <w:tr>
        <w:tc>
          <w:tcPr>
            <w:tcW w:type="dxa" w:w="2880"/>
            <w:shd w:fill="F8FAFC"/>
            <w:tcMar>
              <w:top w:w="80" w:type="dxa"/>
              <w:bottom w:w="80" w:type="dxa"/>
              <w:left w:w="120" w:type="dxa"/>
              <w:right w:w="120" w:type="dxa"/>
            </w:tcMar>
          </w:tcPr>
          <w:p>
            <w:r>
              <w:rPr>
                <w:b/>
                <w:color w:val="1E3A8A"/>
                <w:sz w:val="19"/>
              </w:rPr>
              <w:t>Faculty Mentor Name:</w:t>
            </w:r>
          </w:p>
        </w:tc>
        <w:tc>
          <w:tcPr>
            <w:tcW w:type="dxa" w:w="7200"/>
            <w:shd w:fill="FFFFFF"/>
            <w:tcMar>
              <w:top w:w="80" w:type="dxa"/>
              <w:bottom w:w="80" w:type="dxa"/>
              <w:left w:w="120" w:type="dxa"/>
              <w:right w:w="120" w:type="dxa"/>
            </w:tcMar>
          </w:tcPr>
          <w:p>
            <w:r>
              <w:rPr>
                <w:sz w:val="19"/>
              </w:rPr>
              <w:t>[Name of Faculty Mentor, e.g., Dr. / Prof. ABC]</w:t>
            </w:r>
          </w:p>
        </w:tc>
      </w:tr>
      <w:tr>
        <w:tc>
          <w:tcPr>
            <w:tcW w:type="dxa" w:w="2880"/>
            <w:shd w:fill="F8FAFC"/>
            <w:tcMar>
              <w:top w:w="80" w:type="dxa"/>
              <w:bottom w:w="80" w:type="dxa"/>
              <w:left w:w="120" w:type="dxa"/>
              <w:right w:w="120" w:type="dxa"/>
            </w:tcMar>
          </w:tcPr>
          <w:p>
            <w:r>
              <w:rPr>
                <w:b/>
                <w:color w:val="1E3A8A"/>
                <w:sz w:val="19"/>
              </w:rPr>
              <w:t>Department:</w:t>
            </w:r>
          </w:p>
        </w:tc>
        <w:tc>
          <w:tcPr>
            <w:tcW w:type="dxa" w:w="7200"/>
            <w:shd w:fill="FFFFFF"/>
            <w:tcMar>
              <w:top w:w="80" w:type="dxa"/>
              <w:bottom w:w="80" w:type="dxa"/>
              <w:left w:w="120" w:type="dxa"/>
              <w:right w:w="120" w:type="dxa"/>
            </w:tcMar>
          </w:tcPr>
          <w:p>
            <w:r>
              <w:rPr>
                <w:sz w:val="19"/>
              </w:rPr>
              <w:t>Department of Computer Science &amp; Engineering / Information Technology</w:t>
            </w:r>
          </w:p>
        </w:tc>
      </w:tr>
      <w:tr>
        <w:tc>
          <w:tcPr>
            <w:tcW w:type="dxa" w:w="2880"/>
            <w:shd w:fill="F8FAFC"/>
            <w:tcMar>
              <w:top w:w="80" w:type="dxa"/>
              <w:bottom w:w="80" w:type="dxa"/>
              <w:left w:w="120" w:type="dxa"/>
              <w:right w:w="120" w:type="dxa"/>
            </w:tcMar>
          </w:tcPr>
          <w:p>
            <w:r>
              <w:rPr>
                <w:b/>
                <w:color w:val="1E3A8A"/>
                <w:sz w:val="19"/>
              </w:rPr>
              <w:t>Contact Number:</w:t>
            </w:r>
          </w:p>
        </w:tc>
        <w:tc>
          <w:tcPr>
            <w:tcW w:type="dxa" w:w="7200"/>
            <w:shd w:fill="FFFFFF"/>
            <w:tcMar>
              <w:top w:w="80" w:type="dxa"/>
              <w:bottom w:w="80" w:type="dxa"/>
              <w:left w:w="120" w:type="dxa"/>
              <w:right w:w="120" w:type="dxa"/>
            </w:tcMar>
          </w:tcPr>
          <w:p>
            <w:r>
              <w:rPr>
                <w:sz w:val="19"/>
              </w:rPr>
              <w:t>+91 [Mentor's Mobile Number]</w:t>
            </w:r>
          </w:p>
        </w:tc>
      </w:tr>
      <w:tr>
        <w:tc>
          <w:tcPr>
            <w:tcW w:type="dxa" w:w="2880"/>
            <w:shd w:fill="F8FAFC"/>
            <w:tcMar>
              <w:top w:w="80" w:type="dxa"/>
              <w:bottom w:w="80" w:type="dxa"/>
              <w:left w:w="120" w:type="dxa"/>
              <w:right w:w="120" w:type="dxa"/>
            </w:tcMar>
          </w:tcPr>
          <w:p>
            <w:r>
              <w:rPr>
                <w:b/>
                <w:color w:val="1E3A8A"/>
                <w:sz w:val="19"/>
              </w:rPr>
              <w:t>Employee ID (EmpID):</w:t>
            </w:r>
          </w:p>
        </w:tc>
        <w:tc>
          <w:tcPr>
            <w:tcW w:type="dxa" w:w="7200"/>
            <w:shd w:fill="FFFFFF"/>
            <w:tcMar>
              <w:top w:w="80" w:type="dxa"/>
              <w:bottom w:w="80" w:type="dxa"/>
              <w:left w:w="120" w:type="dxa"/>
              <w:right w:w="120" w:type="dxa"/>
            </w:tcMar>
          </w:tcPr>
          <w:p>
            <w:r>
              <w:rPr>
                <w:sz w:val="19"/>
              </w:rPr>
              <w:t>[Mentor's CHARUSAT Employee ID]</w:t>
            </w:r>
          </w:p>
        </w:tc>
      </w:tr>
      <w:tr>
        <w:tc>
          <w:tcPr>
            <w:tcW w:type="dxa" w:w="2880"/>
            <w:shd w:fill="F8FAFC"/>
            <w:tcMar>
              <w:top w:w="80" w:type="dxa"/>
              <w:bottom w:w="80" w:type="dxa"/>
              <w:left w:w="120" w:type="dxa"/>
              <w:right w:w="120" w:type="dxa"/>
            </w:tcMar>
          </w:tcPr>
          <w:p>
            <w:r>
              <w:rPr>
                <w:b/>
                <w:color w:val="1E3A8A"/>
                <w:sz w:val="19"/>
              </w:rPr>
              <w:t>Institutional Email ID:</w:t>
            </w:r>
          </w:p>
        </w:tc>
        <w:tc>
          <w:tcPr>
            <w:tcW w:type="dxa" w:w="7200"/>
            <w:shd w:fill="FFFFFF"/>
            <w:tcMar>
              <w:top w:w="80" w:type="dxa"/>
              <w:bottom w:w="80" w:type="dxa"/>
              <w:left w:w="120" w:type="dxa"/>
              <w:right w:w="120" w:type="dxa"/>
            </w:tcMar>
          </w:tcPr>
          <w:p>
            <w:r>
              <w:rPr>
                <w:sz w:val="19"/>
              </w:rPr>
              <w:t>[mentor.faculty]@charusat.ac.in</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