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Capacity test results Oct 2026</w:t>
      </w:r>
    </w:p>
    <w:p>
      <w:r>
        <w:rPr>
          <w:b/>
          <w:sz w:val="28"/>
        </w:rPr>
        <w:t xml:space="preserve">Summary</w:t>
      </w:r>
    </w:p>
    <w:p>
      <w:r>
        <w:t xml:space="preserve">Payout Rails and SRE ran the quarterly load test of the payout path in the performance environment on Tue 6 Oct 2026, ahead of the October payroll peak. payout-orchestrator met its targets with headroom. vn-rail-adapter is limited by the partner's rate limit, not by our code. The bottleneck at peak was settlement-ingest, which fell behind on return-file processing. Test lead: Priya Nair (SRE). Engineering owner: Arjun Mehta (Payout Rails).</w:t>
      </w:r>
    </w:p>
    <w:p>
      <w:r>
        <w:rPr>
          <w:b/>
          <w:sz w:val="28"/>
        </w:rPr>
        <w:t xml:space="preserve">Test setup</w:t>
      </w:r>
    </w:p>
    <w:p>
      <w:r>
        <w:t xml:space="preserve">• Environment: perf cluster, production-sized (12 payout-orchestrator pods, 6 vn-rail-adapter pods, 6 id-rail-adapter pods).</w:t>
      </w:r>
    </w:p>
    <w:p>
      <w:r>
        <w:t xml:space="preserve">• Partner endpoints: simulated with recorded latency profiles for VN Partner and ID Partner.</w:t>
      </w:r>
    </w:p>
    <w:p>
      <w:r>
        <w:t xml:space="preserve">• Traffic mix: 55% Vietnam, 40% Indonesia, 5% rejected or invalid.</w:t>
      </w:r>
    </w:p>
    <w:p>
      <w:r>
        <w:t xml:space="preserve">• Profile: 30-minute ramp, 60-minute sustained phase, 15-minute peak burst at 3x payroll-day volume.</w:t>
      </w:r>
    </w:p>
    <w:p>
      <w:r>
        <w:rPr>
          <w:b/>
          <w:sz w:val="28"/>
        </w:rPr>
        <w:t xml:space="preserve">Results: payout-orchestrator</w:t>
      </w:r>
    </w:p>
    <w:p>
      <w:r>
        <w:t xml:space="preserve">Metric | Target | Sustained | Peak burst</w:t>
      </w:r>
    </w:p>
    <w:p>
      <w:r>
        <w:t xml:space="preserve">Throughput (TPS) | 600 sustained, 1,200 peak | 640 | 1,310</w:t>
      </w:r>
    </w:p>
    <w:p>
      <w:r>
        <w:t xml:space="preserve">p95 dispatch latency | under 800 ms | 410 ms | 760 ms</w:t>
      </w:r>
    </w:p>
    <w:p>
      <w:r>
        <w:t xml:space="preserve">p99 dispatch latency | under 1.5 s | 690 ms | 1.38 s</w:t>
      </w:r>
    </w:p>
    <w:p>
      <w:r>
        <w:t xml:space="preserve">Error rate | under 0.5% | 0.08% | 0.31%</w:t>
      </w:r>
    </w:p>
    <w:p>
      <w:r>
        <w:t xml:space="preserve">Max retry queue depth | under 5,000 | 220 | 3,150</w:t>
      </w:r>
    </w:p>
    <w:p>
      <w:r>
        <w:rPr>
          <w:b/>
          <w:sz w:val="28"/>
        </w:rPr>
        <w:t xml:space="preserve">Results: rail adapters</w:t>
      </w:r>
    </w:p>
    <w:p>
      <w:r>
        <w:t xml:space="preserve">Metric | vn-rail-adapter | id-rail-adapter</w:t>
      </w:r>
    </w:p>
    <w:p>
      <w:r>
        <w:t xml:space="preserve">Max TPS reached | 420 | 560</w:t>
      </w:r>
    </w:p>
    <w:p>
      <w:r>
        <w:t xml:space="preserve">Limit | Partner rate limit 400 TPS (burst 450) | No limit reached</w:t>
      </w:r>
    </w:p>
    <w:p>
      <w:r>
        <w:t xml:space="preserve">p95 partner call latency | 310 ms | 240 ms</w:t>
      </w:r>
    </w:p>
    <w:p>
      <w:r>
        <w:t xml:space="preserve">HTTP 429 from partner at peak | 4.2% of calls | 0%</w:t>
      </w:r>
    </w:p>
    <w:p>
      <w:r>
        <w:t xml:space="preserve">vn-rail-adapter hit the VN Partner rate limit during the peak burst. 429 responses were retried correctly by payout-orchestrator, which explains most of the queue growth at peak. The v3 API raises the default limit to 600 TPS, which would remove this constraint after migration.</w:t>
      </w:r>
    </w:p>
    <w:p>
      <w:r>
        <w:rPr>
          <w:b/>
          <w:sz w:val="28"/>
        </w:rPr>
        <w:t xml:space="preserve">Bottleneck: settlement-ingest</w:t>
      </w:r>
    </w:p>
    <w:p>
      <w:r>
        <w:t xml:space="preserve">• settlement-ingest processed simulated return files at 1,900 records per minute against a peak arrival rate of 2,600 per minute.</w:t>
      </w:r>
    </w:p>
    <w:p>
      <w:r>
        <w:t xml:space="preserve">• Backlog reached 41,000 records and took 52 minutes to clear after the burst.</w:t>
      </w:r>
    </w:p>
    <w:p>
      <w:r>
        <w:t xml:space="preserve">• Cause: single-threaded parsing of partner return files and row-by-row posting to ledger-service.</w:t>
      </w:r>
    </w:p>
    <w:p>
      <w:r>
        <w:t xml:space="preserve">• Effect: reconciliation would complete about 1 hour late on a real payroll day; payouts themselves are not delayed.</w:t>
      </w:r>
    </w:p>
    <w:p>
      <w:r>
        <w:rPr>
          <w:b/>
          <w:sz w:val="28"/>
        </w:rPr>
        <w:t xml:space="preserve">Recommendations</w:t>
      </w:r>
    </w:p>
    <w:p>
      <w:r>
        <w:t xml:space="preserve">1. Parallelise settlement-ingest file parsing (4 workers) and batch postings to ledger-service in groups of 500. Owner: Ledger &amp; Settlement. Before the November payroll peak.</w:t>
      </w:r>
    </w:p>
    <w:p>
      <w:r>
        <w:t xml:space="preserve">2. Keep payout-orchestrator at 12 pods through month-end; autoscaling floor already set.</w:t>
      </w:r>
    </w:p>
    <w:p>
      <w:r>
        <w:t xml:space="preserve">3. Complete the VN Partner v3 migration to get the higher rate limit before peak volumes grow further.</w:t>
      </w:r>
    </w:p>
    <w:p>
      <w:r>
        <w:t xml:space="preserve">4. Add an alert on settlement-ingest backlog above 20,000 records.</w:t>
      </w:r>
    </w:p>
    <w:p>
      <w:r>
        <w:t xml:space="preserve">5. Re-run the peak profile after recommendation 1 ships.</w:t>
      </w:r>
    </w:p>
    <w:p>
      <w:r>
        <w:rPr>
          <w:b/>
          <w:sz w:val="28"/>
        </w:rPr>
        <w:t xml:space="preserve">Next test</w:t>
      </w:r>
    </w:p>
    <w:p>
      <w:r>
        <w:t xml:space="preserve">Week of Mon 9 Nov 2026, after the settlement-ingest changes and before the November payroll freeze (from Wed 25 Nov).</w:t>
      </w:r>
    </w:p>
    <w:p>
      <w:r>
        <w:t xml:space="preserve">SYNTHETIC DEMO DATA. Northstar Pay is a fictional company.</w:t>
      </w:r>
    </w:p>
    <w:sectPr>
      <w:pgSz w:w="11906" w:h="16838"/>
      <w:pgMar w:top="1440" w:right="1440" w:bottom="1440" w:left="1440" w:header="708" w:footer="708" w:gutter="0"/>
    </w:sectPr>
  </w:body>
</w:document>
</file>