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rPr>
          <w:rFonts w:ascii="Times New Roman" w:hAnsi="Times New Roman" w:eastAsia="Times New Roman" w:cs="Times New Roman"/>
          <w:b/>
          <w:bCs/>
          <w:sz w:val="28"/>
          <w:szCs w:val="28"/>
        </w:rPr>
      </w:pPr>
      <w:r>
        <w:rPr/>
        <w:drawing>
          <wp:inline distT="0" distB="0" distL="0" distR="0">
            <wp:extent cx="614680" cy="775970"/>
            <wp:effectExtent l="0" t="0" r="0" b="0"/>
            <wp:docPr id="1" name="image1.png" descr="University of Dhaka crest on the report cover." title="University of Dhaka crest on the repor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22479" t="15437" r="21471" b="14424"/>
                    <a:stretch>
                      <a:fillRect/>
                    </a:stretch>
                  </pic:blipFill>
                  <pic:spPr bwMode="auto">
                    <a:xfrm>
                      <a:off x="0" y="0"/>
                      <a:ext cx="614680" cy="775970"/>
                    </a:xfrm>
                    <a:prstGeom prst="rect">
                      <a:avLst/>
                    </a:prstGeom>
                    <a:noFill/>
                  </pic:spPr>
                </pic:pic>
              </a:graphicData>
            </a:graphic>
          </wp:inline>
        </w:drawing>
      </w:r>
      <w:r>
        <w:rPr>
          <w:rFonts w:eastAsia="Times New Roman" w:cs="Times New Roman" w:ascii="Times New Roman" w:hAnsi="Times New Roman"/>
          <w:b/>
          <w:bCs/>
          <w:sz w:val="28"/>
          <w:szCs w:val="28"/>
        </w:rPr>
        <w:t xml:space="preserve">                                                                                            </w:t>
      </w:r>
      <w:r>
        <w:rPr/>
        <w:drawing>
          <wp:inline distT="0" distB="0" distL="0" distR="0">
            <wp:extent cx="1121410" cy="660400"/>
            <wp:effectExtent l="0" t="0" r="0" b="0"/>
            <wp:docPr id="2" name="image2.png" descr="Institute of Information Technology, University of Dhaka logo on the report cover." title="Institute of Information Technology, University of Dhaka logo on the repor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rcRect l="0" t="19011" r="0" b="22083"/>
                    <a:stretch>
                      <a:fillRect/>
                    </a:stretch>
                  </pic:blipFill>
                  <pic:spPr bwMode="auto">
                    <a:xfrm>
                      <a:off x="0" y="0"/>
                      <a:ext cx="1121410" cy="660400"/>
                    </a:xfrm>
                    <a:prstGeom prst="rect">
                      <a:avLst/>
                    </a:prstGeom>
                    <a:noFill/>
                  </pic:spPr>
                </pic:pic>
              </a:graphicData>
            </a:graphic>
          </wp:inline>
        </w:drawing>
      </w:r>
    </w:p>
    <w:p>
      <w:pPr>
        <w:pStyle w:val="normal1"/>
        <w:spacing w:lineRule="auto" w:line="240"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0" w:after="0"/>
        <w:rPr>
          <w:rFonts w:ascii="Calibri" w:hAnsi="Calibri" w:eastAsia="Calibri" w:cs="Calibri"/>
          <w:b/>
          <w:bCs/>
          <w:sz w:val="50"/>
          <w:szCs w:val="50"/>
        </w:rPr>
      </w:pPr>
      <w:r>
        <w:rPr>
          <w:rFonts w:eastAsia="Calibri" w:cs="Calibri" w:ascii="Calibri" w:hAnsi="Calibri"/>
          <w:b/>
          <w:bCs/>
          <w:sz w:val="50"/>
          <w:szCs w:val="50"/>
        </w:rPr>
        <w:t>MIT OPEN CREDIT MANAGEMENT SYSTEM</w:t>
      </w:r>
    </w:p>
    <w:p>
      <w:pPr>
        <w:pStyle w:val="normal1"/>
        <w:spacing w:lineRule="auto" w:line="240" w:before="160" w:after="480"/>
        <w:rPr>
          <w:rFonts w:ascii="Times New Roman" w:hAnsi="Times New Roman" w:eastAsia="Times New Roman" w:cs="Times New Roman"/>
          <w:b/>
          <w:bCs/>
          <w:sz w:val="32"/>
          <w:szCs w:val="32"/>
        </w:rPr>
      </w:pPr>
      <w:r>
        <w:rPr>
          <w:rFonts w:eastAsia="Calibri" w:cs="Calibri" w:ascii="Calibri" w:hAnsi="Calibri"/>
          <w:b/>
          <w:bCs/>
          <w:i/>
          <w:iCs/>
          <w:sz w:val="26"/>
          <w:szCs w:val="26"/>
        </w:rPr>
        <w:t xml:space="preserve">   </w:t>
      </w:r>
      <w:r>
        <w:rPr>
          <w:rFonts w:eastAsia="Calibri" w:cs="Calibri" w:ascii="Calibri" w:hAnsi="Calibri"/>
          <w:b/>
          <w:bCs/>
          <w:i/>
          <w:iCs/>
          <w:sz w:val="26"/>
          <w:szCs w:val="26"/>
        </w:rPr>
        <w:t>Rule-Driven Academic Enrollment, Result &amp; Financial Management Platform</w:t>
      </w:r>
    </w:p>
    <w:p>
      <w:pPr>
        <w:pStyle w:val="normal1"/>
        <w:spacing w:lineRule="auto" w:line="240" w:before="0" w:after="0"/>
        <w:jc w:val="center"/>
        <w:rPr>
          <w:rFonts w:ascii="Calibri" w:hAnsi="Calibri" w:eastAsia="Calibri" w:cs="Calibri"/>
          <w:sz w:val="28"/>
          <w:szCs w:val="28"/>
        </w:rPr>
      </w:pPr>
      <w:r>
        <w:rPr>
          <w:rFonts w:eastAsia="Times New Roman" w:cs="Times New Roman" w:ascii="Times New Roman" w:hAnsi="Times New Roman"/>
          <w:sz w:val="24"/>
          <w:szCs w:val="24"/>
        </w:rPr>
        <w:t>SE 801 :</w:t>
      </w:r>
      <w:r>
        <w:rPr>
          <w:rFonts w:eastAsia="Calibri" w:cs="Calibri" w:ascii="Calibri" w:hAnsi="Calibri"/>
          <w:sz w:val="28"/>
          <w:szCs w:val="28"/>
        </w:rPr>
        <w:t>Software Project Lab 3</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rPr>
          <w:rFonts w:ascii="Times New Roman" w:hAnsi="Times New Roman" w:eastAsia="Times New Roman" w:cs="Times New Roman"/>
          <w:sz w:val="26"/>
          <w:szCs w:val="26"/>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sz w:val="26"/>
          <w:szCs w:val="26"/>
        </w:rPr>
        <w:t xml:space="preserve">Submitted by </w:t>
      </w:r>
    </w:p>
    <w:p>
      <w:pPr>
        <w:pStyle w:val="normal1"/>
        <w:spacing w:lineRule="auto" w:line="240" w:before="0" w:after="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0" w:after="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MD. Jihad Hossain</w:t>
      </w:r>
    </w:p>
    <w:p>
      <w:pPr>
        <w:pStyle w:val="normal1"/>
        <w:spacing w:lineRule="auto" w:line="240" w:before="0" w:after="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BSSE Roll No. : 1413</w:t>
      </w:r>
    </w:p>
    <w:p>
      <w:pPr>
        <w:pStyle w:val="normal1"/>
        <w:spacing w:lineRule="auto" w:line="240" w:before="0" w:after="0"/>
        <w:jc w:val="center"/>
        <w:rPr>
          <w:rFonts w:ascii="Times New Roman" w:hAnsi="Times New Roman" w:eastAsia="Times New Roman" w:cs="Times New Roman"/>
          <w:b/>
          <w:bCs/>
          <w:sz w:val="32"/>
          <w:szCs w:val="32"/>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BSSE Session: 2021-22 </w:t>
      </w:r>
    </w:p>
    <w:p>
      <w:pPr>
        <w:pStyle w:val="normal1"/>
        <w:spacing w:lineRule="auto" w:line="240" w:before="0" w:after="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240" w:before="0" w:after="80"/>
        <w:jc w:val="center"/>
        <w:rPr>
          <w:rFonts w:ascii="Calibri" w:hAnsi="Calibri" w:eastAsia="Calibri" w:cs="Calibri"/>
          <w:sz w:val="26"/>
          <w:szCs w:val="26"/>
        </w:rPr>
      </w:pPr>
      <w:r>
        <w:rPr>
          <w:rFonts w:eastAsia="Calibri" w:cs="Calibri" w:ascii="Calibri" w:hAnsi="Calibri"/>
          <w:sz w:val="26"/>
          <w:szCs w:val="26"/>
        </w:rPr>
        <w:t>Supervised by</w:t>
      </w:r>
    </w:p>
    <w:p>
      <w:pPr>
        <w:pStyle w:val="normal1"/>
        <w:spacing w:lineRule="auto" w:line="240" w:before="0" w:after="80"/>
        <w:jc w:val="center"/>
        <w:rPr>
          <w:rFonts w:ascii="Times New Roman" w:hAnsi="Times New Roman" w:eastAsia="Times New Roman" w:cs="Times New Roman"/>
          <w:sz w:val="26"/>
          <w:szCs w:val="26"/>
        </w:rPr>
      </w:pPr>
      <w:r>
        <w:rPr>
          <w:rFonts w:eastAsia="Calibri" w:cs="Calibri" w:ascii="Calibri" w:hAnsi="Calibri"/>
          <w:b/>
          <w:bCs/>
          <w:sz w:val="26"/>
          <w:szCs w:val="26"/>
        </w:rPr>
        <w:t xml:space="preserve"> </w:t>
      </w:r>
      <w:r>
        <w:rPr>
          <w:rFonts w:eastAsia="Calibri" w:cs="Calibri" w:ascii="Calibri" w:hAnsi="Calibri"/>
          <w:b/>
          <w:bCs/>
          <w:sz w:val="26"/>
          <w:szCs w:val="26"/>
        </w:rPr>
        <w:t>Dr. Md. Nurul Ahad Tawhid</w:t>
      </w:r>
    </w:p>
    <w:p>
      <w:pPr>
        <w:pStyle w:val="normal1"/>
        <w:spacing w:lineRule="auto" w:line="240" w:before="0" w:after="0"/>
        <w:jc w:val="center"/>
        <w:rPr>
          <w:rFonts w:ascii="Times New Roman" w:hAnsi="Times New Roman" w:eastAsia="Times New Roman" w:cs="Times New Roman"/>
          <w:b/>
          <w:bCs/>
          <w:sz w:val="32"/>
          <w:szCs w:val="32"/>
        </w:rPr>
      </w:pPr>
      <w:r>
        <w:rPr>
          <w:rFonts w:eastAsia="Times New Roman" w:cs="Times New Roman" w:ascii="Times New Roman" w:hAnsi="Times New Roman"/>
          <w:sz w:val="26"/>
          <w:szCs w:val="26"/>
        </w:rPr>
        <w:t>Associate Professor</w:t>
      </w:r>
      <w:r>
        <w:rPr>
          <w:rFonts w:eastAsia="Times New Roman" w:cs="Times New Roman" w:ascii="Times New Roman" w:hAnsi="Times New Roman"/>
          <w:b/>
          <w:bCs/>
          <w:sz w:val="32"/>
          <w:szCs w:val="32"/>
        </w:rPr>
        <w:t xml:space="preserve"> </w:t>
      </w:r>
    </w:p>
    <w:p>
      <w:pPr>
        <w:pStyle w:val="normal1"/>
        <w:spacing w:lineRule="auto" w:line="240" w:before="0" w:after="0"/>
        <w:jc w:val="center"/>
        <w:rPr>
          <w:rFonts w:ascii="Times New Roman" w:hAnsi="Times New Roman" w:eastAsia="Times New Roman" w:cs="Times New Roman"/>
          <w:b/>
          <w:bCs/>
          <w:sz w:val="32"/>
          <w:szCs w:val="32"/>
        </w:rPr>
      </w:pPr>
      <w:r>
        <w:rPr>
          <w:rFonts w:eastAsia="Times New Roman" w:cs="Times New Roman" w:ascii="Times New Roman" w:hAnsi="Times New Roman"/>
          <w:sz w:val="26"/>
          <w:szCs w:val="26"/>
        </w:rPr>
        <w:t>Institute of Information Technology</w:t>
      </w:r>
      <w:r>
        <w:rPr>
          <w:rFonts w:eastAsia="Times New Roman" w:cs="Times New Roman" w:ascii="Times New Roman" w:hAnsi="Times New Roman"/>
          <w:b/>
          <w:bCs/>
          <w:sz w:val="32"/>
          <w:szCs w:val="32"/>
        </w:rPr>
        <w:t xml:space="preserve"> </w:t>
      </w:r>
    </w:p>
    <w:p>
      <w:pPr>
        <w:pStyle w:val="normal1"/>
        <w:spacing w:lineRule="auto" w:line="240" w:before="0" w:after="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University of Dhaka </w:t>
      </w:r>
    </w:p>
    <w:p>
      <w:pPr>
        <w:pStyle w:val="normal1"/>
        <w:spacing w:lineRule="auto" w:line="240" w:before="0" w:after="0"/>
        <w:jc w:val="center"/>
        <w:rPr/>
      </w:pPr>
      <w:r>
        <w:rPr>
          <w:rFonts w:eastAsia="Times New Roman" w:cs="Times New Roman" w:ascii="Times New Roman" w:hAnsi="Times New Roman"/>
          <w:sz w:val="26"/>
          <w:szCs w:val="26"/>
        </w:rPr>
        <w:t>02-08-2026</w:t>
      </w:r>
    </w:p>
    <w:p>
      <w:pPr>
        <w:pStyle w:val="normal1"/>
        <w:rPr/>
      </w:pPr>
      <w:r>
        <w:rPr/>
      </w:r>
      <w:r>
        <w:br w:type="page"/>
      </w:r>
    </w:p>
    <w:p>
      <w:pPr>
        <w:pStyle w:val="normal1"/>
        <w:spacing w:lineRule="auto" w:line="240" w:before="0" w:after="160"/>
        <w:jc w:val="left"/>
        <w:rPr>
          <w:color w:val="2E5C8A"/>
          <w:sz w:val="32"/>
          <w:szCs w:val="32"/>
        </w:rPr>
      </w:pPr>
      <w:r>
        <w:rPr>
          <w:b/>
          <w:color w:val="2E5C8A"/>
          <w:sz w:val="32"/>
        </w:rPr>
        <w:t>Table of Contents</w:t>
      </w:r>
    </w:p>
    <w:p>
      <w:pPr>
        <w:pStyle w:val="normal1"/>
        <w:tabs>
          <w:tab w:val="clear" w:pos="720"/>
          <w:tab w:val="right" w:pos="9288" w:leader="none"/>
        </w:tabs>
        <w:spacing w:lineRule="auto" w:line="240" w:before="0" w:after="22"/>
        <w:ind w:hanging="0" w:left="259"/>
        <w:rPr/>
      </w:pPr>
      <w:r>
        <w:rPr/>
      </w:r>
    </w:p>
    <w:p>
      <w:pPr>
        <w:pStyle w:val="normal1"/>
        <w:tabs>
          <w:tab w:val="clear" w:pos="720"/>
          <w:tab w:val="right" w:pos="9288" w:leader="none"/>
        </w:tabs>
        <w:spacing w:lineRule="auto" w:line="240" w:before="0" w:after="24"/>
        <w:rPr/>
      </w:pPr>
      <w:r>
        <w:rPr/>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"1-9" \u \t "heading 1,1,heading 2,2,heading 3,3,heading 4,4,heading 5,5,heading 6,6" \h</w:instrText>
          </w:r>
          <w:r>
            <w:rPr>
              <w:webHidden/>
              <w:rStyle w:val="IndexLink"/>
            </w:rPr>
            <w:fldChar w:fldCharType="separate"/>
          </w:r>
          <w:hyperlink w:anchor="__RefHeading___Toc1260_4291522737">
            <w:r>
              <w:rPr>
                <w:webHidden/>
                <w:rStyle w:val="IndexLink"/>
              </w:rPr>
              <w:t>1. Project Overview</w:t>
              <w:tab/>
              <w:t>5</w:t>
            </w:r>
          </w:hyperlink>
        </w:p>
        <w:p>
          <w:pPr>
            <w:pStyle w:val="TOC2"/>
            <w:tabs>
              <w:tab w:val="clear" w:pos="9797"/>
              <w:tab w:val="right" w:pos="10079" w:leader="dot"/>
            </w:tabs>
            <w:rPr/>
          </w:pPr>
          <w:hyperlink w:anchor="__RefHeading___Toc1276_4291522737">
            <w:r>
              <w:rPr>
                <w:webHidden/>
                <w:rStyle w:val="IndexLink"/>
              </w:rPr>
              <w:t>1.1 Project Title</w:t>
              <w:tab/>
              <w:t>5</w:t>
            </w:r>
          </w:hyperlink>
        </w:p>
        <w:p>
          <w:pPr>
            <w:pStyle w:val="TOC2"/>
            <w:tabs>
              <w:tab w:val="clear" w:pos="9797"/>
              <w:tab w:val="right" w:pos="10079" w:leader="dot"/>
            </w:tabs>
            <w:rPr/>
          </w:pPr>
          <w:hyperlink w:anchor="__RefHeading___Toc1304_4291522737">
            <w:r>
              <w:rPr>
                <w:webHidden/>
                <w:rStyle w:val="IndexLink"/>
              </w:rPr>
              <w:t>1.2 Problem Statement</w:t>
              <w:tab/>
              <w:t>5</w:t>
            </w:r>
          </w:hyperlink>
        </w:p>
        <w:p>
          <w:pPr>
            <w:pStyle w:val="TOC2"/>
            <w:tabs>
              <w:tab w:val="clear" w:pos="9797"/>
              <w:tab w:val="right" w:pos="10079" w:leader="dot"/>
            </w:tabs>
            <w:rPr/>
          </w:pPr>
          <w:hyperlink w:anchor="__RefHeading___Toc1302_4291522737">
            <w:r>
              <w:rPr>
                <w:webHidden/>
                <w:rStyle w:val="IndexLink"/>
              </w:rPr>
              <w:t>1.3 Objectives</w:t>
              <w:tab/>
              <w:t>5</w:t>
            </w:r>
          </w:hyperlink>
        </w:p>
        <w:p>
          <w:pPr>
            <w:pStyle w:val="TOC2"/>
            <w:tabs>
              <w:tab w:val="clear" w:pos="9797"/>
              <w:tab w:val="right" w:pos="10079" w:leader="dot"/>
            </w:tabs>
            <w:rPr/>
          </w:pPr>
          <w:hyperlink w:anchor="__RefHeading___Toc1300_4291522737">
            <w:r>
              <w:rPr>
                <w:webHidden/>
                <w:rStyle w:val="IndexLink"/>
              </w:rPr>
              <w:t>1.4 Scope</w:t>
              <w:tab/>
              <w:t>6</w:t>
            </w:r>
          </w:hyperlink>
        </w:p>
        <w:p>
          <w:pPr>
            <w:pStyle w:val="TOC2"/>
            <w:tabs>
              <w:tab w:val="clear" w:pos="9797"/>
              <w:tab w:val="right" w:pos="10079" w:leader="dot"/>
            </w:tabs>
            <w:rPr/>
          </w:pPr>
          <w:hyperlink w:anchor="__RefHeading___Toc1298_4291522737">
            <w:r>
              <w:rPr>
                <w:webHidden/>
                <w:rStyle w:val="IndexLink"/>
              </w:rPr>
              <w:t>1.5 Deliverables</w:t>
              <w:tab/>
              <w:t>6</w:t>
            </w:r>
          </w:hyperlink>
        </w:p>
        <w:p>
          <w:pPr>
            <w:pStyle w:val="TOC1"/>
            <w:tabs>
              <w:tab w:val="clear" w:pos="10080"/>
              <w:tab w:val="right" w:pos="10079" w:leader="dot"/>
            </w:tabs>
            <w:rPr/>
          </w:pPr>
          <w:hyperlink w:anchor="__RefHeading___Toc1274_4291522737">
            <w:r>
              <w:rPr>
                <w:webHidden/>
                <w:rStyle w:val="IndexLink"/>
              </w:rPr>
              <w:t>2. Requirements Analysis</w:t>
              <w:tab/>
              <w:t>7</w:t>
            </w:r>
          </w:hyperlink>
        </w:p>
        <w:p>
          <w:pPr>
            <w:pStyle w:val="TOC2"/>
            <w:tabs>
              <w:tab w:val="clear" w:pos="9797"/>
              <w:tab w:val="right" w:pos="10079" w:leader="dot"/>
            </w:tabs>
            <w:rPr/>
          </w:pPr>
          <w:hyperlink w:anchor="__RefHeading___Toc1296_4291522737">
            <w:r>
              <w:rPr>
                <w:webHidden/>
                <w:rStyle w:val="IndexLink"/>
              </w:rPr>
              <w:t>2.1 Functional Requirements</w:t>
              <w:tab/>
              <w:t>7</w:t>
            </w:r>
          </w:hyperlink>
        </w:p>
        <w:p>
          <w:pPr>
            <w:pStyle w:val="TOC2"/>
            <w:tabs>
              <w:tab w:val="clear" w:pos="9797"/>
              <w:tab w:val="right" w:pos="10079" w:leader="dot"/>
            </w:tabs>
            <w:rPr/>
          </w:pPr>
          <w:hyperlink w:anchor="__RefHeading___Toc1294_4291522737">
            <w:r>
              <w:rPr>
                <w:webHidden/>
                <w:rStyle w:val="IndexLink"/>
              </w:rPr>
              <w:t>2.2 Non-functional Requirements</w:t>
              <w:tab/>
              <w:t>8</w:t>
            </w:r>
          </w:hyperlink>
        </w:p>
        <w:p>
          <w:pPr>
            <w:pStyle w:val="TOC2"/>
            <w:tabs>
              <w:tab w:val="clear" w:pos="9797"/>
              <w:tab w:val="right" w:pos="10079" w:leader="dot"/>
            </w:tabs>
            <w:rPr/>
          </w:pPr>
          <w:hyperlink w:anchor="__RefHeading___Toc1292_4291522737">
            <w:r>
              <w:rPr>
                <w:webHidden/>
                <w:rStyle w:val="IndexLink"/>
              </w:rPr>
              <w:t>2.3 Stakeholders</w:t>
              <w:tab/>
              <w:t>8</w:t>
            </w:r>
          </w:hyperlink>
        </w:p>
        <w:p>
          <w:pPr>
            <w:pStyle w:val="TOC2"/>
            <w:tabs>
              <w:tab w:val="clear" w:pos="9797"/>
              <w:tab w:val="right" w:pos="10079" w:leader="dot"/>
            </w:tabs>
            <w:rPr/>
          </w:pPr>
          <w:hyperlink w:anchor="__RefHeading___Toc1290_4291522737">
            <w:r>
              <w:rPr>
                <w:webHidden/>
                <w:rStyle w:val="IndexLink"/>
              </w:rPr>
              <w:t>2.4 Usage Scenarios</w:t>
              <w:tab/>
              <w:t>8</w:t>
            </w:r>
          </w:hyperlink>
        </w:p>
        <w:p>
          <w:pPr>
            <w:pStyle w:val="TOC1"/>
            <w:tabs>
              <w:tab w:val="clear" w:pos="10080"/>
              <w:tab w:val="right" w:pos="10079" w:leader="dot"/>
            </w:tabs>
            <w:rPr/>
          </w:pPr>
          <w:hyperlink w:anchor="__RefHeading___Toc1272_4291522737">
            <w:r>
              <w:rPr>
                <w:webHidden/>
                <w:rStyle w:val="IndexLink"/>
              </w:rPr>
              <w:t>3. System Modeling</w:t>
              <w:tab/>
              <w:t>9</w:t>
            </w:r>
          </w:hyperlink>
        </w:p>
        <w:p>
          <w:pPr>
            <w:pStyle w:val="TOC2"/>
            <w:tabs>
              <w:tab w:val="clear" w:pos="9797"/>
              <w:tab w:val="right" w:pos="10079" w:leader="dot"/>
            </w:tabs>
            <w:rPr/>
          </w:pPr>
          <w:hyperlink w:anchor="__RefHeading___Toc1288_4291522737">
            <w:r>
              <w:rPr>
                <w:webHidden/>
                <w:rStyle w:val="IndexLink"/>
              </w:rPr>
              <w:t>3.1 Use Case Diagrams and Descriptions</w:t>
              <w:tab/>
              <w:t>9</w:t>
            </w:r>
          </w:hyperlink>
        </w:p>
        <w:p>
          <w:pPr>
            <w:pStyle w:val="TOC3"/>
            <w:tabs>
              <w:tab w:val="clear" w:pos="9513"/>
              <w:tab w:val="right" w:pos="10079" w:leader="dot"/>
            </w:tabs>
            <w:rPr/>
          </w:pPr>
          <w:hyperlink w:anchor="__RefHeading___Toc1306_4291522737">
            <w:r>
              <w:rPr>
                <w:webHidden/>
                <w:rStyle w:val="IndexLink"/>
                <w:i/>
                <w:iCs/>
              </w:rPr>
              <w:t>Level 0 — System Overview</w:t>
            </w:r>
            <w:r>
              <w:rPr>
                <w:rStyle w:val="IndexLink"/>
              </w:rPr>
              <w:tab/>
              <w:t>9</w:t>
            </w:r>
          </w:hyperlink>
        </w:p>
        <w:p>
          <w:pPr>
            <w:pStyle w:val="TOC3"/>
            <w:tabs>
              <w:tab w:val="clear" w:pos="9513"/>
              <w:tab w:val="right" w:pos="10079" w:leader="dot"/>
            </w:tabs>
            <w:rPr/>
          </w:pPr>
          <w:hyperlink w:anchor="__RefHeading___Toc1328_4291522737">
            <w:r>
              <w:rPr>
                <w:webHidden/>
                <w:rStyle w:val="IndexLink"/>
                <w:i/>
                <w:iCs/>
              </w:rPr>
              <w:t>Level 1 — Full System (Actor-Based)</w:t>
            </w:r>
            <w:r>
              <w:rPr>
                <w:rStyle w:val="IndexLink"/>
              </w:rPr>
              <w:tab/>
              <w:t>10</w:t>
            </w:r>
          </w:hyperlink>
        </w:p>
        <w:p>
          <w:pPr>
            <w:pStyle w:val="TOC3"/>
            <w:tabs>
              <w:tab w:val="clear" w:pos="9513"/>
              <w:tab w:val="right" w:pos="10079" w:leader="dot"/>
            </w:tabs>
            <w:rPr/>
          </w:pPr>
          <w:hyperlink w:anchor="__RefHeading___Toc1326_4291522737">
            <w:r>
              <w:rPr>
                <w:webHidden/>
                <w:rStyle w:val="IndexLink"/>
                <w:i/>
                <w:iCs/>
              </w:rPr>
              <w:t>Level 1.1 — Authentication &amp; Role Access</w:t>
            </w:r>
            <w:r>
              <w:rPr>
                <w:rStyle w:val="IndexLink"/>
              </w:rPr>
              <w:tab/>
              <w:t>11</w:t>
            </w:r>
          </w:hyperlink>
        </w:p>
        <w:p>
          <w:pPr>
            <w:pStyle w:val="TOC3"/>
            <w:tabs>
              <w:tab w:val="clear" w:pos="9513"/>
              <w:tab w:val="right" w:pos="10079" w:leader="dot"/>
            </w:tabs>
            <w:rPr/>
          </w:pPr>
          <w:hyperlink w:anchor="__RefHeading___Toc1324_4291522737">
            <w:r>
              <w:rPr>
                <w:webHidden/>
                <w:rStyle w:val="IndexLink"/>
                <w:i/>
                <w:iCs/>
              </w:rPr>
              <w:t>Level 1.2 — Student Course Registration</w:t>
            </w:r>
            <w:r>
              <w:rPr>
                <w:rStyle w:val="IndexLink"/>
              </w:rPr>
              <w:tab/>
              <w:t>12</w:t>
            </w:r>
          </w:hyperlink>
        </w:p>
        <w:p>
          <w:pPr>
            <w:pStyle w:val="TOC3"/>
            <w:tabs>
              <w:tab w:val="clear" w:pos="9513"/>
              <w:tab w:val="right" w:pos="10079" w:leader="dot"/>
            </w:tabs>
            <w:rPr/>
          </w:pPr>
          <w:hyperlink w:anchor="__RefHeading___Toc1322_4291522737">
            <w:r>
              <w:rPr>
                <w:webHidden/>
                <w:rStyle w:val="IndexLink"/>
                <w:i/>
                <w:iCs/>
              </w:rPr>
              <w:t>Level 1.3 — Student Academic Progress &amp; Finance</w:t>
            </w:r>
            <w:r>
              <w:rPr>
                <w:rStyle w:val="IndexLink"/>
              </w:rPr>
              <w:tab/>
              <w:t>13</w:t>
            </w:r>
          </w:hyperlink>
        </w:p>
        <w:p>
          <w:pPr>
            <w:pStyle w:val="TOC3"/>
            <w:tabs>
              <w:tab w:val="clear" w:pos="9513"/>
              <w:tab w:val="right" w:pos="10079" w:leader="dot"/>
            </w:tabs>
            <w:rPr/>
          </w:pPr>
          <w:hyperlink w:anchor="__RefHeading___Toc1320_4291522737">
            <w:r>
              <w:rPr>
                <w:webHidden/>
                <w:rStyle w:val="IndexLink"/>
                <w:i/>
                <w:iCs/>
              </w:rPr>
              <w:t>Level 1.4 — Teacher Marks Management</w:t>
            </w:r>
            <w:r>
              <w:rPr>
                <w:rStyle w:val="IndexLink"/>
              </w:rPr>
              <w:tab/>
              <w:t>14</w:t>
            </w:r>
          </w:hyperlink>
        </w:p>
        <w:p>
          <w:pPr>
            <w:pStyle w:val="TOC3"/>
            <w:tabs>
              <w:tab w:val="clear" w:pos="9513"/>
              <w:tab w:val="right" w:pos="10079" w:leader="dot"/>
            </w:tabs>
            <w:rPr/>
          </w:pPr>
          <w:hyperlink w:anchor="__RefHeading___Toc1318_4291522737">
            <w:r>
              <w:rPr>
                <w:webHidden/>
                <w:rStyle w:val="IndexLink"/>
                <w:i/>
                <w:iCs/>
              </w:rPr>
              <w:t>Level 1.5 — Admin Academic &amp; Financial Administration</w:t>
            </w:r>
            <w:r>
              <w:rPr>
                <w:rStyle w:val="IndexLink"/>
              </w:rPr>
              <w:tab/>
              <w:t>15</w:t>
            </w:r>
          </w:hyperlink>
        </w:p>
        <w:p>
          <w:pPr>
            <w:pStyle w:val="TOC2"/>
            <w:tabs>
              <w:tab w:val="clear" w:pos="9797"/>
              <w:tab w:val="right" w:pos="10079" w:leader="dot"/>
            </w:tabs>
            <w:rPr/>
          </w:pPr>
          <w:hyperlink w:anchor="__RefHeading___Toc1286_4291522737">
            <w:r>
              <w:rPr>
                <w:webHidden/>
                <w:rStyle w:val="IndexLink"/>
              </w:rPr>
              <w:t>3.2 Activity Diagrams</w:t>
              <w:tab/>
              <w:t>16</w:t>
            </w:r>
          </w:hyperlink>
        </w:p>
        <w:p>
          <w:pPr>
            <w:pStyle w:val="TOC3"/>
            <w:tabs>
              <w:tab w:val="clear" w:pos="9513"/>
              <w:tab w:val="right" w:pos="10079" w:leader="dot"/>
            </w:tabs>
            <w:rPr/>
          </w:pPr>
          <w:hyperlink w:anchor="__RefHeading___Toc1316_4291522737">
            <w:r>
              <w:rPr>
                <w:webHidden/>
                <w:rStyle w:val="IndexLink"/>
                <w:i/>
                <w:iCs/>
              </w:rPr>
              <w:t>3.2.1 Authentication &amp; Role Routing</w:t>
            </w:r>
            <w:r>
              <w:rPr>
                <w:rStyle w:val="IndexLink"/>
              </w:rPr>
              <w:tab/>
              <w:t>16</w:t>
            </w:r>
          </w:hyperlink>
        </w:p>
        <w:p>
          <w:pPr>
            <w:pStyle w:val="TOC3"/>
            <w:tabs>
              <w:tab w:val="clear" w:pos="9513"/>
              <w:tab w:val="right" w:pos="10079" w:leader="dot"/>
            </w:tabs>
            <w:rPr/>
          </w:pPr>
          <w:hyperlink w:anchor="__RefHeading___Toc1314_4291522737">
            <w:r>
              <w:rPr>
                <w:webHidden/>
                <w:rStyle w:val="IndexLink"/>
                <w:i/>
                <w:iCs/>
              </w:rPr>
              <w:t>3.2.2 Student Course Registration</w:t>
            </w:r>
            <w:r>
              <w:rPr>
                <w:rStyle w:val="IndexLink"/>
              </w:rPr>
              <w:tab/>
              <w:t>17</w:t>
            </w:r>
          </w:hyperlink>
        </w:p>
        <w:p>
          <w:pPr>
            <w:pStyle w:val="TOC3"/>
            <w:tabs>
              <w:tab w:val="clear" w:pos="9513"/>
              <w:tab w:val="right" w:pos="10079" w:leader="dot"/>
            </w:tabs>
            <w:rPr/>
          </w:pPr>
          <w:hyperlink w:anchor="__RefHeading___Toc1312_4291522737">
            <w:r>
              <w:rPr>
                <w:webHidden/>
                <w:rStyle w:val="IndexLink"/>
                <w:i/>
                <w:iCs/>
              </w:rPr>
              <w:t>3.2.3 Teacher Marks Entry</w:t>
            </w:r>
            <w:r>
              <w:rPr>
                <w:rStyle w:val="IndexLink"/>
              </w:rPr>
              <w:tab/>
              <w:t>18</w:t>
            </w:r>
          </w:hyperlink>
        </w:p>
        <w:p>
          <w:pPr>
            <w:pStyle w:val="TOC3"/>
            <w:tabs>
              <w:tab w:val="clear" w:pos="9513"/>
              <w:tab w:val="right" w:pos="10079" w:leader="dot"/>
            </w:tabs>
            <w:rPr/>
          </w:pPr>
          <w:hyperlink w:anchor="__RefHeading___Toc1310_4291522737">
            <w:r>
              <w:rPr>
                <w:webHidden/>
                <w:rStyle w:val="IndexLink"/>
                <w:i/>
                <w:iCs/>
              </w:rPr>
              <w:t>3.2.4 Result Calculation &amp; Publication</w:t>
            </w:r>
            <w:r>
              <w:rPr>
                <w:rStyle w:val="IndexLink"/>
              </w:rPr>
              <w:tab/>
              <w:t>19</w:t>
            </w:r>
          </w:hyperlink>
        </w:p>
        <w:p>
          <w:pPr>
            <w:pStyle w:val="TOC3"/>
            <w:tabs>
              <w:tab w:val="clear" w:pos="9513"/>
              <w:tab w:val="right" w:pos="10079" w:leader="dot"/>
            </w:tabs>
            <w:rPr/>
          </w:pPr>
          <w:hyperlink w:anchor="__RefHeading___Toc1308_4291522737">
            <w:r>
              <w:rPr>
                <w:webHidden/>
                <w:rStyle w:val="IndexLink"/>
                <w:i/>
                <w:iCs/>
              </w:rPr>
              <w:t>3.2.5 Fee, Payment &amp; Dues Update</w:t>
            </w:r>
            <w:r>
              <w:rPr>
                <w:rStyle w:val="IndexLink"/>
              </w:rPr>
              <w:tab/>
              <w:t>20</w:t>
            </w:r>
          </w:hyperlink>
        </w:p>
        <w:p>
          <w:pPr>
            <w:pStyle w:val="TOC1"/>
            <w:tabs>
              <w:tab w:val="clear" w:pos="10080"/>
              <w:tab w:val="right" w:pos="10079" w:leader="dot"/>
            </w:tabs>
            <w:rPr/>
          </w:pPr>
          <w:hyperlink w:anchor="__RefHeading___Toc1270_4291522737">
            <w:r>
              <w:rPr>
                <w:webHidden/>
                <w:rStyle w:val="IndexLink"/>
              </w:rPr>
              <w:t>4. Data &amp; Information Modeling</w:t>
              <w:tab/>
              <w:t>21</w:t>
            </w:r>
          </w:hyperlink>
        </w:p>
        <w:p>
          <w:pPr>
            <w:pStyle w:val="TOC2"/>
            <w:tabs>
              <w:tab w:val="clear" w:pos="9797"/>
              <w:tab w:val="right" w:pos="10079" w:leader="dot"/>
            </w:tabs>
            <w:rPr/>
          </w:pPr>
          <w:hyperlink w:anchor="__RefHeading___Toc1284_4291522737">
            <w:r>
              <w:rPr>
                <w:webHidden/>
                <w:rStyle w:val="IndexLink"/>
              </w:rPr>
              <w:t>4.1 Data Objects and Relationships</w:t>
              <w:tab/>
              <w:t>21</w:t>
            </w:r>
          </w:hyperlink>
        </w:p>
        <w:p>
          <w:pPr>
            <w:pStyle w:val="TOC2"/>
            <w:tabs>
              <w:tab w:val="clear" w:pos="9797"/>
              <w:tab w:val="right" w:pos="10079" w:leader="dot"/>
            </w:tabs>
            <w:rPr/>
          </w:pPr>
          <w:hyperlink w:anchor="__RefHeading___Toc1282_4291522737">
            <w:r>
              <w:rPr>
                <w:webHidden/>
                <w:rStyle w:val="IndexLink"/>
              </w:rPr>
              <w:t>4.2 Entity Relationship Diagram</w:t>
              <w:tab/>
              <w:t>22</w:t>
            </w:r>
          </w:hyperlink>
        </w:p>
        <w:p>
          <w:pPr>
            <w:pStyle w:val="TOC2"/>
            <w:tabs>
              <w:tab w:val="clear" w:pos="9797"/>
              <w:tab w:val="right" w:pos="10079" w:leader="dot"/>
            </w:tabs>
            <w:rPr/>
          </w:pPr>
          <w:hyperlink w:anchor="__RefHeading___Toc1280_4291522737">
            <w:r>
              <w:rPr>
                <w:webHidden/>
                <w:rStyle w:val="IndexLink"/>
              </w:rPr>
              <w:t>4.3 Database Schema Summary</w:t>
              <w:tab/>
              <w:t>23</w:t>
            </w:r>
          </w:hyperlink>
        </w:p>
        <w:p>
          <w:pPr>
            <w:pStyle w:val="TOC1"/>
            <w:tabs>
              <w:tab w:val="clear" w:pos="10080"/>
              <w:tab w:val="right" w:pos="10079" w:leader="dot"/>
            </w:tabs>
            <w:rPr/>
          </w:pPr>
          <w:hyperlink w:anchor="__RefHeading___Toc1268_4291522737">
            <w:r>
              <w:rPr>
                <w:webHidden/>
                <w:rStyle w:val="IndexLink"/>
              </w:rPr>
              <w:t>5. UI-to-Database Interaction &amp; Traceability</w:t>
              <w:tab/>
              <w:t>23</w:t>
            </w:r>
          </w:hyperlink>
        </w:p>
        <w:p>
          <w:pPr>
            <w:pStyle w:val="TOC2"/>
            <w:tabs>
              <w:tab w:val="clear" w:pos="9797"/>
              <w:tab w:val="right" w:pos="10079" w:leader="dot"/>
            </w:tabs>
            <w:rPr/>
          </w:pPr>
          <w:hyperlink w:anchor="__RefHeading___Toc1278_4291522737">
            <w:r>
              <w:rPr>
                <w:webHidden/>
                <w:rStyle w:val="IndexLink"/>
              </w:rPr>
              <w:t>5.1 Requirement Traceability Matrix</w:t>
              <w:tab/>
              <w:t>24</w:t>
            </w:r>
          </w:hyperlink>
        </w:p>
        <w:p>
          <w:pPr>
            <w:pStyle w:val="TOC1"/>
            <w:tabs>
              <w:tab w:val="clear" w:pos="10080"/>
              <w:tab w:val="right" w:pos="10079" w:leader="dot"/>
            </w:tabs>
            <w:rPr/>
          </w:pPr>
          <w:hyperlink w:anchor="__RefHeading___Toc1266_4291522737">
            <w:r>
              <w:rPr>
                <w:webHidden/>
                <w:rStyle w:val="IndexLink"/>
              </w:rPr>
              <w:t>6. Preliminary Test Plan</w:t>
              <w:tab/>
              <w:t>24</w:t>
            </w:r>
          </w:hyperlink>
        </w:p>
        <w:p>
          <w:pPr>
            <w:pStyle w:val="TOC1"/>
            <w:tabs>
              <w:tab w:val="clear" w:pos="10080"/>
              <w:tab w:val="right" w:pos="10079" w:leader="dot"/>
            </w:tabs>
            <w:rPr/>
          </w:pPr>
          <w:hyperlink w:anchor="__RefHeading___Toc1264_4291522737">
            <w:r>
              <w:rPr>
                <w:webHidden/>
                <w:rStyle w:val="IndexLink"/>
              </w:rPr>
              <w:t>7. Implementation Progress &amp; Challenges</w:t>
              <w:tab/>
              <w:t>24</w:t>
            </w:r>
          </w:hyperlink>
        </w:p>
        <w:p>
          <w:pPr>
            <w:pStyle w:val="TOC1"/>
            <w:tabs>
              <w:tab w:val="clear" w:pos="10080"/>
              <w:tab w:val="right" w:pos="10079" w:leader="dot"/>
            </w:tabs>
            <w:rPr/>
          </w:pPr>
          <w:hyperlink w:anchor="__RefHeading___Toc1262_4291522737">
            <w:r>
              <w:rPr>
                <w:webHidden/>
                <w:rStyle w:val="IndexLink"/>
              </w:rPr>
              <w:t>8. Timeline &amp; Demonstration Plan</w:t>
              <w:tab/>
              <w:t>25</w:t>
            </w:r>
          </w:hyperlink>
          <w:r>
            <w:rPr>
              <w:rStyle w:val="IndexLink"/>
            </w:rPr>
            <w:fldChar w:fldCharType="end"/>
          </w:r>
        </w:p>
      </w:sdtContent>
    </w:sdt>
    <w:p>
      <w:pPr>
        <w:pStyle w:val="normal1"/>
        <w:tabs>
          <w:tab w:val="clear" w:pos="720"/>
          <w:tab w:val="right" w:pos="9288" w:leader="none"/>
        </w:tabs>
        <w:spacing w:lineRule="auto" w:line="240" w:before="0" w:after="24"/>
        <w:rPr/>
      </w:pPr>
      <w:r>
        <w:rPr/>
      </w:r>
      <w:r>
        <w:br w:type="page"/>
      </w:r>
    </w:p>
    <w:p>
      <w:pPr>
        <w:pStyle w:val="normal1"/>
        <w:spacing w:lineRule="auto" w:line="240" w:before="0" w:after="160"/>
        <w:jc w:val="left"/>
        <w:rPr>
          <w:color w:val="000000"/>
        </w:rPr>
      </w:pPr>
      <w:r>
        <w:rPr>
          <w:b/>
          <w:color w:val="2E5C8A"/>
          <w:sz w:val="32"/>
          <w:szCs w:val="32"/>
        </w:rPr>
        <w:t>List of Figures</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 Use case diagram — Level 0 system overview</w:t>
        <w:tab/>
        <w:t>9</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2: Use case diagram — Level 1 full system</w:t>
        <w:tab/>
        <w:t>10</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3: Use case diagram — Authentication &amp; Role Access</w:t>
        <w:tab/>
        <w:t>11</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4: Use case diagram — Student Course Registration</w:t>
        <w:tab/>
        <w:t>12</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5: Use case diagram — Student Academic Progress &amp; Finance</w:t>
        <w:tab/>
        <w:t>13</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6: Use case diagram — Teacher Marks Management</w:t>
        <w:tab/>
        <w:t>14</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7: Use case diagram — Admin Academic &amp; Financial Administration</w:t>
        <w:tab/>
        <w:t>15</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8: Activity diagram — Authentication &amp; Role Routing</w:t>
        <w:tab/>
        <w:t>16</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9: Activity diagram — Student Course Registration</w:t>
        <w:tab/>
        <w:t>17</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10: Activity diagram — Teacher Marks Entry</w:t>
        <w:tab/>
        <w:t>18</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11: Activity diagram — Result Calculation &amp; Publication</w:t>
        <w:tab/>
        <w:t>19</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12: Activity diagram — Fee, Payment &amp; Dues Update</w:t>
        <w:tab/>
        <w:t>20</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13: Logical Entity Relationship Diagram</w:t>
        <w:tab/>
        <w:t>22</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14: UI click-to-database flow</w:t>
        <w:tab/>
        <w:t>23</w:t>
      </w:r>
    </w:p>
    <w:p>
      <w:pPr>
        <w:pStyle w:val="normal1"/>
        <w:tabs>
          <w:tab w:val="clear" w:pos="720"/>
          <w:tab w:val="right" w:pos="9360" w:leader="dot"/>
        </w:tabs>
        <w:spacing w:lineRule="auto" w:line="240" w:before="0" w:after="0"/>
        <w:jc w:val="both"/>
        <w:rPr/>
      </w:pPr>
      <w:r>
        <w:rPr>
          <w:rFonts w:eastAsia="Calibri" w:cs="Calibri" w:ascii="Calibri" w:hAnsi="Calibri"/>
          <w:b w:val="false"/>
          <w:bCs/>
          <w:i w:val="false"/>
          <w:sz w:val="20"/>
          <w:szCs w:val="20"/>
        </w:rPr>
        <w:t>Figure 15: Timeline and presentation milestone</w:t>
        <w:tab/>
        <w:t>25</w:t>
      </w:r>
    </w:p>
    <w:p>
      <w:pPr>
        <w:pStyle w:val="normal1"/>
        <w:rPr/>
      </w:pPr>
      <w:r>
        <w:rPr/>
      </w:r>
      <w:r>
        <w:br w:type="page"/>
      </w:r>
    </w:p>
    <w:p>
      <w:pPr>
        <w:pStyle w:val="Heading1"/>
        <w:spacing w:before="0" w:after="0"/>
        <w:rPr/>
      </w:pPr>
      <w:bookmarkStart w:id="0" w:name="__RefHeading___Toc1260_4291522737"/>
      <w:bookmarkEnd w:id="0"/>
      <w:r>
        <w:rPr>
          <w:color w:val="2E5C8A"/>
          <w:sz w:val="32"/>
          <w:szCs w:val="32"/>
        </w:rPr>
        <w:t>1. Project Overview</w:t>
      </w:r>
    </w:p>
    <w:p>
      <w:pPr>
        <w:pStyle w:val="Heading2"/>
        <w:rPr/>
      </w:pPr>
      <w:bookmarkStart w:id="1" w:name="__RefHeading___Toc1276_4291522737"/>
      <w:bookmarkEnd w:id="1"/>
      <w:r>
        <w:rPr>
          <w:color w:val="2E5C8A"/>
        </w:rPr>
        <w:t>1.1 Project Title</w:t>
      </w:r>
    </w:p>
    <w:p>
      <w:pPr>
        <w:pStyle w:val="normal1"/>
        <w:spacing w:lineRule="auto" w:line="240" w:before="0" w:after="160"/>
        <w:rPr/>
      </w:pPr>
      <w:r>
        <w:rPr>
          <w:rFonts w:eastAsia="Calibri" w:cs="Calibri" w:ascii="Calibri" w:hAnsi="Calibri"/>
          <w:sz w:val="21"/>
          <w:szCs w:val="21"/>
        </w:rPr>
        <w:t>MIT Open Credit Management System — a secure, role-based academic platform for managing open-credit enrollment, marks, results, CGPA and student financial records.</w:t>
      </w:r>
    </w:p>
    <w:p>
      <w:pPr>
        <w:pStyle w:val="Heading2"/>
        <w:rPr/>
      </w:pPr>
      <w:bookmarkStart w:id="2" w:name="__RefHeading___Toc1304_4291522737"/>
      <w:bookmarkEnd w:id="2"/>
      <w:r>
        <w:rPr>
          <w:color w:val="2E5C8A"/>
        </w:rPr>
        <w:t>1.2 Problem Statement</w:t>
      </w:r>
    </w:p>
    <w:p>
      <w:pPr>
        <w:pStyle w:val="normal1"/>
        <w:spacing w:lineRule="auto" w:line="240" w:before="0" w:after="140"/>
        <w:rPr/>
      </w:pPr>
      <w:r>
        <w:rPr>
          <w:rFonts w:eastAsia="Calibri" w:cs="Calibri" w:ascii="Calibri" w:hAnsi="Calibri"/>
          <w:sz w:val="21"/>
          <w:szCs w:val="21"/>
        </w:rPr>
        <w:t>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p>
    <w:p>
      <w:pPr>
        <w:pStyle w:val="Heading2"/>
        <w:rPr/>
      </w:pPr>
      <w:bookmarkStart w:id="3" w:name="__RefHeading___Toc1302_4291522737"/>
      <w:bookmarkEnd w:id="3"/>
      <w:r>
        <w:rPr>
          <w:color w:val="2E5C8A"/>
        </w:rPr>
        <w:t>1.3 Objectives</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O1 — Secure Access: </w:t>
      </w:r>
      <w:r>
        <w:rPr>
          <w:rFonts w:eastAsia="Calibri" w:cs="Calibri" w:ascii="Calibri" w:hAnsi="Calibri"/>
          <w:color w:val="000000"/>
          <w:sz w:val="20"/>
          <w:szCs w:val="20"/>
        </w:rPr>
        <w:t>Authenticate Student, Teacher and Admin users with JWT and enforce role-based access at both frontend and backend.</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O2 — Credit Control: </w:t>
      </w:r>
      <w:r>
        <w:rPr>
          <w:rFonts w:eastAsia="Calibri" w:cs="Calibri" w:ascii="Calibri" w:hAnsi="Calibri"/>
          <w:color w:val="000000"/>
          <w:sz w:val="20"/>
          <w:szCs w:val="20"/>
        </w:rPr>
        <w:t>Support the approved requirement of exactly 12 credits per semester and 36 credits for the programme.</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O3 — Seat Control: </w:t>
      </w:r>
      <w:r>
        <w:rPr>
          <w:rFonts w:eastAsia="Calibri" w:cs="Calibri" w:ascii="Calibri" w:hAnsi="Calibri"/>
          <w:color w:val="000000"/>
          <w:sz w:val="20"/>
          <w:szCs w:val="20"/>
        </w:rPr>
        <w:t>Enforce a maximum of 40 seats for optional courses and protect the final seat against concurrent requests.</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O4 — Academic Results: </w:t>
      </w:r>
      <w:r>
        <w:rPr>
          <w:rFonts w:eastAsia="Calibri" w:cs="Calibri" w:ascii="Calibri" w:hAnsi="Calibri"/>
          <w:color w:val="000000"/>
          <w:sz w:val="20"/>
          <w:szCs w:val="20"/>
        </w:rPr>
        <w:t>Allow Teachers to enter marks and enable grade, GPA and CGPA calculation with an explicit publication workflow.</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O5 — Finance: </w:t>
      </w:r>
      <w:r>
        <w:rPr>
          <w:rFonts w:eastAsia="Calibri" w:cs="Calibri" w:ascii="Calibri" w:hAnsi="Calibri"/>
          <w:color w:val="000000"/>
          <w:sz w:val="20"/>
          <w:szCs w:val="20"/>
        </w:rPr>
        <w:t>Calculate retake and semester-gap fees and maintain transparent charge, payment and dues records.</w:t>
      </w:r>
    </w:p>
    <w:p>
      <w:pPr>
        <w:pStyle w:val="normal1"/>
        <w:spacing w:lineRule="auto" w:line="240" w:before="0" w:after="80"/>
        <w:ind w:hanging="259" w:left="403"/>
        <w:rPr>
          <w:color w:val="000000"/>
        </w:rPr>
      </w:pPr>
      <w:r>
        <w:rPr>
          <w:rFonts w:eastAsia="Calibri" w:cs="Calibri" w:ascii="Calibri" w:hAnsi="Calibri"/>
          <w:color w:val="000000"/>
          <w:sz w:val="20"/>
          <w:szCs w:val="20"/>
        </w:rPr>
        <w:t xml:space="preserve">• </w:t>
      </w:r>
      <w:r>
        <w:rPr>
          <w:rFonts w:eastAsia="Calibri" w:cs="Calibri" w:ascii="Calibri" w:hAnsi="Calibri"/>
          <w:b/>
          <w:bCs/>
          <w:color w:val="000000"/>
          <w:sz w:val="20"/>
          <w:szCs w:val="20"/>
        </w:rPr>
        <w:t xml:space="preserve">O6 — Usability &amp; Maintainability: </w:t>
      </w:r>
      <w:r>
        <w:rPr>
          <w:rFonts w:eastAsia="Calibri" w:cs="Calibri" w:ascii="Calibri" w:hAnsi="Calibri"/>
          <w:color w:val="000000"/>
          <w:sz w:val="20"/>
          <w:szCs w:val="20"/>
        </w:rPr>
        <w:t>Provide clear role dashboards using Angular, Spring Boot and PostgreSQL with traceable requirements and testable rules.</w:t>
      </w:r>
    </w:p>
    <w:p>
      <w:pPr>
        <w:pStyle w:val="normal1"/>
        <w:rPr/>
      </w:pPr>
      <w:r>
        <w:rPr/>
      </w:r>
      <w:r>
        <w:br w:type="page"/>
      </w:r>
    </w:p>
    <w:p>
      <w:pPr>
        <w:pStyle w:val="Heading2"/>
        <w:spacing w:before="0" w:after="0"/>
        <w:rPr/>
      </w:pPr>
      <w:bookmarkStart w:id="4" w:name="__RefHeading___Toc1300_4291522737"/>
      <w:bookmarkEnd w:id="4"/>
      <w:r>
        <w:rPr>
          <w:color w:val="2E5C8A"/>
        </w:rPr>
        <w:t>1.4 Scope</w:t>
      </w:r>
    </w:p>
    <w:p>
      <w:pPr>
        <w:pStyle w:val="normal1"/>
        <w:spacing w:lineRule="auto" w:line="240" w:before="0" w:after="60"/>
        <w:rPr/>
      </w:pPr>
      <w:r>
        <w:rPr>
          <w:rFonts w:eastAsia="Calibri" w:cs="Calibri" w:ascii="Calibri" w:hAnsi="Calibri"/>
          <w:b/>
          <w:bCs/>
          <w:sz w:val="21"/>
          <w:szCs w:val="21"/>
        </w:rPr>
        <w:t xml:space="preserve">In scope: </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JWT authentication and Student/Teacher/Admin RBAC.</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Student dashboard, profile, course catalogue, enrollment history, results, CGPA and dues.</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Teacher dashboard, assigned courses, enrolled student roster and validated midterm/final mark entry.</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Admin management of students, teachers, courses, semesters, fees and system statistics.</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Academic rules for credit validation, seat availability, grade calculation and CGPA.</w:t>
      </w:r>
    </w:p>
    <w:p>
      <w:pPr>
        <w:pStyle w:val="normal1"/>
        <w:spacing w:lineRule="auto" w:line="240" w:before="0" w:after="8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Angular 18 frontend, Spring Boot 3.3 / Java 21 backend, PostgreSQL 16 and Flyway V1–V7.</w:t>
      </w:r>
    </w:p>
    <w:p>
      <w:pPr>
        <w:pStyle w:val="normal1"/>
        <w:spacing w:lineRule="auto" w:line="240" w:before="0" w:after="60"/>
        <w:rPr/>
      </w:pPr>
      <w:r>
        <w:rPr>
          <w:rFonts w:eastAsia="Calibri" w:cs="Calibri" w:ascii="Calibri" w:hAnsi="Calibri"/>
          <w:b/>
          <w:bCs/>
          <w:sz w:val="21"/>
          <w:szCs w:val="21"/>
        </w:rPr>
        <w:t xml:space="preserve">Out of scope for the midterm baseline: </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Mobile application, AI recommendation or chatbot features.</w:t>
      </w:r>
    </w:p>
    <w:p>
      <w:pPr>
        <w:pStyle w:val="normal1"/>
        <w:spacing w:lineRule="auto" w:line="240" w:before="0" w:after="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Microservices and other speculative distributed infrastructure.</w:t>
      </w:r>
    </w:p>
    <w:p>
      <w:pPr>
        <w:pStyle w:val="normal1"/>
        <w:spacing w:lineRule="auto" w:line="240" w:before="0" w:after="80"/>
        <w:ind w:hanging="259" w:left="403"/>
        <w:rPr>
          <w:color w:val="000000"/>
        </w:rPr>
      </w:pPr>
      <w:r>
        <w:rPr>
          <w:rFonts w:eastAsia="Calibri" w:cs="Calibri" w:ascii="Calibri" w:hAnsi="Calibri"/>
          <w:color w:val="000000"/>
          <w:sz w:val="20"/>
          <w:szCs w:val="20"/>
        </w:rPr>
        <w:t xml:space="preserve">• </w:t>
      </w:r>
      <w:r>
        <w:rPr>
          <w:rFonts w:eastAsia="Calibri" w:cs="Calibri" w:ascii="Calibri" w:hAnsi="Calibri"/>
          <w:color w:val="000000"/>
          <w:sz w:val="20"/>
          <w:szCs w:val="20"/>
        </w:rPr>
        <w:t>Full online payment-gateway settlement and unrelated university ERP modules.</w:t>
      </w:r>
    </w:p>
    <w:p>
      <w:pPr>
        <w:pStyle w:val="Heading2"/>
        <w:rPr/>
      </w:pPr>
      <w:bookmarkStart w:id="5" w:name="__RefHeading___Toc1298_4291522737"/>
      <w:bookmarkEnd w:id="5"/>
      <w:r>
        <w:rPr>
          <w:color w:val="2E5C8A"/>
        </w:rPr>
        <w:t>1.5 Deliverables</w:t>
      </w:r>
    </w:p>
    <w:tbl>
      <w:tblPr>
        <w:tblStyle w:val="Table1"/>
        <w:tblW w:w="9936" w:type="dxa"/>
        <w:jc w:val="center"/>
        <w:tblInd w:w="0" w:type="dxa"/>
        <w:tblLayout w:type="fixed"/>
        <w:tblCellMar>
          <w:top w:w="55" w:type="dxa"/>
          <w:left w:w="70" w:type="dxa"/>
          <w:bottom w:w="55" w:type="dxa"/>
          <w:right w:w="70" w:type="dxa"/>
        </w:tblCellMar>
        <w:tblLook w:val="0400"/>
      </w:tblPr>
      <w:tblGrid>
        <w:gridCol w:w="502"/>
        <w:gridCol w:w="2234"/>
        <w:gridCol w:w="7200"/>
      </w:tblGrid>
      <w:tr>
        <w:trPr>
          <w:tblHeader w:val="true"/>
          <w:cantSplit w:val="true"/>
        </w:trPr>
        <w:tc>
          <w:tcPr>
            <w:tcW w:w="50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w:t>
            </w:r>
          </w:p>
        </w:tc>
        <w:tc>
          <w:tcPr>
            <w:tcW w:w="2234"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Deliverable</w:t>
            </w:r>
          </w:p>
        </w:tc>
        <w:tc>
          <w:tcPr>
            <w:tcW w:w="7200"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Description</w:t>
            </w:r>
          </w:p>
        </w:tc>
      </w:tr>
      <w:tr>
        <w:trPr>
          <w:cantSplit w:val="true"/>
        </w:trPr>
        <w:tc>
          <w:tcPr>
            <w:tcW w:w="50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1</w:t>
            </w:r>
          </w:p>
        </w:tc>
        <w:tc>
          <w:tcPr>
            <w:tcW w:w="22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Angular Frontend</w:t>
            </w:r>
          </w:p>
        </w:tc>
        <w:tc>
          <w:tcPr>
            <w:tcW w:w="72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Role-based Student, Teacher and Admin screens with routing, forms, API services and dashboard views.</w:t>
            </w:r>
          </w:p>
        </w:tc>
      </w:tr>
      <w:tr>
        <w:trPr>
          <w:cantSplit w:val="true"/>
        </w:trPr>
        <w:tc>
          <w:tcPr>
            <w:tcW w:w="50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2</w:t>
            </w:r>
          </w:p>
        </w:tc>
        <w:tc>
          <w:tcPr>
            <w:tcW w:w="22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Spring Boot Backend</w:t>
            </w:r>
          </w:p>
        </w:tc>
        <w:tc>
          <w:tcPr>
            <w:tcW w:w="72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JWT security, REST controllers, service-layer validation and JPA persistence.</w:t>
            </w:r>
          </w:p>
        </w:tc>
      </w:tr>
      <w:tr>
        <w:trPr>
          <w:cantSplit w:val="true"/>
        </w:trPr>
        <w:tc>
          <w:tcPr>
            <w:tcW w:w="50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3</w:t>
            </w:r>
          </w:p>
        </w:tc>
        <w:tc>
          <w:tcPr>
            <w:tcW w:w="22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PostgreSQL Database</w:t>
            </w:r>
          </w:p>
        </w:tc>
        <w:tc>
          <w:tcPr>
            <w:tcW w:w="72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Flyway V1–V7 schema for users, courses, semesters, enrollments, grades and fees.</w:t>
            </w:r>
          </w:p>
        </w:tc>
      </w:tr>
      <w:tr>
        <w:trPr>
          <w:cantSplit w:val="true"/>
        </w:trPr>
        <w:tc>
          <w:tcPr>
            <w:tcW w:w="50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4</w:t>
            </w:r>
          </w:p>
        </w:tc>
        <w:tc>
          <w:tcPr>
            <w:tcW w:w="22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System Models</w:t>
            </w:r>
          </w:p>
        </w:tc>
        <w:tc>
          <w:tcPr>
            <w:tcW w:w="7200"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Use case and activity models, logical ERD, database schema summary, UI-to-database interaction flow and requirement traceability.</w:t>
            </w:r>
          </w:p>
        </w:tc>
      </w:tr>
      <w:tr>
        <w:trPr>
          <w:cantSplit w:val="true"/>
        </w:trPr>
        <w:tc>
          <w:tcPr>
            <w:tcW w:w="50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5</w:t>
            </w:r>
          </w:p>
        </w:tc>
        <w:tc>
          <w:tcPr>
            <w:tcW w:w="22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Test &amp; Presentation Package</w:t>
            </w:r>
          </w:p>
        </w:tc>
        <w:tc>
          <w:tcPr>
            <w:tcW w:w="72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Preliminary test plan, progress analysis, Gantt chart and demonstration sequence.</w:t>
            </w:r>
          </w:p>
        </w:tc>
      </w:tr>
    </w:tbl>
    <w:p>
      <w:pPr>
        <w:pStyle w:val="normal1"/>
        <w:rPr/>
      </w:pPr>
      <w:r>
        <w:rPr/>
      </w:r>
      <w:r>
        <w:br w:type="page"/>
      </w:r>
    </w:p>
    <w:p>
      <w:pPr>
        <w:pStyle w:val="Heading1"/>
        <w:spacing w:before="0" w:after="0"/>
        <w:rPr/>
      </w:pPr>
      <w:bookmarkStart w:id="6" w:name="__RefHeading___Toc1274_4291522737"/>
      <w:bookmarkEnd w:id="6"/>
      <w:r>
        <w:rPr>
          <w:color w:val="2E5C8A"/>
          <w:sz w:val="32"/>
          <w:szCs w:val="32"/>
        </w:rPr>
        <w:t>2. Requirements Analysis</w:t>
      </w:r>
    </w:p>
    <w:p>
      <w:pPr>
        <w:pStyle w:val="Heading2"/>
        <w:rPr/>
      </w:pPr>
      <w:bookmarkStart w:id="7" w:name="__RefHeading___Toc1296_4291522737"/>
      <w:bookmarkEnd w:id="7"/>
      <w:r>
        <w:rPr>
          <w:color w:val="2E5C8A"/>
        </w:rPr>
        <w:t>2.1 Functional Requirements</w:t>
      </w:r>
    </w:p>
    <w:tbl>
      <w:tblPr>
        <w:tblStyle w:val="Table2"/>
        <w:tblW w:w="9936" w:type="dxa"/>
        <w:jc w:val="center"/>
        <w:tblInd w:w="0" w:type="dxa"/>
        <w:tblLayout w:type="fixed"/>
        <w:tblCellMar>
          <w:top w:w="55" w:type="dxa"/>
          <w:left w:w="70" w:type="dxa"/>
          <w:bottom w:w="55" w:type="dxa"/>
          <w:right w:w="70" w:type="dxa"/>
        </w:tblCellMar>
        <w:tblLook w:val="0400"/>
      </w:tblPr>
      <w:tblGrid>
        <w:gridCol w:w="934"/>
        <w:gridCol w:w="7418"/>
        <w:gridCol w:w="1584"/>
      </w:tblGrid>
      <w:tr>
        <w:trPr>
          <w:tblHeader w:val="true"/>
          <w:cantSplit w:val="true"/>
        </w:trPr>
        <w:tc>
          <w:tcPr>
            <w:tcW w:w="934"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ID</w:t>
            </w:r>
          </w:p>
        </w:tc>
        <w:tc>
          <w:tcPr>
            <w:tcW w:w="7418"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Functional Requirement</w:t>
            </w:r>
          </w:p>
        </w:tc>
        <w:tc>
          <w:tcPr>
            <w:tcW w:w="1584"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Current Status</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FR-01</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Authenticate valid users and issue JWT access based on Student, Teacher or Admin role.</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FR-02</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Show role-specific dashboards and prevent cross-role access.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FR-03</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Display courses, credit values, seats and active semester information.</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FR-04</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Allow a Student to create and remove own course enrollments.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FR-05</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Confirm only an exactly 12-credit semester registration; reject partial confirmation.</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Target correction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FR-06</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Prevent duplicate enrollment and reject a full optional course above 40 seats.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FR-07</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Allow a Teacher to view assigned courses and enrolled Students.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FR-08</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Validate and save midterm/final marks for authorized courses only.</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FR-09</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Calculate total marks, grade point and CGPA accurately.</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FR-10</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Publish results before they become visible to Students.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Target correction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FR-11</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Generate retake and semester-gap fees and show outstanding dues.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FR-12</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Record and verify payments against outstanding charges.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Target correction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FR-13</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Allow Admin to manage students, teachers, courses, semesters and fees.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r>
        <w:trPr>
          <w:cantSplit w:val="true"/>
        </w:trPr>
        <w:tc>
          <w:tcPr>
            <w:tcW w:w="93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FR-14</w:t>
            </w:r>
          </w:p>
        </w:tc>
        <w:tc>
          <w:tcPr>
            <w:tcW w:w="741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Provide statistics, monitoring and traceable validation messages.</w:t>
            </w:r>
          </w:p>
        </w:tc>
        <w:tc>
          <w:tcPr>
            <w:tcW w:w="158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Implemented with limitation</w:t>
            </w:r>
          </w:p>
        </w:tc>
      </w:tr>
    </w:tbl>
    <w:p>
      <w:pPr>
        <w:pStyle w:val="normal1"/>
        <w:rPr/>
      </w:pPr>
      <w:r>
        <w:rPr/>
      </w:r>
      <w:r>
        <w:br w:type="page"/>
      </w:r>
    </w:p>
    <w:p>
      <w:pPr>
        <w:pStyle w:val="Heading2"/>
        <w:spacing w:before="0" w:after="0"/>
        <w:rPr/>
      </w:pPr>
      <w:bookmarkStart w:id="8" w:name="__RefHeading___Toc1294_4291522737"/>
      <w:bookmarkEnd w:id="8"/>
      <w:r>
        <w:rPr>
          <w:color w:val="2E5C8A"/>
        </w:rPr>
        <w:t>2.2 Non-functional Requirements</w:t>
      </w:r>
    </w:p>
    <w:tbl>
      <w:tblPr>
        <w:tblStyle w:val="Table3"/>
        <w:tblW w:w="10080" w:type="dxa"/>
        <w:jc w:val="center"/>
        <w:tblInd w:w="0" w:type="dxa"/>
        <w:tblLayout w:type="fixed"/>
        <w:tblCellMar>
          <w:top w:w="55" w:type="dxa"/>
          <w:left w:w="70" w:type="dxa"/>
          <w:bottom w:w="55" w:type="dxa"/>
          <w:right w:w="70" w:type="dxa"/>
        </w:tblCellMar>
        <w:tblLook w:val="0400"/>
      </w:tblPr>
      <w:tblGrid>
        <w:gridCol w:w="1800"/>
        <w:gridCol w:w="8279"/>
      </w:tblGrid>
      <w:tr>
        <w:trPr>
          <w:tblHeader w:val="true"/>
          <w:cantSplit w:val="true"/>
        </w:trPr>
        <w:tc>
          <w:tcPr>
            <w:tcW w:w="1800"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Category</w:t>
            </w:r>
          </w:p>
        </w:tc>
        <w:tc>
          <w:tcPr>
            <w:tcW w:w="8279"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Requirement</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Security</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BCrypt password hashing, signed JWT, backend RBAC, ownership checks and non-revealing authentication errors.</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Integrity</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Enrollment, seat, grade and fee updates must avoid partial or duplicated records.</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Performance</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Normal pages should respond within approximately 2 seconds under presentation-scale load.</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Usability</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Readable responsive pages, clear validation messages, consistent navigation and no text overlap.</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Maintainability</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Angular components/services and Spring controller/service/repository responsibilities remain separated.</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Deployability</w:t>
            </w:r>
          </w:p>
        </w:tc>
        <w:tc>
          <w:tcPr>
            <w:tcW w:w="827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 clean PostgreSQL database must migrate through Flyway V1–V7 and the Angular/Maven builds must succeed.</w:t>
            </w:r>
          </w:p>
        </w:tc>
      </w:tr>
    </w:tbl>
    <w:p>
      <w:pPr>
        <w:pStyle w:val="normal1"/>
        <w:spacing w:lineRule="auto" w:line="240" w:before="0" w:after="60"/>
        <w:rPr/>
      </w:pPr>
      <w:r>
        <w:rPr/>
      </w:r>
    </w:p>
    <w:p>
      <w:pPr>
        <w:pStyle w:val="Heading2"/>
        <w:rPr/>
      </w:pPr>
      <w:bookmarkStart w:id="9" w:name="__RefHeading___Toc1292_4291522737"/>
      <w:bookmarkEnd w:id="9"/>
      <w:r>
        <w:rPr>
          <w:color w:val="2E5C8A"/>
        </w:rPr>
        <w:t>2.3 Stakeholders</w:t>
      </w:r>
    </w:p>
    <w:tbl>
      <w:tblPr>
        <w:tblStyle w:val="Table4"/>
        <w:tblW w:w="10080" w:type="dxa"/>
        <w:jc w:val="center"/>
        <w:tblInd w:w="0" w:type="dxa"/>
        <w:tblLayout w:type="fixed"/>
        <w:tblCellMar>
          <w:top w:w="55" w:type="dxa"/>
          <w:left w:w="70" w:type="dxa"/>
          <w:bottom w:w="55" w:type="dxa"/>
          <w:right w:w="70" w:type="dxa"/>
        </w:tblCellMar>
        <w:tblLook w:val="0400"/>
      </w:tblPr>
      <w:tblGrid>
        <w:gridCol w:w="2591"/>
        <w:gridCol w:w="7488"/>
      </w:tblGrid>
      <w:tr>
        <w:trPr>
          <w:tblHeader w:val="true"/>
          <w:cantSplit w:val="true"/>
        </w:trPr>
        <w:tc>
          <w:tcPr>
            <w:tcW w:w="2591"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Stakeholder</w:t>
            </w:r>
          </w:p>
        </w:tc>
        <w:tc>
          <w:tcPr>
            <w:tcW w:w="7488"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Main Need</w:t>
            </w:r>
          </w:p>
        </w:tc>
      </w:tr>
      <w:tr>
        <w:trPr>
          <w:cantSplit w:val="true"/>
        </w:trPr>
        <w:tc>
          <w:tcPr>
            <w:tcW w:w="2591"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Student</w:t>
            </w:r>
          </w:p>
        </w:tc>
        <w:tc>
          <w:tcPr>
            <w:tcW w:w="74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Secure registration, results, CGPA, fee and due visibility.</w:t>
            </w:r>
          </w:p>
        </w:tc>
      </w:tr>
      <w:tr>
        <w:trPr>
          <w:cantSplit w:val="true"/>
        </w:trPr>
        <w:tc>
          <w:tcPr>
            <w:tcW w:w="2591"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Teacher</w:t>
            </w:r>
          </w:p>
        </w:tc>
        <w:tc>
          <w:tcPr>
            <w:tcW w:w="74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Assigned-course roster and reliable marks entry.</w:t>
            </w:r>
          </w:p>
        </w:tc>
      </w:tr>
      <w:tr>
        <w:trPr>
          <w:cantSplit w:val="true"/>
        </w:trPr>
        <w:tc>
          <w:tcPr>
            <w:tcW w:w="2591"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Admin</w:t>
            </w:r>
          </w:p>
        </w:tc>
        <w:tc>
          <w:tcPr>
            <w:tcW w:w="74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Master-data management, monitoring, results and finance control.</w:t>
            </w:r>
          </w:p>
        </w:tc>
      </w:tr>
      <w:tr>
        <w:trPr>
          <w:cantSplit w:val="true"/>
        </w:trPr>
        <w:tc>
          <w:tcPr>
            <w:tcW w:w="2591"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Academic Authority</w:t>
            </w:r>
          </w:p>
        </w:tc>
        <w:tc>
          <w:tcPr>
            <w:tcW w:w="74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Correct enforcement of credit, seat and grade policies.</w:t>
            </w:r>
          </w:p>
        </w:tc>
      </w:tr>
      <w:tr>
        <w:trPr>
          <w:cantSplit w:val="true"/>
        </w:trPr>
        <w:tc>
          <w:tcPr>
            <w:tcW w:w="2591"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Supervisor / Evaluator</w:t>
            </w:r>
          </w:p>
        </w:tc>
        <w:tc>
          <w:tcPr>
            <w:tcW w:w="74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Clear, correct and consistent modelling with honest progress evidence.</w:t>
            </w:r>
          </w:p>
        </w:tc>
      </w:tr>
    </w:tbl>
    <w:p>
      <w:pPr>
        <w:pStyle w:val="normal1"/>
        <w:spacing w:lineRule="auto" w:line="240" w:before="0" w:after="60"/>
        <w:rPr/>
      </w:pPr>
      <w:r>
        <w:rPr/>
      </w:r>
    </w:p>
    <w:p>
      <w:pPr>
        <w:pStyle w:val="Heading2"/>
        <w:rPr/>
      </w:pPr>
      <w:bookmarkStart w:id="10" w:name="__RefHeading___Toc1290_4291522737"/>
      <w:bookmarkEnd w:id="10"/>
      <w:r>
        <w:rPr>
          <w:color w:val="2E5C8A"/>
        </w:rPr>
        <w:t>2.4 Usage Scenarios</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Student Registration: </w:t>
      </w:r>
      <w:r>
        <w:rPr>
          <w:rFonts w:eastAsia="Calibri" w:cs="Calibri" w:ascii="Calibri" w:hAnsi="Calibri"/>
          <w:color w:val="000000"/>
          <w:sz w:val="19"/>
          <w:szCs w:val="19"/>
        </w:rPr>
        <w:t>Student signs in, opens available courses, selects a course or semester package, receives validation and sees the saved enrollment.</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Teacher Marks: </w:t>
      </w:r>
      <w:r>
        <w:rPr>
          <w:rFonts w:eastAsia="Calibri" w:cs="Calibri" w:ascii="Calibri" w:hAnsi="Calibri"/>
          <w:color w:val="000000"/>
          <w:sz w:val="19"/>
          <w:szCs w:val="19"/>
        </w:rPr>
        <w:t>Teacher opens an assigned course, loads the roster, enters valid marks and saves them for grade processing.</w:t>
      </w:r>
    </w:p>
    <w:p>
      <w:pPr>
        <w:pStyle w:val="normal1"/>
        <w:spacing w:lineRule="auto" w:line="240" w:before="0" w:after="6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Admin Control: </w:t>
      </w:r>
      <w:r>
        <w:rPr>
          <w:rFonts w:eastAsia="Calibri" w:cs="Calibri" w:ascii="Calibri" w:hAnsi="Calibri"/>
          <w:color w:val="000000"/>
          <w:sz w:val="19"/>
          <w:szCs w:val="19"/>
        </w:rPr>
        <w:t>Admin manages academic data, monitors seats and fees, and reviews result or payment status.</w:t>
      </w:r>
    </w:p>
    <w:p>
      <w:pPr>
        <w:pStyle w:val="normal1"/>
        <w:rPr/>
      </w:pPr>
      <w:r>
        <w:rPr/>
      </w:r>
      <w:r>
        <w:br w:type="page"/>
      </w:r>
    </w:p>
    <w:p>
      <w:pPr>
        <w:pStyle w:val="Heading1"/>
        <w:spacing w:before="0" w:after="0"/>
        <w:rPr/>
      </w:pPr>
      <w:bookmarkStart w:id="11" w:name="__RefHeading___Toc1272_4291522737"/>
      <w:bookmarkEnd w:id="11"/>
      <w:r>
        <w:rPr>
          <w:color w:val="2E5C8A"/>
          <w:sz w:val="32"/>
          <w:szCs w:val="32"/>
        </w:rPr>
        <w:t>3. System Modeling</w:t>
      </w:r>
    </w:p>
    <w:p>
      <w:pPr>
        <w:pStyle w:val="Heading2"/>
        <w:rPr/>
      </w:pPr>
      <w:bookmarkStart w:id="12" w:name="__RefHeading___Toc1288_4291522737"/>
      <w:bookmarkEnd w:id="12"/>
      <w:r>
        <w:rPr>
          <w:color w:val="2E5C8A"/>
        </w:rPr>
        <w:t>3.1 Use Case Diagrams and Descriptions</w:t>
      </w:r>
    </w:p>
    <w:p>
      <w:pPr>
        <w:pStyle w:val="normal1"/>
        <w:spacing w:lineRule="auto" w:line="240" w:before="0" w:after="100"/>
        <w:rPr/>
      </w:pPr>
      <w:r>
        <w:rPr>
          <w:rFonts w:eastAsia="Calibri" w:cs="Calibri" w:ascii="Calibri" w:hAnsi="Calibri"/>
          <w:sz w:val="20"/>
          <w:szCs w:val="20"/>
        </w:rPr>
        <w:t>The use case model progresses from a high-level system view to the concrete responsibilities of Student, Teacher and Admin. The diagrams describe the required system behaviour; the implementation-progress section separately identifies current limitations.</w:t>
      </w:r>
    </w:p>
    <w:p>
      <w:pPr>
        <w:pStyle w:val="Heading3"/>
        <w:rPr/>
      </w:pPr>
      <w:bookmarkStart w:id="13" w:name="__RefHeading___Toc1306_4291522737"/>
      <w:bookmarkEnd w:id="13"/>
      <w:r>
        <w:rPr>
          <w:i/>
          <w:iCs/>
          <w:color w:val="1F1F1F"/>
          <w:sz w:val="23"/>
          <w:szCs w:val="23"/>
        </w:rPr>
        <w:t>Level 0 — System Overview</w:t>
      </w:r>
    </w:p>
    <w:p>
      <w:pPr>
        <w:pStyle w:val="normal1"/>
        <w:spacing w:lineRule="auto" w:line="240" w:before="0" w:after="20"/>
        <w:jc w:val="center"/>
        <w:rPr/>
      </w:pPr>
      <w:r>
        <w:rPr/>
        <w:drawing>
          <wp:inline distT="0" distB="0" distL="0" distR="0">
            <wp:extent cx="4617720" cy="4972050"/>
            <wp:effectExtent l="0" t="0" r="0" b="0"/>
            <wp:docPr id="3" name="image15.png" descr="Figure 1. Level 0 use case diagram showing Student, Teacher and Admin services in MIT OCM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descr="SVG::fig01_usecase_level0::High-level MIT OCMS use case diagram with Student, Teacher and Admin actors."/>
                    <pic:cNvPicPr>
                      <a:picLocks noChangeAspect="1" noChangeArrowheads="1"/>
                    </pic:cNvPicPr>
                  </pic:nvPicPr>
                  <pic:blipFill>
                    <a:blip r:embed="rId4"/>
                    <a:stretch>
                      <a:fillRect/>
                    </a:stretch>
                  </pic:blipFill>
                  <pic:spPr bwMode="auto">
                    <a:xfrm>
                      <a:off x="0" y="0"/>
                      <a:ext cx="4617720" cy="497205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 Use case diagram — Level 0 system overview</w:t>
      </w:r>
    </w:p>
    <w:p>
      <w:pPr>
        <w:pStyle w:val="normal1"/>
        <w:spacing w:lineRule="auto" w:line="240" w:before="0" w:after="0"/>
        <w:rPr/>
      </w:pPr>
      <w:r>
        <w:rPr>
          <w:rFonts w:eastAsia="Calibri" w:cs="Calibri" w:ascii="Calibri" w:hAnsi="Calibri"/>
          <w:sz w:val="19"/>
          <w:szCs w:val="19"/>
        </w:rPr>
        <w:t>Students register courses and view results, CGPA and dues. Teachers manage marks and course results. Administrators manage academic and financial data. All actors enter through protected role access.</w:t>
      </w:r>
    </w:p>
    <w:p>
      <w:pPr>
        <w:pStyle w:val="normal1"/>
        <w:rPr/>
      </w:pPr>
      <w:r>
        <w:rPr/>
      </w:r>
      <w:r>
        <w:br w:type="page"/>
      </w:r>
    </w:p>
    <w:p>
      <w:pPr>
        <w:pStyle w:val="Heading3"/>
        <w:spacing w:before="0" w:after="0"/>
        <w:rPr/>
      </w:pPr>
      <w:bookmarkStart w:id="14" w:name="__RefHeading___Toc1328_4291522737"/>
      <w:bookmarkEnd w:id="14"/>
      <w:r>
        <w:rPr>
          <w:i/>
          <w:iCs/>
          <w:color w:val="1F1F1F"/>
          <w:sz w:val="23"/>
          <w:szCs w:val="23"/>
        </w:rPr>
        <w:t>Level 1 — Full System (Actor-Based)</w:t>
      </w:r>
    </w:p>
    <w:p>
      <w:pPr>
        <w:pStyle w:val="normal1"/>
        <w:spacing w:lineRule="auto" w:line="240" w:before="0" w:after="20"/>
        <w:jc w:val="center"/>
        <w:rPr/>
      </w:pPr>
      <w:r>
        <w:rPr/>
        <w:drawing>
          <wp:inline distT="0" distB="0" distL="0" distR="0">
            <wp:extent cx="6355080" cy="4166235"/>
            <wp:effectExtent l="0" t="0" r="0" b="0"/>
            <wp:docPr id="4" name="image12.png" descr="Figure 2. Level 1 actor-based use case diagram grouping Student, Teacher and Admin responsibilities with shared core servi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descr="Actor-based use case diagram with separate Student, Teacher and Admin service columns and a shared platform core."/>
                    <pic:cNvPicPr>
                      <a:picLocks noChangeAspect="1" noChangeArrowheads="1"/>
                    </pic:cNvPicPr>
                  </pic:nvPicPr>
                  <pic:blipFill>
                    <a:blip r:embed="rId5"/>
                    <a:stretch>
                      <a:fillRect/>
                    </a:stretch>
                  </pic:blipFill>
                  <pic:spPr bwMode="auto">
                    <a:xfrm>
                      <a:off x="0" y="0"/>
                      <a:ext cx="6355080" cy="4166235"/>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2: Use case diagram — Level 1 full system</w:t>
      </w:r>
    </w:p>
    <w:p>
      <w:pPr>
        <w:pStyle w:val="normal1"/>
        <w:spacing w:lineRule="auto" w:line="240" w:before="0" w:after="0"/>
        <w:rPr/>
      </w:pPr>
      <w:r>
        <w:rPr>
          <w:rFonts w:eastAsia="Calibri" w:cs="Calibri" w:ascii="Calibri" w:hAnsi="Calibri"/>
          <w:sz w:val="19"/>
          <w:szCs w:val="19"/>
        </w:rPr>
        <w:t>The full-system diagram separates Student, Teacher and Administrative responsibilities into clear clusters so the role interactions remain readable during presentation and discussion.</w:t>
      </w:r>
    </w:p>
    <w:p>
      <w:pPr>
        <w:pStyle w:val="normal1"/>
        <w:rPr/>
      </w:pPr>
      <w:r>
        <w:rPr/>
      </w:r>
      <w:r>
        <w:br w:type="page"/>
      </w:r>
    </w:p>
    <w:p>
      <w:pPr>
        <w:pStyle w:val="Heading3"/>
        <w:spacing w:before="0" w:after="0"/>
        <w:rPr/>
      </w:pPr>
      <w:bookmarkStart w:id="15" w:name="__RefHeading___Toc1326_4291522737"/>
      <w:bookmarkEnd w:id="15"/>
      <w:r>
        <w:rPr>
          <w:i/>
          <w:iCs/>
          <w:color w:val="1F1F1F"/>
          <w:sz w:val="23"/>
          <w:szCs w:val="23"/>
        </w:rPr>
        <w:t>Level 1.1 — Authentication &amp; Role Access</w:t>
      </w:r>
    </w:p>
    <w:p>
      <w:pPr>
        <w:pStyle w:val="normal1"/>
        <w:spacing w:lineRule="auto" w:line="240" w:before="0" w:after="20"/>
        <w:jc w:val="center"/>
        <w:rPr/>
      </w:pPr>
      <w:r>
        <w:rPr/>
        <w:drawing>
          <wp:inline distT="0" distB="0" distL="0" distR="0">
            <wp:extent cx="6400800" cy="5789295"/>
            <wp:effectExtent l="0" t="0" r="0" b="0"/>
            <wp:docPr id="5" name="image4.png" descr="Figure 3. Authentication and role access use case diagram for Student, Teacher and Admi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6"/>
                    <a:stretch>
                      <a:fillRect/>
                    </a:stretch>
                  </pic:blipFill>
                  <pic:spPr bwMode="auto">
                    <a:xfrm>
                      <a:off x="0" y="0"/>
                      <a:ext cx="6400800" cy="5789295"/>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3: Use case diagram — Authentication &amp; Role Access</w:t>
      </w:r>
    </w:p>
    <w:p>
      <w:pPr>
        <w:pStyle w:val="normal1"/>
        <w:spacing w:lineRule="auto" w:line="240" w:before="0" w:after="60"/>
        <w:rPr/>
      </w:pPr>
      <w:r>
        <w:rPr>
          <w:rFonts w:eastAsia="Calibri" w:cs="Calibri" w:ascii="Calibri" w:hAnsi="Calibri"/>
          <w:b/>
          <w:bCs/>
          <w:sz w:val="20"/>
          <w:szCs w:val="20"/>
        </w:rPr>
        <w:t xml:space="preserve">Use Case Name: </w:t>
      </w:r>
      <w:r>
        <w:rPr>
          <w:rFonts w:eastAsia="Calibri" w:cs="Calibri" w:ascii="Calibri" w:hAnsi="Calibri"/>
          <w:sz w:val="20"/>
          <w:szCs w:val="20"/>
        </w:rPr>
        <w:t>Authentication &amp; Role Access</w:t>
      </w:r>
    </w:p>
    <w:p>
      <w:pPr>
        <w:pStyle w:val="normal1"/>
        <w:spacing w:lineRule="auto" w:line="240" w:before="0" w:after="60"/>
        <w:rPr/>
      </w:pPr>
      <w:r>
        <w:rPr>
          <w:rFonts w:eastAsia="Calibri" w:cs="Calibri" w:ascii="Calibri" w:hAnsi="Calibri"/>
          <w:b/>
          <w:bCs/>
          <w:sz w:val="20"/>
          <w:szCs w:val="20"/>
        </w:rPr>
        <w:t>Primary Actors: Student, Teacher, Admin</w:t>
      </w:r>
    </w:p>
    <w:p>
      <w:pPr>
        <w:pStyle w:val="normal1"/>
        <w:spacing w:lineRule="auto" w:line="240" w:before="0" w:after="80"/>
        <w:rPr/>
      </w:pPr>
      <w:r>
        <w:rPr>
          <w:rFonts w:eastAsia="Calibri" w:cs="Calibri" w:ascii="Calibri" w:hAnsi="Calibri"/>
          <w:b/>
          <w:bCs/>
          <w:sz w:val="20"/>
          <w:szCs w:val="20"/>
        </w:rPr>
        <w:t>Secondary Actors: —</w:t>
      </w:r>
    </w:p>
    <w:p>
      <w:pPr>
        <w:pStyle w:val="normal1"/>
        <w:spacing w:lineRule="auto" w:line="240" w:before="0" w:after="80"/>
        <w:rPr/>
      </w:pPr>
      <w:r>
        <w:rPr>
          <w:rFonts w:eastAsia="Calibri" w:cs="Calibri" w:ascii="Calibri" w:hAnsi="Calibri"/>
          <w:b/>
          <w:bCs/>
          <w:sz w:val="20"/>
          <w:szCs w:val="20"/>
        </w:rPr>
        <w:t>Action – Reply</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Action: A Student, Teacher or Admin submits an email address and password.</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Reply: System validates credentials, account status and role, then issues a signed JWT access token.</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Action: The authenticated actor opens a protected route or role function.</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Reply: The Angular guard and Spring Security verify the required Student, Teacher or Admin role.</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Action: The actor logs out or the access token expires.</w:t>
      </w:r>
    </w:p>
    <w:p>
      <w:pPr>
        <w:pStyle w:val="normal1"/>
        <w:spacing w:lineRule="auto" w:line="240" w:before="0" w:after="80"/>
        <w:ind w:hanging="259" w:left="403"/>
        <w:rPr>
          <w:color w:val="000000"/>
        </w:rPr>
      </w:pPr>
      <w:r>
        <w:rPr>
          <w:rFonts w:eastAsia="Calibri" w:cs="Calibri" w:ascii="Calibri" w:hAnsi="Calibri"/>
          <w:color w:val="000000"/>
          <w:sz w:val="19"/>
          <w:szCs w:val="19"/>
        </w:rPr>
        <w:t xml:space="preserve">• </w:t>
      </w:r>
      <w:r>
        <w:rPr>
          <w:rFonts w:eastAsia="Calibri" w:cs="Calibri" w:ascii="Calibri" w:hAnsi="Calibri"/>
          <w:color w:val="000000"/>
          <w:sz w:val="19"/>
          <w:szCs w:val="19"/>
        </w:rPr>
        <w:t>Reply: The client clears authentication state; protected requests are rejected and the browser returns to the login page.</w:t>
      </w:r>
    </w:p>
    <w:p>
      <w:pPr>
        <w:pStyle w:val="normal1"/>
        <w:rPr/>
      </w:pPr>
      <w:r>
        <w:rPr/>
      </w:r>
      <w:r>
        <w:br w:type="page"/>
      </w:r>
    </w:p>
    <w:p>
      <w:pPr>
        <w:pStyle w:val="Heading3"/>
        <w:spacing w:before="0" w:after="0"/>
        <w:rPr/>
      </w:pPr>
      <w:bookmarkStart w:id="16" w:name="__RefHeading___Toc1324_4291522737"/>
      <w:bookmarkEnd w:id="16"/>
      <w:r>
        <w:rPr>
          <w:i/>
          <w:iCs/>
          <w:color w:val="1F1F1F"/>
          <w:sz w:val="23"/>
          <w:szCs w:val="23"/>
        </w:rPr>
        <w:t>Level 1.2 — Student Course Registration</w:t>
      </w:r>
    </w:p>
    <w:p>
      <w:pPr>
        <w:pStyle w:val="normal1"/>
        <w:spacing w:lineRule="auto" w:line="240" w:before="0" w:after="20"/>
        <w:jc w:val="center"/>
        <w:rPr/>
      </w:pPr>
      <w:r>
        <w:rPr/>
        <w:drawing>
          <wp:inline distT="0" distB="0" distL="0" distR="0">
            <wp:extent cx="4572000" cy="2647950"/>
            <wp:effectExtent l="0" t="0" r="0" b="0"/>
            <wp:docPr id="6" name="image8.png" descr="Figure 4. Student course registration use case diagram with credit, duplicate and seat valid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descr="SVG::fig04_student_registration_usecase::Student registration use cases including exact credit, mandatory courses and seat validation."/>
                    <pic:cNvPicPr>
                      <a:picLocks noChangeAspect="1" noChangeArrowheads="1"/>
                    </pic:cNvPicPr>
                  </pic:nvPicPr>
                  <pic:blipFill>
                    <a:blip r:embed="rId7"/>
                    <a:stretch>
                      <a:fillRect/>
                    </a:stretch>
                  </pic:blipFill>
                  <pic:spPr bwMode="auto">
                    <a:xfrm>
                      <a:off x="0" y="0"/>
                      <a:ext cx="4572000" cy="264795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4: Use case diagram — Student Course Registration</w:t>
      </w:r>
    </w:p>
    <w:p>
      <w:pPr>
        <w:pStyle w:val="normal1"/>
        <w:spacing w:lineRule="auto" w:line="240" w:before="0" w:after="60"/>
        <w:rPr/>
      </w:pPr>
      <w:r>
        <w:rPr>
          <w:rFonts w:eastAsia="Calibri" w:cs="Calibri" w:ascii="Calibri" w:hAnsi="Calibri"/>
          <w:b/>
          <w:bCs/>
          <w:sz w:val="20"/>
          <w:szCs w:val="20"/>
        </w:rPr>
        <w:t xml:space="preserve">Use Case Name: </w:t>
      </w:r>
      <w:r>
        <w:rPr>
          <w:rFonts w:eastAsia="Calibri" w:cs="Calibri" w:ascii="Calibri" w:hAnsi="Calibri"/>
          <w:sz w:val="20"/>
          <w:szCs w:val="20"/>
        </w:rPr>
        <w:t>Student Course Registration</w:t>
      </w:r>
    </w:p>
    <w:p>
      <w:pPr>
        <w:pStyle w:val="normal1"/>
        <w:spacing w:lineRule="auto" w:line="240" w:before="0" w:after="60"/>
        <w:rPr/>
      </w:pPr>
      <w:r>
        <w:rPr>
          <w:rFonts w:eastAsia="Calibri" w:cs="Calibri" w:ascii="Calibri" w:hAnsi="Calibri"/>
          <w:b/>
          <w:bCs/>
          <w:sz w:val="20"/>
          <w:szCs w:val="20"/>
        </w:rPr>
        <w:t xml:space="preserve">Primary Actors: </w:t>
      </w:r>
      <w:r>
        <w:rPr>
          <w:rFonts w:eastAsia="Calibri" w:cs="Calibri" w:ascii="Calibri" w:hAnsi="Calibri"/>
          <w:sz w:val="20"/>
          <w:szCs w:val="20"/>
        </w:rPr>
        <w:t>Student</w:t>
      </w:r>
    </w:p>
    <w:p>
      <w:pPr>
        <w:pStyle w:val="normal1"/>
        <w:spacing w:lineRule="auto" w:line="240" w:before="0" w:after="80"/>
        <w:rPr/>
      </w:pPr>
      <w:r>
        <w:rPr>
          <w:rFonts w:eastAsia="Calibri" w:cs="Calibri" w:ascii="Calibri" w:hAnsi="Calibri"/>
          <w:b/>
          <w:bCs/>
          <w:sz w:val="20"/>
          <w:szCs w:val="20"/>
        </w:rPr>
        <w:t xml:space="preserve">Secondary Actors: </w:t>
      </w:r>
      <w:r>
        <w:rPr>
          <w:rFonts w:eastAsia="Calibri" w:cs="Calibri" w:ascii="Calibri" w:hAnsi="Calibri"/>
          <w:sz w:val="20"/>
          <w:szCs w:val="20"/>
        </w:rPr>
        <w:t>—</w:t>
      </w:r>
    </w:p>
    <w:p>
      <w:pPr>
        <w:pStyle w:val="normal1"/>
        <w:spacing w:lineRule="auto" w:line="240" w:before="0" w:after="80"/>
        <w:rPr/>
      </w:pPr>
      <w:r>
        <w:rPr>
          <w:rFonts w:eastAsia="Calibri" w:cs="Calibri" w:ascii="Calibri" w:hAnsi="Calibri"/>
          <w:b/>
          <w:bCs/>
          <w:sz w:val="20"/>
          <w:szCs w:val="20"/>
        </w:rPr>
        <w:t>Action – Reply</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Student opens the registration page and reviews mandatory and optional courses.</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returns course, credit and seat information for the active semester.</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Student submits a semester course package.</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checks semester, duplicates, exact 12 credits and optional-course seats before saving.</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Any validation fails.</w:t>
      </w:r>
    </w:p>
    <w:p>
      <w:pPr>
        <w:pStyle w:val="normal1"/>
        <w:spacing w:lineRule="auto" w:line="240" w:before="0" w:after="8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rejects the full request with a clear reason and keeps the stored state unchanged.</w:t>
      </w:r>
    </w:p>
    <w:p>
      <w:pPr>
        <w:pStyle w:val="normal1"/>
        <w:spacing w:lineRule="auto" w:line="240" w:before="0" w:after="0"/>
        <w:rPr/>
      </w:pPr>
      <w:r>
        <w:rPr>
          <w:rFonts w:eastAsia="Calibri" w:cs="Calibri" w:ascii="Calibri" w:hAnsi="Calibri"/>
          <w:i/>
          <w:iCs/>
          <w:sz w:val="17"/>
          <w:szCs w:val="17"/>
        </w:rPr>
        <w:t>Implementation note: the current project still registers courses individually and validates a maximum of 12 credits; exact-12 atomic registration is the highest-priority correction.</w:t>
      </w:r>
    </w:p>
    <w:p>
      <w:pPr>
        <w:pStyle w:val="normal1"/>
        <w:rPr/>
      </w:pPr>
      <w:r>
        <w:rPr/>
      </w:r>
      <w:r>
        <w:br w:type="page"/>
      </w:r>
    </w:p>
    <w:p>
      <w:pPr>
        <w:pStyle w:val="Heading3"/>
        <w:spacing w:before="0" w:after="0"/>
        <w:rPr/>
      </w:pPr>
      <w:bookmarkStart w:id="17" w:name="__RefHeading___Toc1322_4291522737"/>
      <w:bookmarkEnd w:id="17"/>
      <w:r>
        <w:rPr>
          <w:i/>
          <w:iCs/>
          <w:color w:val="1F1F1F"/>
          <w:sz w:val="23"/>
          <w:szCs w:val="23"/>
        </w:rPr>
        <w:t>Level 1.3 — Student Academic Progress &amp; Finance</w:t>
      </w:r>
    </w:p>
    <w:p>
      <w:pPr>
        <w:pStyle w:val="normal1"/>
        <w:spacing w:lineRule="auto" w:line="240" w:before="0" w:after="20"/>
        <w:jc w:val="center"/>
        <w:rPr/>
      </w:pPr>
      <w:r>
        <w:rPr/>
        <w:drawing>
          <wp:inline distT="0" distB="0" distL="0" distR="0">
            <wp:extent cx="4069080" cy="5179060"/>
            <wp:effectExtent l="0" t="0" r="0" b="0"/>
            <wp:docPr id="7" name="image7.png" descr="Figure 5. Student academic progress and finance use case diagr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SVG::fig05_student_academic_usecase::Student academic progress, results, CGPA, charges, payments and dues use cases."/>
                    <pic:cNvPicPr>
                      <a:picLocks noChangeAspect="1" noChangeArrowheads="1"/>
                    </pic:cNvPicPr>
                  </pic:nvPicPr>
                  <pic:blipFill>
                    <a:blip r:embed="rId8"/>
                    <a:stretch>
                      <a:fillRect/>
                    </a:stretch>
                  </pic:blipFill>
                  <pic:spPr bwMode="auto">
                    <a:xfrm>
                      <a:off x="0" y="0"/>
                      <a:ext cx="4069080" cy="517906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5: Use case diagram — Student Academic Progress &amp; Finance</w:t>
      </w:r>
    </w:p>
    <w:p>
      <w:pPr>
        <w:pStyle w:val="normal1"/>
        <w:spacing w:lineRule="auto" w:line="240" w:before="0" w:after="60"/>
        <w:rPr/>
      </w:pPr>
      <w:r>
        <w:rPr>
          <w:rFonts w:eastAsia="Calibri" w:cs="Calibri" w:ascii="Calibri" w:hAnsi="Calibri"/>
          <w:b/>
          <w:bCs/>
          <w:sz w:val="20"/>
          <w:szCs w:val="20"/>
        </w:rPr>
        <w:t xml:space="preserve">Use Case Name: </w:t>
      </w:r>
      <w:r>
        <w:rPr>
          <w:rFonts w:eastAsia="Calibri" w:cs="Calibri" w:ascii="Calibri" w:hAnsi="Calibri"/>
          <w:sz w:val="20"/>
          <w:szCs w:val="20"/>
        </w:rPr>
        <w:t>Student Academic Progress &amp; Finance</w:t>
      </w:r>
    </w:p>
    <w:p>
      <w:pPr>
        <w:pStyle w:val="normal1"/>
        <w:spacing w:lineRule="auto" w:line="240" w:before="0" w:after="60"/>
        <w:rPr/>
      </w:pPr>
      <w:r>
        <w:rPr>
          <w:rFonts w:eastAsia="Calibri" w:cs="Calibri" w:ascii="Calibri" w:hAnsi="Calibri"/>
          <w:b/>
          <w:bCs/>
          <w:sz w:val="20"/>
          <w:szCs w:val="20"/>
        </w:rPr>
        <w:t xml:space="preserve">Primary Actors: </w:t>
      </w:r>
      <w:r>
        <w:rPr>
          <w:rFonts w:eastAsia="Calibri" w:cs="Calibri" w:ascii="Calibri" w:hAnsi="Calibri"/>
          <w:sz w:val="20"/>
          <w:szCs w:val="20"/>
        </w:rPr>
        <w:t>Student</w:t>
      </w:r>
    </w:p>
    <w:p>
      <w:pPr>
        <w:pStyle w:val="normal1"/>
        <w:spacing w:lineRule="auto" w:line="240" w:before="0" w:after="80"/>
        <w:rPr/>
      </w:pPr>
      <w:r>
        <w:rPr>
          <w:rFonts w:eastAsia="Calibri" w:cs="Calibri" w:ascii="Calibri" w:hAnsi="Calibri"/>
          <w:b/>
          <w:bCs/>
          <w:sz w:val="20"/>
          <w:szCs w:val="20"/>
        </w:rPr>
        <w:t xml:space="preserve">Secondary Actors: </w:t>
      </w:r>
      <w:r>
        <w:rPr>
          <w:rFonts w:eastAsia="Calibri" w:cs="Calibri" w:ascii="Calibri" w:hAnsi="Calibri"/>
          <w:sz w:val="20"/>
          <w:szCs w:val="20"/>
        </w:rPr>
        <w:t>—</w:t>
      </w:r>
    </w:p>
    <w:p>
      <w:pPr>
        <w:pStyle w:val="normal1"/>
        <w:spacing w:lineRule="auto" w:line="240" w:before="0" w:after="80"/>
        <w:rPr/>
      </w:pPr>
      <w:r>
        <w:rPr>
          <w:rFonts w:eastAsia="Calibri" w:cs="Calibri" w:ascii="Calibri" w:hAnsi="Calibri"/>
          <w:b/>
          <w:bCs/>
          <w:sz w:val="20"/>
          <w:szCs w:val="20"/>
        </w:rPr>
        <w:t>Action – Reply</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Student opens the dashboard, results or dues page.</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loads only the authenticated Student’s enrollment, grade, CGPA and fee records.</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Student selects a semester or course result.</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shows marks, total, grade point and the CGPA contribution available in the current data.</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Student opens financial history.</w:t>
      </w:r>
    </w:p>
    <w:p>
      <w:pPr>
        <w:pStyle w:val="normal1"/>
        <w:spacing w:lineRule="auto" w:line="240" w:before="0" w:after="8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shows generated fees and outstanding dues; verified payment allocation remains a target workflow.</w:t>
      </w:r>
    </w:p>
    <w:p>
      <w:pPr>
        <w:pStyle w:val="normal1"/>
        <w:rPr/>
      </w:pPr>
      <w:r>
        <w:rPr/>
      </w:r>
      <w:r>
        <w:br w:type="page"/>
      </w:r>
    </w:p>
    <w:p>
      <w:pPr>
        <w:pStyle w:val="Heading3"/>
        <w:spacing w:before="0" w:after="0"/>
        <w:rPr/>
      </w:pPr>
      <w:bookmarkStart w:id="18" w:name="__RefHeading___Toc1320_4291522737"/>
      <w:bookmarkEnd w:id="18"/>
      <w:r>
        <w:rPr>
          <w:i/>
          <w:iCs/>
          <w:color w:val="1F1F1F"/>
          <w:sz w:val="23"/>
          <w:szCs w:val="23"/>
        </w:rPr>
        <w:t>Level 1.4 — Teacher Marks Management</w:t>
      </w:r>
    </w:p>
    <w:p>
      <w:pPr>
        <w:pStyle w:val="normal1"/>
        <w:spacing w:lineRule="auto" w:line="240" w:before="0" w:after="20"/>
        <w:jc w:val="center"/>
        <w:rPr/>
      </w:pPr>
      <w:r>
        <w:rPr/>
        <w:drawing>
          <wp:inline distT="0" distB="0" distL="0" distR="0">
            <wp:extent cx="4480560" cy="4016375"/>
            <wp:effectExtent l="0" t="0" r="0" b="0"/>
            <wp:docPr id="8" name="image14.png" descr="Figure 6. Teacher marks management use case diagram."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descr="SVG::fig06_teacher_marks_usecase::Teacher assigned-course, roster and marks-entry use cases."/>
                    <pic:cNvPicPr>
                      <a:picLocks noChangeAspect="1" noChangeArrowheads="1"/>
                    </pic:cNvPicPr>
                  </pic:nvPicPr>
                  <pic:blipFill>
                    <a:blip r:embed="rId9"/>
                    <a:stretch>
                      <a:fillRect/>
                    </a:stretch>
                  </pic:blipFill>
                  <pic:spPr bwMode="auto">
                    <a:xfrm>
                      <a:off x="0" y="0"/>
                      <a:ext cx="4480560" cy="4016375"/>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6: Use case diagram — Teacher Marks Management</w:t>
      </w:r>
    </w:p>
    <w:p>
      <w:pPr>
        <w:pStyle w:val="normal1"/>
        <w:spacing w:lineRule="auto" w:line="240" w:before="0" w:after="60"/>
        <w:rPr/>
      </w:pPr>
      <w:r>
        <w:rPr>
          <w:rFonts w:eastAsia="Calibri" w:cs="Calibri" w:ascii="Calibri" w:hAnsi="Calibri"/>
          <w:b/>
          <w:bCs/>
          <w:sz w:val="20"/>
          <w:szCs w:val="20"/>
        </w:rPr>
        <w:t xml:space="preserve">Use Case Name: </w:t>
      </w:r>
      <w:r>
        <w:rPr>
          <w:rFonts w:eastAsia="Calibri" w:cs="Calibri" w:ascii="Calibri" w:hAnsi="Calibri"/>
          <w:sz w:val="20"/>
          <w:szCs w:val="20"/>
        </w:rPr>
        <w:t>Teacher Marks Management</w:t>
      </w:r>
    </w:p>
    <w:p>
      <w:pPr>
        <w:pStyle w:val="normal1"/>
        <w:spacing w:lineRule="auto" w:line="240" w:before="0" w:after="60"/>
        <w:rPr/>
      </w:pPr>
      <w:r>
        <w:rPr>
          <w:rFonts w:eastAsia="Calibri" w:cs="Calibri" w:ascii="Calibri" w:hAnsi="Calibri"/>
          <w:b/>
          <w:bCs/>
          <w:sz w:val="20"/>
          <w:szCs w:val="20"/>
        </w:rPr>
        <w:t xml:space="preserve">Primary Actors: </w:t>
      </w:r>
      <w:r>
        <w:rPr>
          <w:rFonts w:eastAsia="Calibri" w:cs="Calibri" w:ascii="Calibri" w:hAnsi="Calibri"/>
          <w:sz w:val="20"/>
          <w:szCs w:val="20"/>
        </w:rPr>
        <w:t>Teacher</w:t>
      </w:r>
    </w:p>
    <w:p>
      <w:pPr>
        <w:pStyle w:val="normal1"/>
        <w:spacing w:lineRule="auto" w:line="240" w:before="0" w:after="80"/>
        <w:rPr/>
      </w:pPr>
      <w:r>
        <w:rPr>
          <w:rFonts w:eastAsia="Calibri" w:cs="Calibri" w:ascii="Calibri" w:hAnsi="Calibri"/>
          <w:b/>
          <w:bCs/>
          <w:sz w:val="20"/>
          <w:szCs w:val="20"/>
        </w:rPr>
        <w:t>Secondary Actors: —</w:t>
      </w:r>
    </w:p>
    <w:p>
      <w:pPr>
        <w:pStyle w:val="normal1"/>
        <w:spacing w:lineRule="auto" w:line="240" w:before="0" w:after="80"/>
        <w:rPr/>
      </w:pPr>
      <w:r>
        <w:rPr>
          <w:rFonts w:eastAsia="Calibri" w:cs="Calibri" w:ascii="Calibri" w:hAnsi="Calibri"/>
          <w:b/>
          <w:bCs/>
          <w:sz w:val="20"/>
          <w:szCs w:val="20"/>
        </w:rPr>
        <w:t>Action – Reply</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Teacher opens an assigned course.</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verifies course ownership and returns enrolled Students.</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Teacher enters midterm and final marks.</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validates the allowed range and saves a grade record for the correct enrollment.</w:t>
      </w:r>
    </w:p>
    <w:p>
      <w:pPr>
        <w:pStyle w:val="normal1"/>
        <w:spacing w:lineRule="auto" w:line="240" w:before="0" w:after="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Action: </w:t>
      </w:r>
      <w:r>
        <w:rPr>
          <w:rFonts w:eastAsia="Calibri" w:cs="Calibri" w:ascii="Calibri" w:hAnsi="Calibri"/>
          <w:color w:val="000000"/>
          <w:sz w:val="19"/>
          <w:szCs w:val="19"/>
        </w:rPr>
        <w:t>Teacher attempts to access an unassigned course.</w:t>
      </w:r>
    </w:p>
    <w:p>
      <w:pPr>
        <w:pStyle w:val="normal1"/>
        <w:spacing w:lineRule="auto" w:line="240" w:before="0" w:after="80"/>
        <w:ind w:hanging="259" w:left="403"/>
        <w:rPr>
          <w:color w:val="000000"/>
        </w:rPr>
      </w:pPr>
      <w:r>
        <w:rPr>
          <w:rFonts w:eastAsia="Calibri" w:cs="Calibri" w:ascii="Calibri" w:hAnsi="Calibri"/>
          <w:color w:val="000000"/>
          <w:sz w:val="19"/>
          <w:szCs w:val="19"/>
        </w:rPr>
        <w:t xml:space="preserve">• </w:t>
      </w:r>
      <w:r>
        <w:rPr>
          <w:rFonts w:eastAsia="Calibri" w:cs="Calibri" w:ascii="Calibri" w:hAnsi="Calibri"/>
          <w:b/>
          <w:bCs/>
          <w:color w:val="000000"/>
          <w:sz w:val="19"/>
          <w:szCs w:val="19"/>
        </w:rPr>
        <w:t xml:space="preserve">Reply: </w:t>
      </w:r>
      <w:r>
        <w:rPr>
          <w:rFonts w:eastAsia="Calibri" w:cs="Calibri" w:ascii="Calibri" w:hAnsi="Calibri"/>
          <w:color w:val="000000"/>
          <w:sz w:val="19"/>
          <w:szCs w:val="19"/>
        </w:rPr>
        <w:t>System rejects the request; a formal submit/publish lifecycle remains a planned refinement.</w:t>
      </w:r>
    </w:p>
    <w:p>
      <w:pPr>
        <w:pStyle w:val="normal1"/>
        <w:rPr/>
      </w:pPr>
      <w:r>
        <w:rPr/>
      </w:r>
      <w:r>
        <w:br w:type="page"/>
      </w:r>
    </w:p>
    <w:p>
      <w:pPr>
        <w:pStyle w:val="Heading3"/>
        <w:spacing w:before="0" w:after="0"/>
        <w:rPr/>
      </w:pPr>
      <w:bookmarkStart w:id="19" w:name="__RefHeading___Toc1318_4291522737"/>
      <w:bookmarkEnd w:id="19"/>
      <w:r>
        <w:rPr>
          <w:i/>
          <w:iCs/>
          <w:color w:val="1F1F1F"/>
          <w:sz w:val="23"/>
          <w:szCs w:val="23"/>
        </w:rPr>
        <w:t>Level 1.5 — Admin Academic &amp; Financial Administration</w:t>
      </w:r>
    </w:p>
    <w:p>
      <w:pPr>
        <w:pStyle w:val="normal1"/>
        <w:spacing w:lineRule="auto" w:line="240" w:before="0" w:after="20"/>
        <w:jc w:val="center"/>
        <w:rPr/>
      </w:pPr>
      <w:r>
        <w:rPr/>
        <w:drawing>
          <wp:inline distT="0" distB="0" distL="0" distR="0">
            <wp:extent cx="3977640" cy="5712460"/>
            <wp:effectExtent l="0" t="0" r="0" b="0"/>
            <wp:docPr id="9" name="image6.png" descr="Figure 7. Admin academic and financial administration use case diagra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descr="SVG::fig07_admin_usecase::Admin use cases for users, courses, semesters, results, fees and monitoring."/>
                    <pic:cNvPicPr>
                      <a:picLocks noChangeAspect="1" noChangeArrowheads="1"/>
                    </pic:cNvPicPr>
                  </pic:nvPicPr>
                  <pic:blipFill>
                    <a:blip r:embed="rId10"/>
                    <a:stretch>
                      <a:fillRect/>
                    </a:stretch>
                  </pic:blipFill>
                  <pic:spPr bwMode="auto">
                    <a:xfrm>
                      <a:off x="0" y="0"/>
                      <a:ext cx="3977640" cy="571246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7: Use case diagram — Admin Academic &amp; Financial Administration</w:t>
      </w:r>
    </w:p>
    <w:p>
      <w:pPr>
        <w:pStyle w:val="normal1"/>
        <w:spacing w:lineRule="auto" w:line="240" w:before="0" w:after="60"/>
        <w:rPr/>
      </w:pPr>
      <w:r>
        <w:rPr>
          <w:rFonts w:eastAsia="Calibri" w:cs="Calibri" w:ascii="Calibri" w:hAnsi="Calibri"/>
          <w:b/>
          <w:bCs/>
          <w:sz w:val="20"/>
          <w:szCs w:val="20"/>
        </w:rPr>
        <w:t xml:space="preserve">Use Case Name: </w:t>
      </w:r>
      <w:r>
        <w:rPr>
          <w:rFonts w:eastAsia="Calibri" w:cs="Calibri" w:ascii="Calibri" w:hAnsi="Calibri"/>
          <w:sz w:val="20"/>
          <w:szCs w:val="20"/>
        </w:rPr>
        <w:t>Admin Academic &amp; Financial Administration</w:t>
      </w:r>
    </w:p>
    <w:p>
      <w:pPr>
        <w:pStyle w:val="normal1"/>
        <w:spacing w:lineRule="auto" w:line="240" w:before="0" w:after="60"/>
        <w:rPr/>
      </w:pPr>
      <w:r>
        <w:rPr>
          <w:rFonts w:eastAsia="Calibri" w:cs="Calibri" w:ascii="Calibri" w:hAnsi="Calibri"/>
          <w:b/>
          <w:bCs/>
          <w:sz w:val="20"/>
          <w:szCs w:val="20"/>
        </w:rPr>
        <w:t xml:space="preserve">Primary Actors: </w:t>
      </w:r>
      <w:r>
        <w:rPr>
          <w:rFonts w:eastAsia="Calibri" w:cs="Calibri" w:ascii="Calibri" w:hAnsi="Calibri"/>
          <w:sz w:val="20"/>
          <w:szCs w:val="20"/>
        </w:rPr>
        <w:t>Admin</w:t>
      </w:r>
    </w:p>
    <w:p>
      <w:pPr>
        <w:pStyle w:val="normal1"/>
        <w:spacing w:lineRule="auto" w:line="240" w:before="0" w:after="80"/>
        <w:rPr/>
      </w:pPr>
      <w:r>
        <w:rPr>
          <w:rFonts w:eastAsia="Calibri" w:cs="Calibri" w:ascii="Calibri" w:hAnsi="Calibri"/>
          <w:b/>
          <w:bCs/>
          <w:sz w:val="20"/>
          <w:szCs w:val="20"/>
        </w:rPr>
        <w:t>Secondary Actors: —</w:t>
      </w:r>
    </w:p>
    <w:p>
      <w:pPr>
        <w:pStyle w:val="normal1"/>
        <w:spacing w:lineRule="auto" w:line="240" w:before="0" w:after="80"/>
        <w:rPr/>
      </w:pPr>
      <w:r>
        <w:rPr>
          <w:rFonts w:eastAsia="Calibri" w:cs="Calibri" w:ascii="Calibri" w:hAnsi="Calibri"/>
          <w:b/>
          <w:bCs/>
          <w:sz w:val="20"/>
          <w:szCs w:val="20"/>
        </w:rPr>
        <w:t>Action – Reply</w:t>
      </w:r>
    </w:p>
    <w:p>
      <w:pPr>
        <w:pStyle w:val="normal1"/>
        <w:spacing w:lineRule="auto" w:line="240" w:before="0" w:after="0"/>
        <w:ind w:hanging="259" w:left="403"/>
        <w:rPr>
          <w:color w:val="000000"/>
        </w:rPr>
      </w:pPr>
      <w:r>
        <w:rPr>
          <w:rFonts w:eastAsia="Calibri" w:cs="Calibri" w:ascii="Calibri" w:hAnsi="Calibri"/>
          <w:color w:val="000000"/>
          <w:sz w:val="18"/>
          <w:szCs w:val="18"/>
        </w:rPr>
        <w:t xml:space="preserve">• </w:t>
      </w:r>
      <w:r>
        <w:rPr>
          <w:rFonts w:eastAsia="Calibri" w:cs="Calibri" w:ascii="Calibri" w:hAnsi="Calibri"/>
          <w:color w:val="000000"/>
          <w:sz w:val="18"/>
          <w:szCs w:val="18"/>
        </w:rPr>
        <w:t>Action: Admin creates or updates students, teachers, courses, semesters or fees.</w:t>
      </w:r>
    </w:p>
    <w:p>
      <w:pPr>
        <w:pStyle w:val="normal1"/>
        <w:spacing w:lineRule="auto" w:line="240" w:before="0" w:after="0"/>
        <w:ind w:hanging="259" w:left="403"/>
        <w:rPr>
          <w:color w:val="000000"/>
        </w:rPr>
      </w:pPr>
      <w:r>
        <w:rPr>
          <w:rFonts w:eastAsia="Calibri" w:cs="Calibri" w:ascii="Calibri" w:hAnsi="Calibri"/>
          <w:color w:val="000000"/>
          <w:sz w:val="18"/>
          <w:szCs w:val="18"/>
        </w:rPr>
        <w:t xml:space="preserve">• </w:t>
      </w:r>
      <w:r>
        <w:rPr>
          <w:rFonts w:eastAsia="Calibri" w:cs="Calibri" w:ascii="Calibri" w:hAnsi="Calibri"/>
          <w:b/>
          <w:bCs/>
          <w:color w:val="000000"/>
          <w:sz w:val="18"/>
          <w:szCs w:val="18"/>
        </w:rPr>
        <w:t xml:space="preserve">Reply: </w:t>
      </w:r>
      <w:r>
        <w:rPr>
          <w:rFonts w:eastAsia="Calibri" w:cs="Calibri" w:ascii="Calibri" w:hAnsi="Calibri"/>
          <w:color w:val="000000"/>
          <w:sz w:val="18"/>
          <w:szCs w:val="18"/>
        </w:rPr>
        <w:t>System validates the data and stores the authorized change.</w:t>
      </w:r>
    </w:p>
    <w:p>
      <w:pPr>
        <w:pStyle w:val="normal1"/>
        <w:spacing w:lineRule="auto" w:line="240" w:before="0" w:after="0"/>
        <w:ind w:hanging="259" w:left="403"/>
        <w:rPr>
          <w:color w:val="000000"/>
        </w:rPr>
      </w:pPr>
      <w:r>
        <w:rPr>
          <w:rFonts w:eastAsia="Calibri" w:cs="Calibri" w:ascii="Calibri" w:hAnsi="Calibri"/>
          <w:color w:val="000000"/>
          <w:sz w:val="18"/>
          <w:szCs w:val="18"/>
        </w:rPr>
        <w:t xml:space="preserve">• </w:t>
      </w:r>
      <w:r>
        <w:rPr>
          <w:rFonts w:eastAsia="Calibri" w:cs="Calibri" w:ascii="Calibri" w:hAnsi="Calibri"/>
          <w:b/>
          <w:bCs/>
          <w:color w:val="000000"/>
          <w:sz w:val="18"/>
          <w:szCs w:val="18"/>
        </w:rPr>
        <w:t xml:space="preserve">Action: </w:t>
      </w:r>
      <w:r>
        <w:rPr>
          <w:rFonts w:eastAsia="Calibri" w:cs="Calibri" w:ascii="Calibri" w:hAnsi="Calibri"/>
          <w:color w:val="000000"/>
          <w:sz w:val="18"/>
          <w:szCs w:val="18"/>
        </w:rPr>
        <w:t>Admin opens statistics or monitoring.</w:t>
      </w:r>
    </w:p>
    <w:p>
      <w:pPr>
        <w:pStyle w:val="normal1"/>
        <w:spacing w:lineRule="auto" w:line="240" w:before="0" w:after="0"/>
        <w:ind w:hanging="259" w:left="403"/>
        <w:rPr>
          <w:color w:val="000000"/>
        </w:rPr>
      </w:pPr>
      <w:r>
        <w:rPr>
          <w:rFonts w:eastAsia="Calibri" w:cs="Calibri" w:ascii="Calibri" w:hAnsi="Calibri"/>
          <w:color w:val="000000"/>
          <w:sz w:val="18"/>
          <w:szCs w:val="18"/>
        </w:rPr>
        <w:t xml:space="preserve">• </w:t>
      </w:r>
      <w:r>
        <w:rPr>
          <w:rFonts w:eastAsia="Calibri" w:cs="Calibri" w:ascii="Calibri" w:hAnsi="Calibri"/>
          <w:b/>
          <w:bCs/>
          <w:color w:val="000000"/>
          <w:sz w:val="18"/>
          <w:szCs w:val="18"/>
        </w:rPr>
        <w:t xml:space="preserve">Reply: </w:t>
      </w:r>
      <w:r>
        <w:rPr>
          <w:rFonts w:eastAsia="Calibri" w:cs="Calibri" w:ascii="Calibri" w:hAnsi="Calibri"/>
          <w:color w:val="000000"/>
          <w:sz w:val="18"/>
          <w:szCs w:val="18"/>
        </w:rPr>
        <w:t>System aggregates current academic and financial records.</w:t>
      </w:r>
    </w:p>
    <w:p>
      <w:pPr>
        <w:pStyle w:val="normal1"/>
        <w:spacing w:lineRule="auto" w:line="240" w:before="0" w:after="0"/>
        <w:ind w:hanging="259" w:left="403"/>
        <w:rPr>
          <w:color w:val="000000"/>
        </w:rPr>
      </w:pPr>
      <w:r>
        <w:rPr>
          <w:rFonts w:eastAsia="Calibri" w:cs="Calibri" w:ascii="Calibri" w:hAnsi="Calibri"/>
          <w:color w:val="000000"/>
          <w:sz w:val="18"/>
          <w:szCs w:val="18"/>
        </w:rPr>
        <w:t xml:space="preserve">• </w:t>
      </w:r>
      <w:r>
        <w:rPr>
          <w:rFonts w:eastAsia="Calibri" w:cs="Calibri" w:ascii="Calibri" w:hAnsi="Calibri"/>
          <w:b/>
          <w:bCs/>
          <w:color w:val="000000"/>
          <w:sz w:val="18"/>
          <w:szCs w:val="18"/>
        </w:rPr>
        <w:t xml:space="preserve">Action: </w:t>
      </w:r>
      <w:r>
        <w:rPr>
          <w:rFonts w:eastAsia="Calibri" w:cs="Calibri" w:ascii="Calibri" w:hAnsi="Calibri"/>
          <w:color w:val="000000"/>
          <w:sz w:val="18"/>
          <w:szCs w:val="18"/>
        </w:rPr>
        <w:t>Admin publishes results or records a payment.</w:t>
      </w:r>
    </w:p>
    <w:p>
      <w:pPr>
        <w:pStyle w:val="normal1"/>
        <w:spacing w:lineRule="auto" w:line="240" w:before="0" w:after="80"/>
        <w:ind w:hanging="259" w:left="403"/>
        <w:rPr>
          <w:color w:val="000000"/>
        </w:rPr>
      </w:pPr>
      <w:r>
        <w:rPr>
          <w:rFonts w:eastAsia="Calibri" w:cs="Calibri" w:ascii="Calibri" w:hAnsi="Calibri"/>
          <w:color w:val="000000"/>
          <w:sz w:val="18"/>
          <w:szCs w:val="18"/>
        </w:rPr>
        <w:t xml:space="preserve">• </w:t>
      </w:r>
      <w:r>
        <w:rPr>
          <w:rFonts w:eastAsia="Calibri" w:cs="Calibri" w:ascii="Calibri" w:hAnsi="Calibri"/>
          <w:b/>
          <w:bCs/>
          <w:color w:val="000000"/>
          <w:sz w:val="18"/>
          <w:szCs w:val="18"/>
        </w:rPr>
        <w:t xml:space="preserve">Reply: </w:t>
      </w:r>
      <w:r>
        <w:rPr>
          <w:rFonts w:eastAsia="Calibri" w:cs="Calibri" w:ascii="Calibri" w:hAnsi="Calibri"/>
          <w:color w:val="000000"/>
          <w:sz w:val="18"/>
          <w:szCs w:val="18"/>
        </w:rPr>
        <w:t>The required target workflow validates state, preserves auditability and prevents invalid balance changes.</w:t>
      </w:r>
    </w:p>
    <w:p>
      <w:pPr>
        <w:pStyle w:val="normal1"/>
        <w:rPr/>
      </w:pPr>
      <w:r>
        <w:rPr/>
      </w:r>
      <w:r>
        <w:br w:type="page"/>
      </w:r>
    </w:p>
    <w:p>
      <w:pPr>
        <w:pStyle w:val="Heading2"/>
        <w:spacing w:before="0" w:after="0"/>
        <w:rPr/>
      </w:pPr>
      <w:bookmarkStart w:id="20" w:name="__RefHeading___Toc1286_4291522737"/>
      <w:bookmarkEnd w:id="20"/>
      <w:r>
        <w:rPr>
          <w:color w:val="2E5C8A"/>
        </w:rPr>
        <w:t>3.2 Activity Diagrams</w:t>
      </w:r>
    </w:p>
    <w:p>
      <w:pPr>
        <w:pStyle w:val="normal1"/>
        <w:spacing w:lineRule="auto" w:line="240" w:before="0" w:after="80"/>
        <w:rPr/>
      </w:pPr>
      <w:r>
        <w:rPr>
          <w:rFonts w:eastAsia="Calibri" w:cs="Calibri" w:ascii="Calibri" w:hAnsi="Calibri"/>
          <w:sz w:val="20"/>
          <w:szCs w:val="20"/>
        </w:rPr>
        <w:t>Activity diagrams show the dynamic flow of the most important workflows. Decision paths are explicit so the presentation can explain both successful and rejected cases.</w:t>
      </w:r>
    </w:p>
    <w:p>
      <w:pPr>
        <w:pStyle w:val="Heading3"/>
        <w:rPr/>
      </w:pPr>
      <w:bookmarkStart w:id="21" w:name="__RefHeading___Toc1316_4291522737"/>
      <w:bookmarkEnd w:id="21"/>
      <w:r>
        <w:rPr>
          <w:i/>
          <w:iCs/>
          <w:color w:val="1F1F1F"/>
          <w:sz w:val="23"/>
          <w:szCs w:val="23"/>
        </w:rPr>
        <w:t>3.2.1 Authentication &amp; Role Routing</w:t>
      </w:r>
    </w:p>
    <w:p>
      <w:pPr>
        <w:pStyle w:val="normal1"/>
        <w:spacing w:lineRule="auto" w:line="240" w:before="0" w:after="20"/>
        <w:jc w:val="center"/>
        <w:rPr/>
      </w:pPr>
      <w:r>
        <w:rPr/>
        <w:drawing>
          <wp:inline distT="0" distB="0" distL="0" distR="0">
            <wp:extent cx="4572000" cy="4554855"/>
            <wp:effectExtent l="0" t="0" r="0" b="0"/>
            <wp:docPr id="10" name="image16.png" descr="Figure 8. Authentication and role routing activity diagra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descr="Activity diagram for Student, Teacher and Admin login validation, JWT access-token issuance and role-based portal routing."/>
                    <pic:cNvPicPr>
                      <a:picLocks noChangeAspect="1" noChangeArrowheads="1"/>
                    </pic:cNvPicPr>
                  </pic:nvPicPr>
                  <pic:blipFill>
                    <a:blip r:embed="rId11"/>
                    <a:stretch>
                      <a:fillRect/>
                    </a:stretch>
                  </pic:blipFill>
                  <pic:spPr bwMode="auto">
                    <a:xfrm>
                      <a:off x="0" y="0"/>
                      <a:ext cx="4572000" cy="4554855"/>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8: Activity diagram — Authentication &amp; Role Routing</w:t>
      </w:r>
    </w:p>
    <w:p>
      <w:pPr>
        <w:pStyle w:val="normal1"/>
        <w:spacing w:lineRule="auto" w:line="240" w:before="0" w:after="0"/>
        <w:rPr/>
      </w:pPr>
      <w:r>
        <w:rPr>
          <w:rFonts w:eastAsia="Calibri" w:cs="Calibri" w:ascii="Calibri" w:hAnsi="Calibri"/>
          <w:sz w:val="19"/>
          <w:szCs w:val="19"/>
        </w:rPr>
        <w:t>The system validates credentials and account status before routing the user to the correct dashboard. Invalid credentials or role mismatches terminate the attempt without exposing protected data.</w:t>
      </w:r>
    </w:p>
    <w:p>
      <w:pPr>
        <w:pStyle w:val="normal1"/>
        <w:rPr/>
      </w:pPr>
      <w:r>
        <w:rPr/>
      </w:r>
      <w:r>
        <w:br w:type="page"/>
      </w:r>
    </w:p>
    <w:p>
      <w:pPr>
        <w:pStyle w:val="Heading3"/>
        <w:spacing w:before="0" w:after="0"/>
        <w:rPr/>
      </w:pPr>
      <w:bookmarkStart w:id="22" w:name="__RefHeading___Toc1314_4291522737"/>
      <w:bookmarkEnd w:id="22"/>
      <w:r>
        <w:rPr>
          <w:i/>
          <w:iCs/>
          <w:color w:val="1F1F1F"/>
          <w:sz w:val="23"/>
          <w:szCs w:val="23"/>
        </w:rPr>
        <w:t>3.2.2 Student Course Registration</w:t>
      </w:r>
    </w:p>
    <w:p>
      <w:pPr>
        <w:pStyle w:val="normal1"/>
        <w:spacing w:lineRule="auto" w:line="240" w:before="0" w:after="20"/>
        <w:jc w:val="center"/>
        <w:rPr/>
      </w:pPr>
      <w:r>
        <w:rPr/>
        <w:drawing>
          <wp:inline distT="0" distB="0" distL="0" distR="0">
            <wp:extent cx="4480560" cy="7426960"/>
            <wp:effectExtent l="0" t="0" r="0" b="0"/>
            <wp:docPr id="11" name="image5.png" descr="Figure 9. Student course registration activity diagra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descr="SVG::fig10_activity_registration::Activity diagram for exact-12-credit atomic semester registration."/>
                    <pic:cNvPicPr>
                      <a:picLocks noChangeAspect="1" noChangeArrowheads="1"/>
                    </pic:cNvPicPr>
                  </pic:nvPicPr>
                  <pic:blipFill>
                    <a:blip r:embed="rId12"/>
                    <a:stretch>
                      <a:fillRect/>
                    </a:stretch>
                  </pic:blipFill>
                  <pic:spPr bwMode="auto">
                    <a:xfrm>
                      <a:off x="0" y="0"/>
                      <a:ext cx="4480560" cy="742696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9: Activity diagram — Student Course Registration</w:t>
      </w:r>
    </w:p>
    <w:p>
      <w:pPr>
        <w:pStyle w:val="normal1"/>
        <w:spacing w:lineRule="auto" w:line="240" w:before="0" w:after="0"/>
        <w:rPr/>
      </w:pPr>
      <w:r>
        <w:rPr>
          <w:rFonts w:eastAsia="Calibri" w:cs="Calibri" w:ascii="Calibri" w:hAnsi="Calibri"/>
          <w:sz w:val="18"/>
          <w:szCs w:val="18"/>
        </w:rPr>
        <w:t>This is the required corrected flow: build the complete package, validate exact credits, duplicates and seats, then persist all records as one transaction. The current course-by-course implementation is a partial predecessor of this flow.</w:t>
      </w:r>
    </w:p>
    <w:p>
      <w:pPr>
        <w:pStyle w:val="normal1"/>
        <w:rPr/>
      </w:pPr>
      <w:r>
        <w:rPr/>
      </w:r>
      <w:r>
        <w:br w:type="page"/>
      </w:r>
    </w:p>
    <w:p>
      <w:pPr>
        <w:pStyle w:val="Heading3"/>
        <w:spacing w:before="0" w:after="0"/>
        <w:rPr/>
      </w:pPr>
      <w:bookmarkStart w:id="23" w:name="__RefHeading___Toc1312_4291522737"/>
      <w:bookmarkEnd w:id="23"/>
      <w:r>
        <w:rPr>
          <w:i/>
          <w:iCs/>
          <w:color w:val="1F1F1F"/>
          <w:sz w:val="23"/>
          <w:szCs w:val="23"/>
        </w:rPr>
        <w:t>3.2.3 Teacher Marks Entry</w:t>
      </w:r>
    </w:p>
    <w:p>
      <w:pPr>
        <w:pStyle w:val="normal1"/>
        <w:spacing w:lineRule="auto" w:line="240" w:before="0" w:after="20"/>
        <w:jc w:val="center"/>
        <w:rPr/>
      </w:pPr>
      <w:r>
        <w:rPr/>
        <w:drawing>
          <wp:inline distT="0" distB="0" distL="0" distR="0">
            <wp:extent cx="4663440" cy="7522210"/>
            <wp:effectExtent l="0" t="0" r="0" b="0"/>
            <wp:docPr id="12" name="image9.png" descr="Figure 10. Teacher marks entry activity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descr="SVG::fig11_activity_marks::Activity diagram for assigned-course roster and mark validation."/>
                    <pic:cNvPicPr>
                      <a:picLocks noChangeAspect="1" noChangeArrowheads="1"/>
                    </pic:cNvPicPr>
                  </pic:nvPicPr>
                  <pic:blipFill>
                    <a:blip r:embed="rId13"/>
                    <a:stretch>
                      <a:fillRect/>
                    </a:stretch>
                  </pic:blipFill>
                  <pic:spPr bwMode="auto">
                    <a:xfrm>
                      <a:off x="0" y="0"/>
                      <a:ext cx="4663440" cy="752221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10: Activity diagram — Teacher Marks Entry</w:t>
      </w:r>
    </w:p>
    <w:p>
      <w:pPr>
        <w:pStyle w:val="normal1"/>
        <w:spacing w:lineRule="auto" w:line="240" w:before="0" w:after="0"/>
        <w:rPr/>
      </w:pPr>
      <w:r>
        <w:rPr>
          <w:rFonts w:eastAsia="Calibri" w:cs="Calibri" w:ascii="Calibri" w:hAnsi="Calibri"/>
          <w:sz w:val="19"/>
          <w:szCs w:val="19"/>
        </w:rPr>
        <w:t>Teacher authorization, roster ownership and marks-range validation protect the grade-entry process. Draft/submit states are the recommended completion model.</w:t>
      </w:r>
    </w:p>
    <w:p>
      <w:pPr>
        <w:pStyle w:val="normal1"/>
        <w:rPr/>
      </w:pPr>
      <w:r>
        <w:rPr/>
      </w:r>
      <w:r>
        <w:br w:type="page"/>
      </w:r>
    </w:p>
    <w:p>
      <w:pPr>
        <w:pStyle w:val="Heading3"/>
        <w:spacing w:before="0" w:after="0"/>
        <w:rPr/>
      </w:pPr>
      <w:bookmarkStart w:id="24" w:name="__RefHeading___Toc1310_4291522737"/>
      <w:bookmarkEnd w:id="24"/>
      <w:r>
        <w:rPr>
          <w:i/>
          <w:iCs/>
          <w:color w:val="1F1F1F"/>
          <w:sz w:val="23"/>
          <w:szCs w:val="23"/>
        </w:rPr>
        <w:t>3.2.4 Result Calculation &amp; Publication</w:t>
      </w:r>
    </w:p>
    <w:p>
      <w:pPr>
        <w:pStyle w:val="normal1"/>
        <w:spacing w:lineRule="auto" w:line="240" w:before="0" w:after="20"/>
        <w:jc w:val="center"/>
        <w:rPr/>
      </w:pPr>
      <w:r>
        <w:rPr/>
        <w:drawing>
          <wp:inline distT="0" distB="0" distL="0" distR="0">
            <wp:extent cx="4709160" cy="4987290"/>
            <wp:effectExtent l="0" t="0" r="0" b="0"/>
            <wp:docPr id="13" name="image10.png" descr="Figure 11. Result calculation and publication activity diagra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png" descr="SVG::fig12_activity_results::Activity diagram for grade calculation, GPA/CGPA and result publication."/>
                    <pic:cNvPicPr>
                      <a:picLocks noChangeAspect="1" noChangeArrowheads="1"/>
                    </pic:cNvPicPr>
                  </pic:nvPicPr>
                  <pic:blipFill>
                    <a:blip r:embed="rId14"/>
                    <a:stretch>
                      <a:fillRect/>
                    </a:stretch>
                  </pic:blipFill>
                  <pic:spPr bwMode="auto">
                    <a:xfrm>
                      <a:off x="0" y="0"/>
                      <a:ext cx="4709160" cy="498729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11: Activity diagram — Result Calculation &amp; Publication</w:t>
      </w:r>
    </w:p>
    <w:p>
      <w:pPr>
        <w:pStyle w:val="normal1"/>
        <w:spacing w:lineRule="auto" w:line="240" w:before="0" w:after="0"/>
        <w:rPr/>
      </w:pPr>
      <w:r>
        <w:rPr>
          <w:rFonts w:eastAsia="Calibri" w:cs="Calibri" w:ascii="Calibri" w:hAnsi="Calibri"/>
          <w:sz w:val="18"/>
          <w:szCs w:val="18"/>
        </w:rPr>
        <w:t>The intended lifecycle separates mark entry from calculation and publication. Students should see only published results; the current build calculates grades and CGPA but lacks this explicit lifecycle.</w:t>
      </w:r>
    </w:p>
    <w:p>
      <w:pPr>
        <w:pStyle w:val="normal1"/>
        <w:rPr/>
      </w:pPr>
      <w:r>
        <w:rPr/>
      </w:r>
      <w:r>
        <w:br w:type="page"/>
      </w:r>
    </w:p>
    <w:p>
      <w:pPr>
        <w:pStyle w:val="Heading3"/>
        <w:spacing w:before="0" w:after="0"/>
        <w:rPr/>
      </w:pPr>
      <w:bookmarkStart w:id="25" w:name="__RefHeading___Toc1308_4291522737"/>
      <w:bookmarkEnd w:id="25"/>
      <w:r>
        <w:rPr>
          <w:i/>
          <w:iCs/>
          <w:color w:val="1F1F1F"/>
          <w:sz w:val="23"/>
          <w:szCs w:val="23"/>
        </w:rPr>
        <w:t>3.2.5 Fee, Payment &amp; Dues Update</w:t>
      </w:r>
    </w:p>
    <w:p>
      <w:pPr>
        <w:pStyle w:val="normal1"/>
        <w:spacing w:lineRule="auto" w:line="240" w:before="0" w:after="20"/>
        <w:jc w:val="center"/>
        <w:rPr/>
      </w:pPr>
      <w:r>
        <w:rPr/>
        <w:drawing>
          <wp:inline distT="0" distB="0" distL="0" distR="0">
            <wp:extent cx="4069080" cy="7726045"/>
            <wp:effectExtent l="0" t="0" r="0" b="0"/>
            <wp:docPr id="14" name="image11.png" descr="Figure 12. Fee, payment and dues update activity diagra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descr="SVG::fig13_activity_fees::Activity diagram for charge generation, payment and outstanding dues."/>
                    <pic:cNvPicPr>
                      <a:picLocks noChangeAspect="1" noChangeArrowheads="1"/>
                    </pic:cNvPicPr>
                  </pic:nvPicPr>
                  <pic:blipFill>
                    <a:blip r:embed="rId15"/>
                    <a:stretch>
                      <a:fillRect/>
                    </a:stretch>
                  </pic:blipFill>
                  <pic:spPr bwMode="auto">
                    <a:xfrm>
                      <a:off x="0" y="0"/>
                      <a:ext cx="4069080" cy="7726045"/>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12: Activity diagram — Fee, Payment &amp; Dues Update</w:t>
      </w:r>
    </w:p>
    <w:p>
      <w:pPr>
        <w:pStyle w:val="normal1"/>
        <w:spacing w:lineRule="auto" w:line="240" w:before="0" w:after="0"/>
        <w:rPr/>
      </w:pPr>
      <w:r>
        <w:rPr>
          <w:rFonts w:eastAsia="Calibri" w:cs="Calibri" w:ascii="Calibri" w:hAnsi="Calibri"/>
          <w:sz w:val="18"/>
          <w:szCs w:val="18"/>
        </w:rPr>
        <w:t>Retake and semester-gap conditions should be derived from academic history. Payments should be verified and allocated to charges rather than represented only as a status change.</w:t>
      </w:r>
    </w:p>
    <w:p>
      <w:pPr>
        <w:pStyle w:val="Heading1"/>
        <w:rPr/>
      </w:pPr>
      <w:bookmarkStart w:id="26" w:name="__RefHeading___Toc1270_4291522737"/>
      <w:bookmarkEnd w:id="26"/>
      <w:r>
        <w:rPr>
          <w:color w:val="2E5C8A"/>
          <w:sz w:val="32"/>
          <w:szCs w:val="32"/>
        </w:rPr>
        <w:t>4. Data &amp; Information Modeling</w:t>
      </w:r>
    </w:p>
    <w:p>
      <w:pPr>
        <w:pStyle w:val="Heading2"/>
        <w:rPr/>
      </w:pPr>
      <w:bookmarkStart w:id="27" w:name="__RefHeading___Toc1284_4291522737"/>
      <w:bookmarkEnd w:id="27"/>
      <w:r>
        <w:rPr>
          <w:color w:val="2E5C8A"/>
        </w:rPr>
        <w:t>4.1 Data Objects and Relationships</w:t>
      </w:r>
    </w:p>
    <w:p>
      <w:pPr>
        <w:pStyle w:val="normal1"/>
        <w:spacing w:lineRule="auto" w:line="240" w:before="0" w:after="100"/>
        <w:rPr/>
      </w:pPr>
      <w:r>
        <w:rPr>
          <w:rFonts w:eastAsia="Calibri" w:cs="Calibri" w:ascii="Calibri" w:hAnsi="Calibri"/>
          <w:sz w:val="20"/>
          <w:szCs w:val="20"/>
        </w:rPr>
        <w:t>The data model is derived from the recurring problem-space nouns in requirements and usage scenarios. Interface terms such as page, button, token and API are solution concepts; the objects below carry persistent academic or financial meaning.</w:t>
      </w:r>
    </w:p>
    <w:tbl>
      <w:tblPr>
        <w:tblStyle w:val="Table5"/>
        <w:tblW w:w="10440" w:type="dxa"/>
        <w:jc w:val="center"/>
        <w:tblInd w:w="0" w:type="dxa"/>
        <w:tblLayout w:type="fixed"/>
        <w:tblCellMar>
          <w:top w:w="55" w:type="dxa"/>
          <w:left w:w="70" w:type="dxa"/>
          <w:bottom w:w="55" w:type="dxa"/>
          <w:right w:w="70" w:type="dxa"/>
        </w:tblCellMar>
        <w:tblLook w:val="0400"/>
      </w:tblPr>
      <w:tblGrid>
        <w:gridCol w:w="1942"/>
        <w:gridCol w:w="3816"/>
        <w:gridCol w:w="4682"/>
      </w:tblGrid>
      <w:tr>
        <w:trPr>
          <w:tblHeader w:val="true"/>
          <w:cantSplit w:val="true"/>
        </w:trPr>
        <w:tc>
          <w:tcPr>
            <w:tcW w:w="194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Data Object</w:t>
            </w:r>
          </w:p>
        </w:tc>
        <w:tc>
          <w:tcPr>
            <w:tcW w:w="3816"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Purpose</w:t>
            </w:r>
          </w:p>
        </w:tc>
        <w:tc>
          <w:tcPr>
            <w:tcW w:w="468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7"/>
              </w:rPr>
              <w:t>Main Relationships</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User</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Authentication identity and role.</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One user may own one Student or Teacher profile.</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Student / Teacher</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Role-specific identity and status.</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Student owns enrollments, grades and fees; Teacher owns assigned courses.</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Semester</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Academic term and registration context.</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Contains enrollments and should own course offerings.</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Course</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Course code, title, credit, type and capacity.</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Referenced by enrollments and grades; current seat/teacher data are global.</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Enrollment</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Student–Course–Semester association.</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Links Student, Course, Semester and Grade.</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Grade</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Midterm, final, total, letter grade and point.</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Belongs to one Enrollment.</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Fee / Payment</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Retake, gap and other financial records.</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Belongs to a Student and may reference a Semester or Enrollment.</w:t>
            </w:r>
          </w:p>
        </w:tc>
      </w:tr>
      <w:tr>
        <w:trPr>
          <w:cantSplit w:val="true"/>
        </w:trPr>
        <w:tc>
          <w:tcPr>
            <w:tcW w:w="194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CourseOffering (required)</w:t>
            </w:r>
          </w:p>
        </w:tc>
        <w:tc>
          <w:tcPr>
            <w:tcW w:w="381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Semester-specific course section, seat count and Teacher.</w:t>
            </w:r>
          </w:p>
        </w:tc>
        <w:tc>
          <w:tcPr>
            <w:tcW w:w="468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6"/>
              </w:rPr>
              <w:t>Required to correct global seat/teacher limitations.</w:t>
            </w:r>
          </w:p>
        </w:tc>
      </w:tr>
    </w:tbl>
    <w:p>
      <w:pPr>
        <w:pStyle w:val="normal1"/>
        <w:spacing w:lineRule="auto" w:line="240" w:before="0" w:after="80"/>
        <w:rPr/>
      </w:pPr>
      <w:r>
        <w:rPr/>
      </w:r>
    </w:p>
    <w:p>
      <w:pPr>
        <w:pStyle w:val="normal1"/>
        <w:spacing w:lineRule="auto" w:line="240" w:before="0" w:after="0"/>
        <w:rPr/>
      </w:pPr>
      <w:r>
        <w:rPr>
          <w:rFonts w:eastAsia="Calibri" w:cs="Calibri" w:ascii="Calibri" w:hAnsi="Calibri"/>
          <w:b/>
          <w:bCs/>
          <w:sz w:val="19"/>
          <w:szCs w:val="19"/>
        </w:rPr>
        <w:t xml:space="preserve">Relationship summary: </w:t>
      </w:r>
      <w:r>
        <w:rPr>
          <w:rFonts w:eastAsia="Calibri" w:cs="Calibri" w:ascii="Calibri" w:hAnsi="Calibri"/>
          <w:sz w:val="19"/>
          <w:szCs w:val="19"/>
        </w:rPr>
        <w:t>A Student enrolls in Courses during a Semester; a Teacher handles an assigned course; each Enrollment may have one Grade; a Student may have multiple Fees and Payments. The corrected model inserts CourseOffering between Course/Semester and Enrollment.</w:t>
      </w:r>
    </w:p>
    <w:p>
      <w:pPr>
        <w:pStyle w:val="normal1"/>
        <w:rPr/>
      </w:pPr>
      <w:r>
        <w:rPr/>
      </w:r>
      <w:r>
        <w:br w:type="page"/>
      </w:r>
    </w:p>
    <w:p>
      <w:pPr>
        <w:pStyle w:val="Heading2"/>
        <w:spacing w:before="0" w:after="0"/>
        <w:rPr/>
      </w:pPr>
      <w:bookmarkStart w:id="28" w:name="__RefHeading___Toc1282_4291522737"/>
      <w:bookmarkEnd w:id="28"/>
      <w:r>
        <w:rPr>
          <w:color w:val="2E5C8A"/>
        </w:rPr>
        <w:t>4.2 Entity Relationship Diagram</w:t>
      </w:r>
    </w:p>
    <w:p>
      <w:pPr>
        <w:pStyle w:val="normal1"/>
        <w:spacing w:lineRule="auto" w:line="240" w:before="0" w:after="20"/>
        <w:jc w:val="center"/>
        <w:rPr/>
      </w:pPr>
      <w:r>
        <w:rPr/>
        <w:drawing>
          <wp:inline distT="0" distB="0" distL="0" distR="0">
            <wp:extent cx="6400800" cy="3827780"/>
            <wp:effectExtent l="0" t="0" r="0" b="0"/>
            <wp:docPr id="15" name="image3.png" descr="Figure 13. Logical entity relationship diagram for MIT OCM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descr=""/>
                    <pic:cNvPicPr>
                      <a:picLocks noChangeAspect="1" noChangeArrowheads="1"/>
                    </pic:cNvPicPr>
                  </pic:nvPicPr>
                  <pic:blipFill>
                    <a:blip r:embed="rId16"/>
                    <a:stretch>
                      <a:fillRect/>
                    </a:stretch>
                  </pic:blipFill>
                  <pic:spPr bwMode="auto">
                    <a:xfrm>
                      <a:off x="0" y="0"/>
                      <a:ext cx="6400800" cy="382778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13: Logical Entity Relationship Diagram</w:t>
      </w:r>
    </w:p>
    <w:p>
      <w:pPr>
        <w:pStyle w:val="normal1"/>
        <w:spacing w:lineRule="auto" w:line="240" w:before="0" w:after="0"/>
        <w:rPr/>
      </w:pPr>
      <w:r>
        <w:rPr>
          <w:rFonts w:eastAsia="Calibri" w:cs="Calibri" w:ascii="Calibri" w:hAnsi="Calibri"/>
          <w:sz w:val="19"/>
          <w:szCs w:val="19"/>
        </w:rPr>
        <w:t>The ERD shows the required logical next state, including semester-specific CourseOffering, TeacherAssignment, SemesterRegistration and PaymentAllocation. The current project contains a simplified subset centred on User, Course, Semester, Enrollment, Grade and Fee.</w:t>
      </w:r>
    </w:p>
    <w:p>
      <w:pPr>
        <w:pStyle w:val="normal1"/>
        <w:rPr/>
      </w:pPr>
      <w:r>
        <w:rPr/>
      </w:r>
      <w:r>
        <w:br w:type="page"/>
      </w:r>
    </w:p>
    <w:p>
      <w:pPr>
        <w:pStyle w:val="Heading2"/>
        <w:spacing w:before="0" w:after="0"/>
        <w:rPr/>
      </w:pPr>
      <w:bookmarkStart w:id="29" w:name="__RefHeading___Toc1280_4291522737"/>
      <w:bookmarkEnd w:id="29"/>
      <w:r>
        <w:rPr>
          <w:color w:val="2E5C8A"/>
        </w:rPr>
        <w:t>4.3 Database Schema Summary</w:t>
      </w:r>
    </w:p>
    <w:tbl>
      <w:tblPr>
        <w:tblStyle w:val="Table6"/>
        <w:tblW w:w="10440" w:type="dxa"/>
        <w:jc w:val="center"/>
        <w:tblInd w:w="0" w:type="dxa"/>
        <w:tblLayout w:type="fixed"/>
        <w:tblCellMar>
          <w:top w:w="55" w:type="dxa"/>
          <w:left w:w="70" w:type="dxa"/>
          <w:bottom w:w="55" w:type="dxa"/>
          <w:right w:w="70" w:type="dxa"/>
        </w:tblCellMar>
        <w:tblLook w:val="0400"/>
      </w:tblPr>
      <w:tblGrid>
        <w:gridCol w:w="2088"/>
        <w:gridCol w:w="3886"/>
        <w:gridCol w:w="4466"/>
      </w:tblGrid>
      <w:tr>
        <w:trPr>
          <w:tblHeader w:val="true"/>
          <w:cantSplit w:val="true"/>
        </w:trPr>
        <w:tc>
          <w:tcPr>
            <w:tcW w:w="2088"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Table / Entity</w:t>
            </w:r>
          </w:p>
        </w:tc>
        <w:tc>
          <w:tcPr>
            <w:tcW w:w="3886"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Key Fields</w:t>
            </w:r>
          </w:p>
        </w:tc>
        <w:tc>
          <w:tcPr>
            <w:tcW w:w="4466"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Constraint or Presentation Note</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users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email, password_hash, role, active</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Unique email; BCrypt password; privileged role creation must be restricted.</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students / teachers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user_id, roll/employee_id</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One profile per user; unique roll or employee ID.</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courses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code, title, credit, type, capacity</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Current capacity and Teacher assignment are global; move to offering.</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semesters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name/year/term, active</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Registration-window uniqueness requires refinement.</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enrollments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student_id, course_id, semester_id, status</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Unique student + course + semester; current flow is course-by-course.</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grades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enrollment_id, midterm, final, total, point</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One grade per enrollment; publication state is absent.</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fees / payments</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id, student_id, type, amount, status</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Current payment verification/allocation and gap automation are incomplete.</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course_offerings (required)</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semester_id, course_id, section, teacher_id, capacity, seats</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Required for exact semester registration and concurrency-safe seats.</w:t>
            </w:r>
          </w:p>
        </w:tc>
      </w:tr>
      <w:tr>
        <w:trPr>
          <w:cantSplit w:val="true"/>
        </w:trPr>
        <w:tc>
          <w:tcPr>
            <w:tcW w:w="2088"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semester_registrations (required)</w:t>
            </w:r>
          </w:p>
        </w:tc>
        <w:tc>
          <w:tcPr>
            <w:tcW w:w="388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student_id, semester_id, total_credits, status</w:t>
            </w:r>
          </w:p>
        </w:tc>
        <w:tc>
          <w:tcPr>
            <w:tcW w:w="4466"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Required aggregate for exactly 12 credits and atomic commit.</w:t>
            </w:r>
          </w:p>
        </w:tc>
      </w:tr>
    </w:tbl>
    <w:p>
      <w:pPr>
        <w:pStyle w:val="normal1"/>
        <w:spacing w:lineRule="auto" w:line="240" w:before="0" w:after="80"/>
        <w:rPr/>
      </w:pPr>
      <w:r>
        <w:rPr/>
      </w:r>
    </w:p>
    <w:p>
      <w:pPr>
        <w:pStyle w:val="normal1"/>
        <w:spacing w:lineRule="auto" w:line="240" w:before="0" w:after="0"/>
        <w:rPr/>
      </w:pPr>
      <w:r>
        <w:rPr>
          <w:rFonts w:eastAsia="Calibri" w:cs="Calibri" w:ascii="Calibri" w:hAnsi="Calibri"/>
          <w:b/>
          <w:bCs/>
          <w:sz w:val="19"/>
          <w:szCs w:val="19"/>
        </w:rPr>
        <w:t xml:space="preserve">Database authority: </w:t>
      </w:r>
      <w:r>
        <w:rPr>
          <w:rFonts w:eastAsia="Calibri" w:cs="Calibri" w:ascii="Calibri" w:hAnsi="Calibri"/>
          <w:sz w:val="19"/>
          <w:szCs w:val="19"/>
        </w:rPr>
        <w:t>Backend services and PostgreSQL constraints—not the browser—must make the final decision for credits, duplicates, seats, grades and balances.</w:t>
      </w:r>
    </w:p>
    <w:p>
      <w:pPr>
        <w:pStyle w:val="normal1"/>
        <w:rPr/>
      </w:pPr>
      <w:r>
        <w:rPr/>
      </w:r>
    </w:p>
    <w:p>
      <w:pPr>
        <w:pStyle w:val="Heading1"/>
        <w:rPr/>
      </w:pPr>
      <w:bookmarkStart w:id="30" w:name="__RefHeading___Toc1268_4291522737"/>
      <w:bookmarkEnd w:id="30"/>
      <w:r>
        <w:rPr>
          <w:color w:val="2E5C8A"/>
        </w:rPr>
        <w:t>5. UI-to-Database Interaction &amp; Traceability</w:t>
      </w:r>
    </w:p>
    <w:p>
      <w:pPr>
        <w:pStyle w:val="normal1"/>
        <w:spacing w:lineRule="auto" w:line="240" w:before="0" w:after="20"/>
        <w:jc w:val="center"/>
        <w:rPr/>
      </w:pPr>
      <w:r>
        <w:rPr/>
        <w:drawing>
          <wp:inline distT="0" distB="0" distL="0" distR="0">
            <wp:extent cx="6355080" cy="3277870"/>
            <wp:effectExtent l="0" t="0" r="0" b="0"/>
            <wp:docPr id="16" name="image17.png" descr="Figure 14. UI click to Angular, Spring Boot and PostgreSQL interaction flow."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descr="Sequence-style flow from browser click through Angular, Spring controller, business service, repository and PostgreSQL response."/>
                    <pic:cNvPicPr>
                      <a:picLocks noChangeAspect="1" noChangeArrowheads="1"/>
                    </pic:cNvPicPr>
                  </pic:nvPicPr>
                  <pic:blipFill>
                    <a:blip r:embed="rId17"/>
                    <a:stretch>
                      <a:fillRect/>
                    </a:stretch>
                  </pic:blipFill>
                  <pic:spPr bwMode="auto">
                    <a:xfrm>
                      <a:off x="0" y="0"/>
                      <a:ext cx="6355080" cy="327787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14: UI click-to-database flow</w:t>
      </w:r>
    </w:p>
    <w:p>
      <w:pPr>
        <w:pStyle w:val="normal1"/>
        <w:spacing w:lineRule="auto" w:line="240" w:before="0" w:after="0"/>
        <w:rPr/>
      </w:pPr>
      <w:r>
        <w:rPr>
          <w:rFonts w:eastAsia="Calibri" w:cs="Calibri" w:ascii="Calibri" w:hAnsi="Calibri"/>
          <w:sz w:val="19"/>
          <w:szCs w:val="19"/>
        </w:rPr>
        <w:t>This sequence-style interaction view emphasizes the complete request lifecycle from a browser click through backend validation and persistence to the refreshed UI result.</w:t>
      </w:r>
    </w:p>
    <w:p>
      <w:pPr>
        <w:pStyle w:val="Heading2"/>
        <w:rPr/>
      </w:pPr>
      <w:r>
        <w:rPr/>
      </w:r>
    </w:p>
    <w:p>
      <w:pPr>
        <w:pStyle w:val="Heading2"/>
        <w:rPr/>
      </w:pPr>
      <w:bookmarkStart w:id="31" w:name="__RefHeading___Toc1278_4291522737"/>
      <w:bookmarkEnd w:id="31"/>
      <w:r>
        <w:rPr>
          <w:color w:val="2E5C8A"/>
        </w:rPr>
        <w:t>5.1 Requirement Traceability Matrix</w:t>
      </w:r>
    </w:p>
    <w:tbl>
      <w:tblPr>
        <w:tblStyle w:val="Table7"/>
        <w:tblW w:w="10224" w:type="dxa"/>
        <w:jc w:val="center"/>
        <w:tblInd w:w="0" w:type="dxa"/>
        <w:tblLayout w:type="fixed"/>
        <w:tblCellMar>
          <w:top w:w="55" w:type="dxa"/>
          <w:left w:w="70" w:type="dxa"/>
          <w:bottom w:w="55" w:type="dxa"/>
          <w:right w:w="70" w:type="dxa"/>
        </w:tblCellMar>
        <w:tblLook w:val="0400"/>
      </w:tblPr>
      <w:tblGrid>
        <w:gridCol w:w="1512"/>
        <w:gridCol w:w="3095"/>
        <w:gridCol w:w="4177"/>
        <w:gridCol w:w="1439"/>
      </w:tblGrid>
      <w:tr>
        <w:trPr>
          <w:tblHeader w:val="true"/>
          <w:cantSplit w:val="true"/>
        </w:trPr>
        <w:tc>
          <w:tcPr>
            <w:tcW w:w="151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5"/>
              </w:rPr>
              <w:t>Requirement</w:t>
            </w:r>
          </w:p>
        </w:tc>
        <w:tc>
          <w:tcPr>
            <w:tcW w:w="3095"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5"/>
              </w:rPr>
              <w:t>Use Case / Diagram</w:t>
            </w:r>
          </w:p>
        </w:tc>
        <w:tc>
          <w:tcPr>
            <w:tcW w:w="4177"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5"/>
              </w:rPr>
              <w:t>Implementation Area</w:t>
            </w:r>
          </w:p>
        </w:tc>
        <w:tc>
          <w:tcPr>
            <w:tcW w:w="1439"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5"/>
              </w:rPr>
              <w:t>Status</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FR-01/02</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UC Authentication; Figure 3/8</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Login UI, AuthController, SecurityConfig, users</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Implemented</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FR-03/04</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UC Registration; Figures 4 and 9</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Course UI, EnrollmentController/Service, enrollments</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Limited</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FR-05/06</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Figure 9</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Required SemesterRegistration + CourseOffering transaction</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Target</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FR-07/08</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UC Teacher; Figure 6/10</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Teacher UI, GradeController/Service, grades</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Implemented</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FR-09/10</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Figure 11</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Grade/CGPA logic; required publication state</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Limited</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FR-11/12</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Figure 12</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Fee services; required payment/allocation workflow</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Limited / Target</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FR-13/14</w:t>
            </w:r>
          </w:p>
        </w:tc>
        <w:tc>
          <w:tcPr>
            <w:tcW w:w="309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UC Admin; Figure 7</w:t>
            </w:r>
          </w:p>
        </w:tc>
        <w:tc>
          <w:tcPr>
            <w:tcW w:w="4177"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Admin UI/API, statistics and master-data tables</w:t>
            </w:r>
          </w:p>
        </w:tc>
        <w:tc>
          <w:tcPr>
            <w:tcW w:w="1439"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Limited</w:t>
            </w:r>
          </w:p>
        </w:tc>
      </w:tr>
    </w:tbl>
    <w:p>
      <w:pPr>
        <w:pStyle w:val="Heading1"/>
        <w:rPr/>
      </w:pPr>
      <w:bookmarkStart w:id="32" w:name="__RefHeading___Toc1266_4291522737"/>
      <w:bookmarkEnd w:id="32"/>
      <w:r>
        <w:rPr>
          <w:color w:val="2E5C8A"/>
          <w:sz w:val="32"/>
          <w:szCs w:val="32"/>
        </w:rPr>
        <w:t>6. Preliminary Test Plan</w:t>
      </w:r>
    </w:p>
    <w:tbl>
      <w:tblPr>
        <w:tblStyle w:val="Table8"/>
        <w:tblW w:w="10224" w:type="dxa"/>
        <w:jc w:val="center"/>
        <w:tblInd w:w="0" w:type="dxa"/>
        <w:tblLayout w:type="fixed"/>
        <w:tblCellMar>
          <w:top w:w="55" w:type="dxa"/>
          <w:left w:w="70" w:type="dxa"/>
          <w:bottom w:w="55" w:type="dxa"/>
          <w:right w:w="70" w:type="dxa"/>
        </w:tblCellMar>
        <w:tblLook w:val="0400"/>
      </w:tblPr>
      <w:tblGrid>
        <w:gridCol w:w="935"/>
        <w:gridCol w:w="2015"/>
        <w:gridCol w:w="7274"/>
      </w:tblGrid>
      <w:tr>
        <w:trPr>
          <w:tblHeader w:val="true"/>
          <w:cantSplit w:val="true"/>
        </w:trPr>
        <w:tc>
          <w:tcPr>
            <w:tcW w:w="935"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ID</w:t>
            </w:r>
          </w:p>
        </w:tc>
        <w:tc>
          <w:tcPr>
            <w:tcW w:w="2015"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Area</w:t>
            </w:r>
          </w:p>
        </w:tc>
        <w:tc>
          <w:tcPr>
            <w:tcW w:w="7274"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Pass Condition</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TC-01</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Authentication</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Valid credentials issue JWT; invalid credentials reveal no sensitive detail.</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TC-02</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Role isolation</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Student, Teacher and Admin cannot access another role namespace.</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TC-03</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Credit rule</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Exactly 12 credits accepted; other totals rejected without partial records.</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TC-04</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Duplicate enrollment</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Second student-course-semester association is rejected.</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TC-05</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Seat control</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Full-course request fails and seat count remains correct under concurrency.</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TC-06</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Marks range</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Values outside allowed midterm/final range are rejected.</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TC-07</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Grade / CGPA</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Known marks and credits produce the expected grade points and CGPA.</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TC-08</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Payment / dues</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Verified payment changes due by the allocated amount only.</w:t>
            </w:r>
          </w:p>
        </w:tc>
      </w:tr>
      <w:tr>
        <w:trPr>
          <w:cantSplit w:val="true"/>
        </w:trPr>
        <w:tc>
          <w:tcPr>
            <w:tcW w:w="93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TC-09</w:t>
            </w:r>
          </w:p>
        </w:tc>
        <w:tc>
          <w:tcPr>
            <w:tcW w:w="2015"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Migration / build</w:t>
            </w:r>
          </w:p>
        </w:tc>
        <w:tc>
          <w:tcPr>
            <w:tcW w:w="7274"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5"/>
              </w:rPr>
              <w:t>Fresh Flyway V1–V7 migration, Maven build and Angular build succeed.</w:t>
            </w:r>
          </w:p>
        </w:tc>
      </w:tr>
    </w:tbl>
    <w:p>
      <w:pPr>
        <w:pStyle w:val="normal1"/>
        <w:spacing w:lineRule="auto" w:line="240" w:before="0" w:after="80"/>
        <w:rPr/>
      </w:pPr>
      <w:r>
        <w:rPr/>
      </w:r>
    </w:p>
    <w:p>
      <w:pPr>
        <w:pStyle w:val="Heading1"/>
        <w:rPr/>
      </w:pPr>
      <w:bookmarkStart w:id="33" w:name="__RefHeading___Toc1264_4291522737"/>
      <w:bookmarkEnd w:id="33"/>
      <w:r>
        <w:rPr>
          <w:color w:val="2E5C8A"/>
          <w:sz w:val="32"/>
          <w:szCs w:val="32"/>
        </w:rPr>
        <w:t>7. Implementation Progress &amp; Challenges</w:t>
      </w:r>
    </w:p>
    <w:tbl>
      <w:tblPr>
        <w:tblStyle w:val="Table9"/>
        <w:tblW w:w="10224" w:type="dxa"/>
        <w:jc w:val="center"/>
        <w:tblInd w:w="0" w:type="dxa"/>
        <w:tblLayout w:type="fixed"/>
        <w:tblCellMar>
          <w:top w:w="55" w:type="dxa"/>
          <w:left w:w="70" w:type="dxa"/>
          <w:bottom w:w="55" w:type="dxa"/>
          <w:right w:w="70" w:type="dxa"/>
        </w:tblCellMar>
        <w:tblLook w:val="0400"/>
      </w:tblPr>
      <w:tblGrid>
        <w:gridCol w:w="1512"/>
        <w:gridCol w:w="2880"/>
        <w:gridCol w:w="5832"/>
      </w:tblGrid>
      <w:tr>
        <w:trPr>
          <w:tblHeader w:val="true"/>
          <w:cantSplit w:val="true"/>
        </w:trPr>
        <w:tc>
          <w:tcPr>
            <w:tcW w:w="151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Status</w:t>
            </w:r>
          </w:p>
        </w:tc>
        <w:tc>
          <w:tcPr>
            <w:tcW w:w="2880"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Capability</w:t>
            </w:r>
          </w:p>
        </w:tc>
        <w:tc>
          <w:tcPr>
            <w:tcW w:w="5832" w:type="dxa"/>
            <w:tcBorders>
              <w:top w:val="single" w:sz="4" w:space="0" w:color="A6A6A6"/>
              <w:left w:val="single" w:sz="4" w:space="0" w:color="A6A6A6"/>
              <w:bottom w:val="single" w:sz="4" w:space="0" w:color="A6A6A6"/>
              <w:right w:val="single" w:sz="4" w:space="0" w:color="A6A6A6"/>
            </w:tcBorders>
            <w:shd w:fill="2E5C8A" w:val="clear"/>
            <w:vAlign w:val="center"/>
          </w:tcPr>
          <w:p>
            <w:pPr>
              <w:pStyle w:val="normal1"/>
              <w:spacing w:lineRule="auto" w:line="240" w:before="0" w:after="0"/>
              <w:jc w:val="center"/>
              <w:rPr/>
            </w:pPr>
            <w:r>
              <w:rPr>
                <w:rFonts w:eastAsia="Calibri" w:cs="Calibri" w:ascii="Calibri" w:hAnsi="Calibri"/>
                <w:b/>
                <w:bCs/>
                <w:color w:val="FFFFFF"/>
                <w:sz w:val="17"/>
                <w:szCs w:val="16"/>
              </w:rPr>
              <w:t>Evidence / Remaining Work</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Completed</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Foundation, JWT/RBAC and core entities</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Angular/Spring/PostgreSQL structure, authentication and role-based routes exist.</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Completed</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Basic Student and Teacher workflows</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Dashboard/profile, course list, course-wise enrollment/drop, grade entry and CGPA view exist.</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In Progress</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Admin and finance experience</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Core CRUD, fees and statistics exist but remain incomplete.</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Pending Correction</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Exact-12 aggregate registration</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Current code validates ≤12 and saves course-by-course.</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Pending Correction</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Semester-specific offering and last-seat safety</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Seats and Teacher remain on Course; transaction/locking correction required.</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vAlign w:val="center"/>
          </w:tcPr>
          <w:p>
            <w:pPr>
              <w:pStyle w:val="normal1"/>
              <w:spacing w:before="0" w:after="0"/>
              <w:jc w:val="center"/>
              <w:rPr/>
            </w:pPr>
            <w:r>
              <w:rPr>
                <w:sz w:val="17"/>
              </w:rPr>
              <w:t>Not Yet Complete</w:t>
            </w:r>
          </w:p>
        </w:tc>
        <w:tc>
          <w:tcPr>
            <w:tcW w:w="2880"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Publication, verified payment and gap automation</w:t>
            </w:r>
          </w:p>
        </w:tc>
        <w:tc>
          <w:tcPr>
            <w:tcW w:w="5832" w:type="dxa"/>
            <w:tcBorders>
              <w:top w:val="single" w:sz="4" w:space="0" w:color="A6A6A6"/>
              <w:left w:val="single" w:sz="4" w:space="0" w:color="A6A6A6"/>
              <w:bottom w:val="single" w:sz="4" w:space="0" w:color="A6A6A6"/>
              <w:right w:val="single" w:sz="4" w:space="0" w:color="A6A6A6"/>
            </w:tcBorders>
            <w:vAlign w:val="center"/>
          </w:tcPr>
          <w:p>
            <w:pPr>
              <w:pStyle w:val="normal1"/>
              <w:spacing w:lineRule="auto" w:line="240" w:before="0" w:after="0"/>
              <w:jc w:val="center"/>
              <w:rPr/>
            </w:pPr>
            <w:r>
              <w:rPr>
                <w:rFonts w:eastAsia="Calibri" w:cs="Calibri" w:ascii="Calibri" w:hAnsi="Calibri"/>
                <w:sz w:val="17"/>
                <w:szCs w:val="14"/>
              </w:rPr>
              <w:t>Explicit result state, payment allocation and gap detection remain required.</w:t>
            </w:r>
          </w:p>
        </w:tc>
      </w:tr>
    </w:tbl>
    <w:p>
      <w:pPr>
        <w:pStyle w:val="normal1"/>
        <w:spacing w:lineRule="auto" w:line="240" w:before="0" w:after="60"/>
        <w:rPr/>
      </w:pPr>
      <w:r>
        <w:rPr/>
      </w:r>
    </w:p>
    <w:p>
      <w:pPr>
        <w:pStyle w:val="normal1"/>
        <w:spacing w:lineRule="auto" w:line="240" w:before="0" w:after="0"/>
        <w:rPr/>
      </w:pPr>
      <w:r>
        <w:rPr>
          <w:rFonts w:eastAsia="Calibri" w:cs="Calibri" w:ascii="Calibri" w:hAnsi="Calibri"/>
          <w:b/>
          <w:bCs/>
          <w:sz w:val="18"/>
          <w:szCs w:val="18"/>
        </w:rPr>
        <w:t xml:space="preserve">Highest-priority challenges: </w:t>
      </w:r>
      <w:r>
        <w:rPr>
          <w:rFonts w:eastAsia="Calibri" w:cs="Calibri" w:ascii="Calibri" w:hAnsi="Calibri"/>
          <w:sz w:val="18"/>
          <w:szCs w:val="18"/>
        </w:rPr>
        <w:t>align the Angular enrollment DTO with semesterId, introduce CourseOffering, remove duplicate seat mutation, derive retake/gap status from history and create explicit result/payment lifecycles.</w:t>
      </w:r>
    </w:p>
    <w:p>
      <w:pPr>
        <w:pStyle w:val="Heading1"/>
        <w:rPr/>
      </w:pPr>
      <w:bookmarkStart w:id="34" w:name="__RefHeading___Toc1262_4291522737"/>
      <w:bookmarkEnd w:id="34"/>
      <w:r>
        <w:rPr>
          <w:color w:val="2E5C8A"/>
          <w:sz w:val="32"/>
          <w:szCs w:val="32"/>
        </w:rPr>
        <w:t>8. Timeline &amp; Demonstration Plan</w:t>
      </w:r>
    </w:p>
    <w:p>
      <w:pPr>
        <w:pStyle w:val="normal1"/>
        <w:spacing w:lineRule="auto" w:line="240" w:before="0" w:after="20"/>
        <w:jc w:val="center"/>
        <w:rPr/>
      </w:pPr>
      <w:r>
        <w:rPr/>
        <w:drawing>
          <wp:inline distT="0" distB="0" distL="0" distR="0">
            <wp:extent cx="5989320" cy="2661920"/>
            <wp:effectExtent l="0" t="0" r="0" b="0"/>
            <wp:docPr id="17" name="image13.png" descr="Figure 15. Implementation timeline and 2 August presentation mileston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png" descr="SVG::fig19_gantt_presentation::Gantt chart showing completed, presentation and planned work."/>
                    <pic:cNvPicPr>
                      <a:picLocks noChangeAspect="1" noChangeArrowheads="1"/>
                    </pic:cNvPicPr>
                  </pic:nvPicPr>
                  <pic:blipFill>
                    <a:blip r:embed="rId18"/>
                    <a:stretch>
                      <a:fillRect/>
                    </a:stretch>
                  </pic:blipFill>
                  <pic:spPr bwMode="auto">
                    <a:xfrm>
                      <a:off x="0" y="0"/>
                      <a:ext cx="5989320" cy="2661920"/>
                    </a:xfrm>
                    <a:prstGeom prst="rect">
                      <a:avLst/>
                    </a:prstGeom>
                    <a:noFill/>
                  </pic:spPr>
                </pic:pic>
              </a:graphicData>
            </a:graphic>
          </wp:inline>
        </w:drawing>
      </w:r>
    </w:p>
    <w:p>
      <w:pPr>
        <w:pStyle w:val="normal1"/>
        <w:spacing w:lineRule="auto" w:line="240" w:before="0" w:after="140"/>
        <w:jc w:val="center"/>
        <w:rPr/>
      </w:pPr>
      <w:r>
        <w:rPr>
          <w:rFonts w:eastAsia="Calibri" w:cs="Calibri" w:ascii="Calibri" w:hAnsi="Calibri"/>
          <w:i/>
          <w:iCs/>
          <w:sz w:val="19"/>
          <w:szCs w:val="19"/>
        </w:rPr>
        <w:t>Figure 15: Timeline and 2 August presentation milestone</w:t>
      </w:r>
    </w:p>
    <w:sectPr>
      <w:footerReference w:type="even" r:id="rId19"/>
      <w:footerReference w:type="default" r:id="rId20"/>
      <w:footerReference w:type="first" r:id="rId21"/>
      <w:type w:val="nextPage"/>
      <w:pgSz w:w="12240" w:h="15840"/>
      <w:pgMar w:left="1080" w:right="1080" w:gutter="0" w:header="0" w:top="1008" w:footer="720" w:bottom="936"/>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80" w:leader="none"/>
        <w:tab w:val="right" w:pos="9360" w:leader="none"/>
      </w:tabs>
      <w:spacing w:lineRule="auto" w:line="240" w:before="0" w:after="0"/>
      <w:jc w:val="center"/>
      <w:rPr>
        <w:color w:val="000000"/>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paragraph" w:styleId="TOC3">
    <w:name w:val="toc 3"/>
    <w:basedOn w:val="Index"/>
    <w:pPr>
      <w:tabs>
        <w:tab w:val="clear" w:pos="720"/>
        <w:tab w:val="right" w:pos="9513" w:leader="dot"/>
      </w:tabs>
      <w:ind w:hanging="0" w:lef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25</Pages>
  <Words>2854</Words>
  <Characters>17786</Characters>
  <CharactersWithSpaces>20411</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Jihad Hossain</dc:creator>
  <dc:description/>
  <dc:language>en-US</dc:language>
  <cp:lastModifiedBy/>
  <dcterms:modified xsi:type="dcterms:W3CDTF">2026-08-01T16:56:46Z</dcterms:modified>
  <cp:revision>3</cp:revision>
  <dc:subject>Updated report aligned with the current text, figures and retained system models</dc:subject>
  <dc:title>MIT Open Credit Management System — SE801 Midterm Technical Report</dc:title>
</cp:coreProperties>
</file>

<file path=docProps/custom.xml><?xml version="1.0" encoding="utf-8"?>
<Properties xmlns="http://schemas.openxmlformats.org/officeDocument/2006/custom-properties" xmlns:vt="http://schemas.openxmlformats.org/officeDocument/2006/docPropsVTypes"/>
</file>