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32"/>
        </w:rPr>
        <w:t>EU BUSINESS SCHOOL</w:t>
      </w:r>
    </w:p>
    <w:p>
      <w:pPr>
        <w:jc w:val="center"/>
      </w:pPr>
      <w:r>
        <w:rPr>
          <w:rFonts w:ascii="Arial" w:hAnsi="Arial"/>
          <w:b/>
          <w:sz w:val="28"/>
        </w:rPr>
        <w:t>BCOBM311 – Creative Business Cases</w:t>
      </w:r>
    </w:p>
    <w:p/>
    <w:p>
      <w:pPr>
        <w:jc w:val="center"/>
      </w:pPr>
      <w:r>
        <w:rPr>
          <w:rFonts w:ascii="Arial" w:hAnsi="Arial"/>
          <w:b/>
          <w:sz w:val="36"/>
        </w:rPr>
        <w:t>Mid-Term Assignment</w:t>
      </w:r>
    </w:p>
    <w:p>
      <w:pPr>
        <w:jc w:val="center"/>
      </w:pPr>
      <w:r>
        <w:rPr>
          <w:rFonts w:ascii="Arial" w:hAnsi="Arial"/>
          <w:i/>
          <w:sz w:val="28"/>
        </w:rPr>
        <w:t>Equivalenza: The Scent of a Second Chance</w:t>
      </w:r>
    </w:p>
    <w:p/>
    <w:p/>
    <w:p/>
    <w:p/>
    <w:p>
      <w:pPr>
        <w:jc w:val="center"/>
      </w:pPr>
      <w:r>
        <w:rPr>
          <w:rFonts w:ascii="Arial" w:hAnsi="Arial"/>
          <w:sz w:val="25"/>
        </w:rPr>
        <w:t>Student: Fatma</w:t>
      </w:r>
    </w:p>
    <w:p>
      <w:pPr>
        <w:jc w:val="center"/>
      </w:pPr>
      <w:r>
        <w:rPr>
          <w:rFonts w:ascii="Arial" w:hAnsi="Arial"/>
          <w:sz w:val="25"/>
        </w:rPr>
        <w:t>Professor: Cristina Elson</w:t>
      </w:r>
    </w:p>
    <w:p>
      <w:pPr>
        <w:jc w:val="center"/>
      </w:pPr>
      <w:r>
        <w:rPr>
          <w:rFonts w:ascii="Arial" w:hAnsi="Arial"/>
          <w:sz w:val="25"/>
        </w:rPr>
        <w:t>Summer Semester 2026</w:t>
      </w:r>
    </w:p>
    <w:p>
      <w:r>
        <w:br w:type="page"/>
      </w:r>
    </w:p>
    <w:p>
      <w:r>
        <w:rPr>
          <w:rFonts w:ascii="Arial" w:hAnsi="Arial"/>
          <w:b/>
          <w:sz w:val="32"/>
        </w:rPr>
        <w:t>Table of Contents</w:t>
      </w:r>
    </w:p>
    <w:p/>
    <w:p>
      <w:pPr>
        <w:spacing w:after="80"/>
      </w:pPr>
      <w:r>
        <w:rPr>
          <w:rFonts w:ascii="Arial" w:hAnsi="Arial"/>
          <w:sz w:val="25"/>
        </w:rPr>
        <w:t>1.  Company / Brand SWOT Analysis</w:t>
      </w:r>
    </w:p>
    <w:p>
      <w:pPr>
        <w:spacing w:after="80"/>
      </w:pPr>
      <w:r>
        <w:rPr>
          <w:rFonts w:ascii="Arial" w:hAnsi="Arial"/>
          <w:sz w:val="25"/>
        </w:rPr>
        <w:t xml:space="preserve">       1.1  Equivalenza SWOT Analysis</w:t>
      </w:r>
    </w:p>
    <w:p>
      <w:pPr>
        <w:spacing w:after="80"/>
      </w:pPr>
      <w:r>
        <w:rPr>
          <w:rFonts w:ascii="Arial" w:hAnsi="Arial"/>
          <w:sz w:val="25"/>
        </w:rPr>
        <w:t xml:space="preserve">       1.2  Competitor SWOT Analysis: Divain</w:t>
      </w:r>
    </w:p>
    <w:p>
      <w:pPr>
        <w:spacing w:after="80"/>
      </w:pPr>
      <w:r>
        <w:rPr>
          <w:rFonts w:ascii="Arial" w:hAnsi="Arial"/>
          <w:sz w:val="25"/>
        </w:rPr>
        <w:t>2.  Buyer Persona</w:t>
      </w:r>
    </w:p>
    <w:p>
      <w:pPr>
        <w:spacing w:after="80"/>
      </w:pPr>
      <w:r>
        <w:rPr>
          <w:rFonts w:ascii="Arial" w:hAnsi="Arial"/>
          <w:sz w:val="25"/>
        </w:rPr>
        <w:t>3.  Marketing Problem</w:t>
      </w:r>
    </w:p>
    <w:p>
      <w:pPr>
        <w:spacing w:after="80"/>
      </w:pPr>
      <w:r>
        <w:rPr>
          <w:rFonts w:ascii="Arial" w:hAnsi="Arial"/>
          <w:sz w:val="25"/>
        </w:rPr>
        <w:t>4.  TOWS Matrix</w:t>
      </w:r>
    </w:p>
    <w:p>
      <w:pPr>
        <w:spacing w:after="80"/>
      </w:pPr>
      <w:r>
        <w:rPr>
          <w:rFonts w:ascii="Arial" w:hAnsi="Arial"/>
          <w:sz w:val="25"/>
        </w:rPr>
        <w:t>5.  Strategic Alternative: Recommendation</w:t>
      </w:r>
    </w:p>
    <w:p>
      <w:pPr>
        <w:spacing w:after="80"/>
      </w:pPr>
      <w:r>
        <w:rPr>
          <w:rFonts w:ascii="Arial" w:hAnsi="Arial"/>
          <w:sz w:val="25"/>
        </w:rPr>
        <w:t>References</w:t>
      </w:r>
    </w:p>
    <w:p>
      <w:pPr>
        <w:spacing w:after="80"/>
      </w:pPr>
      <w:r>
        <w:rPr>
          <w:rFonts w:ascii="Arial" w:hAnsi="Arial"/>
          <w:sz w:val="25"/>
        </w:rPr>
        <w:t>Appendix</w:t>
      </w:r>
    </w:p>
    <w:p>
      <w:r>
        <w:br w:type="page"/>
      </w:r>
    </w:p>
    <w:p>
      <w:r>
        <w:rPr>
          <w:rFonts w:ascii="Arial" w:hAnsi="Arial"/>
          <w:b/>
          <w:sz w:val="32"/>
        </w:rPr>
        <w:t>1. Company / Brand SWOT Analysis</w:t>
      </w:r>
    </w:p>
    <w:p/>
    <w:p>
      <w:r>
        <w:rPr>
          <w:rFonts w:ascii="Arial" w:hAnsi="Arial"/>
          <w:b/>
          <w:sz w:val="28"/>
        </w:rPr>
        <w:t>1.1  Equivalenza SWOT Analysis</w:t>
      </w:r>
    </w:p>
    <w:p/>
    <w:p>
      <w:r>
        <w:rPr>
          <w:rFonts w:ascii="Arial" w:hAnsi="Arial"/>
          <w:sz w:val="25"/>
        </w:rPr>
        <w:t>Equivalenza entered the Spanish fragrance market in 2011 with a disruptive proposition: high-quality dupe perfumes at a fraction of designer prices through a low-cost franchise network. By 2015 the brand reached €60 million in global retail sales across 810 stores in 26 countries (Elson, 2024). The SWOT analysis below evaluates the brand’s current strategic position.</w:t>
      </w:r>
    </w:p>
    <w:p/>
    <w:p>
      <w:r>
        <w:rPr>
          <w:rFonts w:ascii="Arial" w:hAnsi="Arial"/>
          <w:b/>
        </w:rPr>
        <w:t>Strengths</w:t>
      </w:r>
    </w:p>
    <w:p>
      <w:pPr>
        <w:pStyle w:val="ListBullet"/>
      </w:pPr>
      <w:r>
        <w:rPr>
          <w:rFonts w:ascii="Arial" w:hAnsi="Arial"/>
          <w:sz w:val="25"/>
        </w:rPr>
        <w:t>Franchise network of 528 stores across 19 countries, providing direct consumer contact that digital-only competitors cannot replicate.</w:t>
      </w:r>
    </w:p>
    <w:p>
      <w:pPr>
        <w:pStyle w:val="ListBullet"/>
      </w:pPr>
      <w:r>
        <w:rPr>
          <w:rFonts w:ascii="Arial" w:hAnsi="Arial"/>
          <w:sz w:val="25"/>
        </w:rPr>
        <w:t>Contribution margin of approximately two-thirds of retail price, enabled by reverse-engineering with natural ingredients.</w:t>
      </w:r>
    </w:p>
    <w:p>
      <w:pPr>
        <w:pStyle w:val="ListBullet"/>
      </w:pPr>
      <w:r>
        <w:rPr>
          <w:rFonts w:ascii="Arial" w:hAnsi="Arial"/>
          <w:sz w:val="25"/>
        </w:rPr>
        <w:t>Les Secrets premium line (approximately €25) showing consistent growth, perceived as more exclusive than the core range.</w:t>
      </w:r>
    </w:p>
    <w:p>
      <w:pPr>
        <w:pStyle w:val="ListBullet"/>
      </w:pPr>
      <w:r>
        <w:rPr>
          <w:rFonts w:ascii="Arial" w:hAnsi="Arial"/>
          <w:sz w:val="25"/>
        </w:rPr>
        <w:t>Refill model creating recurring revenue and aligning with sustainability expectations.</w:t>
      </w:r>
    </w:p>
    <w:p>
      <w:pPr>
        <w:pStyle w:val="ListBullet"/>
      </w:pPr>
      <w:r>
        <w:rPr>
          <w:rFonts w:ascii="Arial" w:hAnsi="Arial"/>
          <w:sz w:val="25"/>
        </w:rPr>
        <w:t>International diversification, with Italy performing well, reducing dependence on the Spanish market.</w:t>
      </w:r>
    </w:p>
    <w:p/>
    <w:p>
      <w:r>
        <w:rPr>
          <w:rFonts w:ascii="Arial" w:hAnsi="Arial"/>
          <w:b/>
        </w:rPr>
        <w:t>Weaknesses</w:t>
      </w:r>
    </w:p>
    <w:p>
      <w:pPr>
        <w:pStyle w:val="ListBullet"/>
      </w:pPr>
      <w:r>
        <w:rPr>
          <w:rFonts w:ascii="Arial" w:hAnsi="Arial"/>
          <w:sz w:val="25"/>
        </w:rPr>
        <w:t>Brand awareness among non-customers is only 30% (aided), versus approximately 70% for Sephora, Primor, and Druni.</w:t>
      </w:r>
    </w:p>
    <w:p>
      <w:pPr>
        <w:pStyle w:val="ListBullet"/>
      </w:pPr>
      <w:r>
        <w:rPr>
          <w:rFonts w:ascii="Arial" w:hAnsi="Arial"/>
          <w:sz w:val="25"/>
        </w:rPr>
        <w:t>E-commerce represents just 1% of sales while the Spanish market average is 12%.</w:t>
      </w:r>
    </w:p>
    <w:p>
      <w:pPr>
        <w:pStyle w:val="ListBullet"/>
      </w:pPr>
      <w:r>
        <w:rPr>
          <w:rFonts w:ascii="Arial" w:hAnsi="Arial"/>
          <w:sz w:val="25"/>
        </w:rPr>
        <w:t>NPS of 17, far below Druni (56) and Primor (46), indicating weak emotional attachment.</w:t>
      </w:r>
    </w:p>
    <w:p>
      <w:pPr>
        <w:pStyle w:val="ListBullet"/>
      </w:pPr>
      <w:r>
        <w:rPr>
          <w:rFonts w:ascii="Arial" w:hAnsi="Arial"/>
          <w:sz w:val="25"/>
        </w:rPr>
        <w:t>Inconsistent franchise quality: underperforming stores average €75,000 annually, roughly half of top performers.</w:t>
      </w:r>
    </w:p>
    <w:p>
      <w:pPr>
        <w:pStyle w:val="ListBullet"/>
      </w:pPr>
      <w:r>
        <w:rPr>
          <w:rFonts w:ascii="Arial" w:hAnsi="Arial"/>
          <w:sz w:val="25"/>
        </w:rPr>
        <w:t>Communication budget of only approximately €400,000 in Spain, limiting repositioning capacity.</w:t>
      </w:r>
    </w:p>
    <w:p>
      <w:pPr>
        <w:pStyle w:val="ListBullet"/>
      </w:pPr>
      <w:r>
        <w:rPr>
          <w:rFonts w:ascii="Arial" w:hAnsi="Arial"/>
          <w:sz w:val="25"/>
        </w:rPr>
        <w:t>Brand perceived as "accessible" and "functional" rather than emotional — structurally problematic in a category driven by emotion.</w:t>
      </w:r>
    </w:p>
    <w:p/>
    <w:p>
      <w:r>
        <w:rPr>
          <w:rFonts w:ascii="Arial" w:hAnsi="Arial"/>
          <w:b/>
        </w:rPr>
        <w:t>Opportunities</w:t>
      </w:r>
    </w:p>
    <w:p>
      <w:pPr>
        <w:pStyle w:val="ListBullet"/>
      </w:pPr>
      <w:r>
        <w:rPr>
          <w:rFonts w:ascii="Arial" w:hAnsi="Arial"/>
          <w:sz w:val="25"/>
        </w:rPr>
        <w:t>Gen Z showed the highest fragrance usage growth in 2023–2024, presenting a new acquisition target.</w:t>
      </w:r>
    </w:p>
    <w:p>
      <w:pPr>
        <w:pStyle w:val="ListBullet"/>
      </w:pPr>
      <w:r>
        <w:rPr>
          <w:rFonts w:ascii="Arial" w:hAnsi="Arial"/>
          <w:sz w:val="25"/>
        </w:rPr>
        <w:t>The Spanish perfume category is forecast to grow at approximately 10% annually.</w:t>
      </w:r>
    </w:p>
    <w:p>
      <w:pPr>
        <w:pStyle w:val="ListBullet"/>
      </w:pPr>
      <w:r>
        <w:rPr>
          <w:rFonts w:ascii="Arial" w:hAnsi="Arial"/>
          <w:sz w:val="25"/>
        </w:rPr>
        <w:t>Sustainability trends favour the refill model, which can be repositioned as eco-conscious.</w:t>
      </w:r>
    </w:p>
    <w:p>
      <w:pPr>
        <w:pStyle w:val="ListBullet"/>
      </w:pPr>
      <w:r>
        <w:rPr>
          <w:rFonts w:ascii="Arial" w:hAnsi="Arial"/>
          <w:sz w:val="25"/>
        </w:rPr>
        <w:t>Les Secrets offers a credible platform to move upmarket and capture consumers who migrated to mid-priced branded options.</w:t>
      </w:r>
    </w:p>
    <w:p>
      <w:pPr>
        <w:pStyle w:val="ListBullet"/>
      </w:pPr>
      <w:r>
        <w:rPr>
          <w:rFonts w:ascii="Arial" w:hAnsi="Arial"/>
          <w:sz w:val="25"/>
        </w:rPr>
        <w:t>E-commerce and social media remain untapped channels where younger audiences could be reached at scale.</w:t>
      </w:r>
    </w:p>
    <w:p/>
    <w:p>
      <w:r>
        <w:rPr>
          <w:rFonts w:ascii="Arial" w:hAnsi="Arial"/>
          <w:b/>
        </w:rPr>
        <w:t>Threats</w:t>
      </w:r>
    </w:p>
    <w:p>
      <w:pPr>
        <w:pStyle w:val="ListBullet"/>
      </w:pPr>
      <w:r>
        <w:rPr>
          <w:rFonts w:ascii="Arial" w:hAnsi="Arial"/>
          <w:sz w:val="25"/>
        </w:rPr>
        <w:t>The dupe segment collapsed from 37% to 13% of Spanish consumers between 2018 and 2023 — a 65% contraction of Equivalenza’s core market.</w:t>
      </w:r>
    </w:p>
    <w:p>
      <w:pPr>
        <w:pStyle w:val="ListBullet"/>
      </w:pPr>
      <w:r>
        <w:rPr>
          <w:rFonts w:ascii="Arial" w:hAnsi="Arial"/>
          <w:sz w:val="25"/>
        </w:rPr>
        <w:t>The "sandwich effect": premium brands discounting from above, Zara and Mercadona improving quality from below.</w:t>
      </w:r>
    </w:p>
    <w:p>
      <w:pPr>
        <w:pStyle w:val="ListBullet"/>
      </w:pPr>
      <w:r>
        <w:rPr>
          <w:rFonts w:ascii="Arial" w:hAnsi="Arial"/>
          <w:sz w:val="25"/>
        </w:rPr>
        <w:t>Digital-native competitors (Divain, Dossier, Adopt) operate without physical store overhead, enabling higher marketing investment.</w:t>
      </w:r>
    </w:p>
    <w:p>
      <w:pPr>
        <w:pStyle w:val="ListBullet"/>
      </w:pPr>
      <w:r>
        <w:rPr>
          <w:rFonts w:ascii="Arial" w:hAnsi="Arial"/>
          <w:sz w:val="25"/>
        </w:rPr>
        <w:t>Spanish retail sales declined from €22 million to €14 million, signalling ongoing home-market erosion.</w:t>
      </w:r>
    </w:p>
    <w:p/>
    <w:p>
      <w:r>
        <w:rPr>
          <w:rFonts w:ascii="Arial" w:hAnsi="Arial"/>
          <w:b/>
          <w:sz w:val="28"/>
        </w:rPr>
        <w:t>1.2  Competitor SWOT Analysis: Divain</w:t>
      </w:r>
    </w:p>
    <w:p/>
    <w:p>
      <w:r>
        <w:rPr>
          <w:rFonts w:ascii="Arial" w:hAnsi="Arial"/>
          <w:sz w:val="25"/>
        </w:rPr>
        <w:t>Divain was selected as the key competitor because it represents the most direct structural threat. Both brands compete at a similar price point (€15–30) in the dupe segment, but Divain operates with a fundamentally different, digital-first model that avoids the cost of a physical franchise network.</w:t>
      </w:r>
    </w:p>
    <w:p/>
    <w:p>
      <w:r>
        <w:rPr>
          <w:rFonts w:ascii="Arial" w:hAnsi="Arial"/>
          <w:b/>
        </w:rPr>
        <w:t>Strengths</w:t>
      </w:r>
    </w:p>
    <w:p>
      <w:pPr>
        <w:pStyle w:val="ListBullet"/>
      </w:pPr>
      <w:r>
        <w:rPr>
          <w:rFonts w:ascii="Arial" w:hAnsi="Arial"/>
          <w:sz w:val="25"/>
        </w:rPr>
        <w:t>Digital-first model with no physical retail overhead, enabling lower operating costs and higher marketing investment per euro of revenue.</w:t>
      </w:r>
    </w:p>
    <w:p>
      <w:pPr>
        <w:pStyle w:val="ListBullet"/>
      </w:pPr>
      <w:r>
        <w:rPr>
          <w:rFonts w:ascii="Arial" w:hAnsi="Arial"/>
          <w:sz w:val="25"/>
        </w:rPr>
        <w:t>Clean, contemporary visual identity and well-designed e-commerce platform appealing to younger consumers.</w:t>
      </w:r>
    </w:p>
    <w:p>
      <w:pPr>
        <w:pStyle w:val="ListBullet"/>
      </w:pPr>
      <w:r>
        <w:rPr>
          <w:rFonts w:ascii="Arial" w:hAnsi="Arial"/>
          <w:sz w:val="25"/>
        </w:rPr>
        <w:t>Strong influencer marketing across Instagram and TikTok.</w:t>
      </w:r>
    </w:p>
    <w:p>
      <w:pPr>
        <w:pStyle w:val="ListBullet"/>
      </w:pPr>
      <w:r>
        <w:rPr>
          <w:rFonts w:ascii="Arial" w:hAnsi="Arial"/>
          <w:sz w:val="25"/>
        </w:rPr>
        <w:t>Agility in product launches unconstrained by franchise alignment.</w:t>
      </w:r>
    </w:p>
    <w:p/>
    <w:p>
      <w:r>
        <w:rPr>
          <w:rFonts w:ascii="Arial" w:hAnsi="Arial"/>
          <w:b/>
        </w:rPr>
        <w:t>Weaknesses</w:t>
      </w:r>
    </w:p>
    <w:p>
      <w:pPr>
        <w:pStyle w:val="ListBullet"/>
      </w:pPr>
      <w:r>
        <w:rPr>
          <w:rFonts w:ascii="Arial" w:hAnsi="Arial"/>
          <w:sz w:val="25"/>
        </w:rPr>
        <w:t>No physical store presence, eliminating the sensory experience that fragrance purchases often require.</w:t>
      </w:r>
    </w:p>
    <w:p>
      <w:pPr>
        <w:pStyle w:val="ListBullet"/>
      </w:pPr>
      <w:r>
        <w:rPr>
          <w:rFonts w:ascii="Arial" w:hAnsi="Arial"/>
          <w:sz w:val="25"/>
        </w:rPr>
        <w:t>No refill model, removing a recurring-revenue mechanism.</w:t>
      </w:r>
    </w:p>
    <w:p>
      <w:pPr>
        <w:pStyle w:val="ListBullet"/>
      </w:pPr>
      <w:r>
        <w:rPr>
          <w:rFonts w:ascii="Arial" w:hAnsi="Arial"/>
          <w:sz w:val="25"/>
        </w:rPr>
        <w:t>Customer acquisition heavily dependent on paid social media, facing rising costs.</w:t>
      </w:r>
    </w:p>
    <w:p/>
    <w:p>
      <w:r>
        <w:rPr>
          <w:rFonts w:ascii="Arial" w:hAnsi="Arial"/>
          <w:b/>
        </w:rPr>
        <w:t>Opportunities</w:t>
      </w:r>
    </w:p>
    <w:p>
      <w:pPr>
        <w:pStyle w:val="ListBullet"/>
      </w:pPr>
      <w:r>
        <w:rPr>
          <w:rFonts w:ascii="Arial" w:hAnsi="Arial"/>
          <w:sz w:val="25"/>
        </w:rPr>
        <w:t>Expansion into additional European markets with minimal infrastructure investment.</w:t>
      </w:r>
    </w:p>
    <w:p>
      <w:pPr>
        <w:pStyle w:val="ListBullet"/>
      </w:pPr>
      <w:r>
        <w:rPr>
          <w:rFonts w:ascii="Arial" w:hAnsi="Arial"/>
          <w:sz w:val="25"/>
        </w:rPr>
        <w:t>Development of pop-up experiences to address the lack of in-store discovery.</w:t>
      </w:r>
    </w:p>
    <w:p/>
    <w:p>
      <w:r>
        <w:rPr>
          <w:rFonts w:ascii="Arial" w:hAnsi="Arial"/>
          <w:b/>
        </w:rPr>
        <w:t>Threats</w:t>
      </w:r>
    </w:p>
    <w:p>
      <w:pPr>
        <w:pStyle w:val="ListBullet"/>
      </w:pPr>
      <w:r>
        <w:rPr>
          <w:rFonts w:ascii="Arial" w:hAnsi="Arial"/>
          <w:sz w:val="25"/>
        </w:rPr>
        <w:t>Premium brands offering direct-to-consumer discount channels.</w:t>
      </w:r>
    </w:p>
    <w:p>
      <w:pPr>
        <w:pStyle w:val="ListBullet"/>
      </w:pPr>
      <w:r>
        <w:rPr>
          <w:rFonts w:ascii="Arial" w:hAnsi="Arial"/>
          <w:sz w:val="25"/>
        </w:rPr>
        <w:t>Zara and Mercadona improving affordable lines with strong retail distribution.</w:t>
      </w:r>
    </w:p>
    <w:p>
      <w:pPr>
        <w:pStyle w:val="ListBullet"/>
      </w:pPr>
      <w:r>
        <w:rPr>
          <w:rFonts w:ascii="Arial" w:hAnsi="Arial"/>
          <w:sz w:val="25"/>
        </w:rPr>
        <w:t>Regulatory pressures on dupe marketing claims, similar to the 2016 Spanish regulations.</w:t>
      </w:r>
    </w:p>
    <w:p>
      <w:r>
        <w:br w:type="page"/>
      </w:r>
    </w:p>
    <w:p>
      <w:r>
        <w:rPr>
          <w:rFonts w:ascii="Arial" w:hAnsi="Arial"/>
          <w:b/>
          <w:sz w:val="32"/>
        </w:rPr>
        <w:t>2. Buyer Persona</w:t>
      </w:r>
    </w:p>
    <w:p/>
    <w:p>
      <w:r>
        <w:rPr>
          <w:rFonts w:ascii="Arial" w:hAnsi="Arial"/>
          <w:sz w:val="25"/>
        </w:rPr>
        <w:t>Based on the customer research in the case study, the following persona represents the primary customer segment Equivalenza should target for repositioning. It draws on psychographic and behavioural insights from the case, supplemented by secondary research on fragrance consumption among millennial and Gen Z consumers.</w:t>
      </w:r>
    </w:p>
    <w:p/>
    <w:p>
      <w:r>
        <w:rPr>
          <w:rFonts w:ascii="Arial" w:hAnsi="Arial"/>
          <w:b/>
          <w:sz w:val="26"/>
        </w:rPr>
        <w:t>Persona: "The Discerning Explorer" — Marta, 27</w:t>
      </w:r>
    </w:p>
    <w:p/>
    <w:p>
      <w:r>
        <w:rPr>
          <w:rFonts w:ascii="Arial" w:hAnsi="Arial"/>
          <w:b/>
        </w:rPr>
        <w:t>Demographics</w:t>
      </w:r>
    </w:p>
    <w:p>
      <w:r>
        <w:rPr>
          <w:rFonts w:ascii="Arial" w:hAnsi="Arial"/>
          <w:sz w:val="25"/>
        </w:rPr>
        <w:t>Marta is a 27-year-old professional living in Madrid, working in a creative or marketing role. She earns a moderate-to-good salary with disposable income for lifestyle purchases. She is university-educated, urban, and socially active.</w:t>
      </w:r>
    </w:p>
    <w:p/>
    <w:p>
      <w:r>
        <w:rPr>
          <w:rFonts w:ascii="Arial" w:hAnsi="Arial"/>
          <w:b/>
        </w:rPr>
        <w:t>Psychographics</w:t>
      </w:r>
    </w:p>
    <w:p>
      <w:pPr>
        <w:pStyle w:val="ListBullet"/>
      </w:pPr>
      <w:r>
        <w:rPr>
          <w:rFonts w:ascii="Arial" w:hAnsi="Arial"/>
          <w:sz w:val="25"/>
        </w:rPr>
        <w:t>Marta does not think of herself as someone who buys "cheap." She knows the difference between price and value, and acts on it. Fragrance is personal self-expression, not luxury or gift (Elson, 2024).</w:t>
      </w:r>
    </w:p>
    <w:p>
      <w:pPr>
        <w:pStyle w:val="ListBullet"/>
      </w:pPr>
      <w:r>
        <w:rPr>
          <w:rFonts w:ascii="Arial" w:hAnsi="Arial"/>
          <w:sz w:val="25"/>
        </w:rPr>
        <w:t>She rotates scents by mood, occasion, and season. The idea of a single signature scent feels outdated. Discovery and experimentation are central to how she engages with perfume.</w:t>
      </w:r>
    </w:p>
    <w:p>
      <w:pPr>
        <w:pStyle w:val="ListBullet"/>
      </w:pPr>
      <w:r>
        <w:rPr>
          <w:rFonts w:ascii="Arial" w:hAnsi="Arial"/>
          <w:sz w:val="25"/>
        </w:rPr>
        <w:t>She is attuned to aesthetics. Packaging, store design, and visual identity matter. She notices when something feels designed versus generic.</w:t>
      </w:r>
    </w:p>
    <w:p>
      <w:pPr>
        <w:pStyle w:val="ListBullet"/>
      </w:pPr>
      <w:r>
        <w:rPr>
          <w:rFonts w:ascii="Arial" w:hAnsi="Arial"/>
          <w:sz w:val="25"/>
        </w:rPr>
        <w:t>Being ahead of trends gives her quiet satisfaction. She follows beauty and lifestyle content actively and enjoys discovering products before they become mainstream.</w:t>
      </w:r>
    </w:p>
    <w:p/>
    <w:p>
      <w:r>
        <w:rPr>
          <w:rFonts w:ascii="Arial" w:hAnsi="Arial"/>
          <w:b/>
        </w:rPr>
        <w:t>Behavioural: Purchase Decision Process</w:t>
      </w:r>
    </w:p>
    <w:p>
      <w:pPr>
        <w:pStyle w:val="ListBullet"/>
      </w:pPr>
      <w:r>
        <w:rPr>
          <w:rFonts w:ascii="Arial" w:hAnsi="Arial"/>
          <w:b/>
          <w:sz w:val="25"/>
        </w:rPr>
        <w:t xml:space="preserve">Discovery: </w:t>
      </w:r>
      <w:r>
        <w:rPr>
          <w:rFonts w:ascii="Arial" w:hAnsi="Arial"/>
          <w:sz w:val="25"/>
        </w:rPr>
        <w:t>New fragrances found through Instagram, TikTok, beauty influencers, and peer recommendations.</w:t>
      </w:r>
    </w:p>
    <w:p>
      <w:pPr>
        <w:pStyle w:val="ListBullet"/>
      </w:pPr>
      <w:r>
        <w:rPr>
          <w:rFonts w:ascii="Arial" w:hAnsi="Arial"/>
          <w:b/>
          <w:sz w:val="25"/>
        </w:rPr>
        <w:t xml:space="preserve">Evaluation: </w:t>
      </w:r>
      <w:r>
        <w:rPr>
          <w:rFonts w:ascii="Arial" w:hAnsi="Arial"/>
          <w:sz w:val="25"/>
        </w:rPr>
        <w:t>She visits a store to test on her skin because fragrance is sensory. She compares across brands and price points.</w:t>
      </w:r>
    </w:p>
    <w:p>
      <w:pPr>
        <w:pStyle w:val="ListBullet"/>
      </w:pPr>
      <w:r>
        <w:rPr>
          <w:rFonts w:ascii="Arial" w:hAnsi="Arial"/>
          <w:b/>
          <w:sz w:val="25"/>
        </w:rPr>
        <w:t xml:space="preserve">Purchase: </w:t>
      </w:r>
      <w:r>
        <w:rPr>
          <w:rFonts w:ascii="Arial" w:hAnsi="Arial"/>
          <w:sz w:val="25"/>
        </w:rPr>
        <w:t>She buys when scent quality, brand identity, and price align. Willing to pay €20–40 for something special, but not designer prices without emotional resonance.</w:t>
      </w:r>
    </w:p>
    <w:p>
      <w:pPr>
        <w:pStyle w:val="ListBullet"/>
      </w:pPr>
      <w:r>
        <w:rPr>
          <w:rFonts w:ascii="Arial" w:hAnsi="Arial"/>
          <w:b/>
          <w:sz w:val="25"/>
        </w:rPr>
        <w:t xml:space="preserve">Post-purchase: </w:t>
      </w:r>
      <w:r>
        <w:rPr>
          <w:rFonts w:ascii="Arial" w:hAnsi="Arial"/>
          <w:sz w:val="25"/>
        </w:rPr>
        <w:t>She returns for refills when the experience has been consistent. Loyalty is earned through repeated positive experiences.</w:t>
      </w:r>
    </w:p>
    <w:p/>
    <w:p>
      <w:r>
        <w:rPr>
          <w:rFonts w:ascii="Arial" w:hAnsi="Arial"/>
          <w:b/>
        </w:rPr>
        <w:t>Frustrations</w:t>
      </w:r>
    </w:p>
    <w:p>
      <w:pPr>
        <w:pStyle w:val="ListBullet"/>
      </w:pPr>
      <w:r>
        <w:rPr>
          <w:rFonts w:ascii="Arial" w:hAnsi="Arial"/>
          <w:sz w:val="25"/>
        </w:rPr>
        <w:t>Inconsistency is her primary frustration. When a store feels tired or staff seem indifferent, her loyalty erodes quickly (Elson, 2024).</w:t>
      </w:r>
    </w:p>
    <w:p>
      <w:pPr>
        <w:pStyle w:val="ListBullet"/>
      </w:pPr>
      <w:r>
        <w:rPr>
          <w:rFonts w:ascii="Arial" w:hAnsi="Arial"/>
          <w:sz w:val="25"/>
        </w:rPr>
        <w:t>The mental cost of switching has never been lower. She has options and she knows it.</w:t>
      </w:r>
    </w:p>
    <w:p/>
    <w:p>
      <w:r>
        <w:rPr>
          <w:rFonts w:ascii="Arial" w:hAnsi="Arial"/>
          <w:b/>
        </w:rPr>
        <w:t>Key Insight</w:t>
      </w:r>
    </w:p>
    <w:p>
      <w:r>
        <w:rPr>
          <w:rFonts w:ascii="Arial" w:hAnsi="Arial"/>
          <w:sz w:val="25"/>
        </w:rPr>
        <w:t>What would make Marta choose Equivalenza is a brand experience that feels emotionally resonant and sensorially rich, not just economically smart. She would respond to Les Secrets if presented in an environment that felt curated and intentional, with knowledgeable staff, beautiful packaging, and a narrative about craftsmanship. The refill ritual could become a point of emotional connection if reframed as a sustainable, mindful practice.</w:t>
      </w:r>
    </w:p>
    <w:p/>
    <w:p>
      <w:r>
        <w:rPr>
          <w:rFonts w:ascii="Arial" w:hAnsi="Arial"/>
          <w:b/>
        </w:rPr>
        <w:t>Strategic Importance</w:t>
      </w:r>
    </w:p>
    <w:p>
      <w:r>
        <w:rPr>
          <w:rFonts w:ascii="Arial" w:hAnsi="Arial"/>
          <w:sz w:val="25"/>
        </w:rPr>
        <w:t>This segment bridges Equivalenza’s original customer base and the Gen Z consumers showing highest fragrance growth. Marta’s willingness to pay for perceived value supports a repositioning from "accessible-functional" toward "affordable craft." Without capturing this segment, Equivalenza cannot reverse its decline or build the emotional equity needed to compete with Adopt and Zara.</w:t>
      </w:r>
    </w:p>
    <w:p>
      <w:r>
        <w:br w:type="page"/>
      </w:r>
    </w:p>
    <w:p>
      <w:r>
        <w:rPr>
          <w:rFonts w:ascii="Arial" w:hAnsi="Arial"/>
          <w:b/>
          <w:sz w:val="32"/>
        </w:rPr>
        <w:t>3. Marketing Problem</w:t>
      </w:r>
    </w:p>
    <w:p/>
    <w:p>
      <w:r>
        <w:rPr>
          <w:rFonts w:ascii="Arial" w:hAnsi="Arial"/>
          <w:sz w:val="25"/>
        </w:rPr>
        <w:t>To frame Equivalenza’s marketing problem, I apply the SCQA (Situation-Complication-Question-Answer) methodology discussed in class.</w:t>
      </w:r>
    </w:p>
    <w:p/>
    <w:p>
      <w:r>
        <w:rPr>
          <w:rFonts w:ascii="Arial" w:hAnsi="Arial"/>
          <w:b/>
        </w:rPr>
        <w:t>Situation</w:t>
      </w:r>
    </w:p>
    <w:p>
      <w:r>
        <w:rPr>
          <w:rFonts w:ascii="Arial" w:hAnsi="Arial"/>
          <w:sz w:val="25"/>
        </w:rPr>
        <w:t>Equivalenza was a genuine disruptor until 2015, with 810 stores across 26 countries and €60 million in global retail sales. The franchise model was scalable, margins were strong, and demand for affordable alternatives was robust.</w:t>
      </w:r>
    </w:p>
    <w:p/>
    <w:p>
      <w:r>
        <w:rPr>
          <w:rFonts w:ascii="Arial" w:hAnsi="Arial"/>
          <w:b/>
        </w:rPr>
        <w:t>Complication</w:t>
      </w:r>
    </w:p>
    <w:p>
      <w:r>
        <w:rPr>
          <w:rFonts w:ascii="Arial" w:hAnsi="Arial"/>
          <w:sz w:val="25"/>
        </w:rPr>
        <w:t>Three forces undermined the business. The dupe segment contracted from 37% to 13% of Spanish consumers (2018–2023), a 65% collapse of the core market. The "sandwich effect" compressed the brand from both directions: premium brands became more affordable through discounters, while Zara and Mercadona improved from below. And the brand’s positioning became structurally misaligned — Equivalenza is perceived as "accessible" and "functional" in a category where purchase decisions are almost entirely emotional. Its NPS of 17 confirms that customers use the brand but do not love it.</w:t>
      </w:r>
    </w:p>
    <w:p/>
    <w:p>
      <w:r>
        <w:rPr>
          <w:rFonts w:ascii="Arial" w:hAnsi="Arial"/>
          <w:b/>
        </w:rPr>
        <w:t>Question</w:t>
      </w:r>
    </w:p>
    <w:p>
      <w:r>
        <w:rPr>
          <w:rFonts w:ascii="Arial" w:hAnsi="Arial"/>
          <w:sz w:val="25"/>
        </w:rPr>
        <w:t>As CEO Juan Franco asked: can Equivalenza turn this around by being better, or does it need to be fundamentally different?</w:t>
      </w:r>
    </w:p>
    <w:p/>
    <w:p>
      <w:r>
        <w:rPr>
          <w:rFonts w:ascii="Arial" w:hAnsi="Arial"/>
          <w:b/>
        </w:rPr>
        <w:t>The Marketing Problem</w:t>
      </w:r>
    </w:p>
    <w:p>
      <w:r>
        <w:rPr>
          <w:rFonts w:ascii="Arial" w:hAnsi="Arial"/>
          <w:sz w:val="25"/>
        </w:rPr>
        <w:t>The most urgent problem is positional. Equivalenza is trapped in an eroding "accessible-functional" position while its core dupe market has shrunk by two-thirds. The brand has no clear, emotionally resonant identity — as Miguel Costa noted, customers cannot say what Equivalenza stands for (Elson, 2024). This ambiguity is fatal in a market where competitors above are becoming more affordable and those below more aspirational. The board’s EBITDA target of €8 million cannot be achieved through incremental fixes. The brand needs a fundamental repositioning that creates emotional desirability before the sandwich effect eliminates its remaining space.</w:t>
      </w:r>
    </w:p>
    <w:p>
      <w:r>
        <w:br w:type="page"/>
      </w:r>
    </w:p>
    <w:p>
      <w:r>
        <w:rPr>
          <w:rFonts w:ascii="Arial" w:hAnsi="Arial"/>
          <w:b/>
          <w:sz w:val="32"/>
        </w:rPr>
        <w:t>4. TOWS Matrix</w:t>
      </w:r>
    </w:p>
    <w:p/>
    <w:p>
      <w:r>
        <w:rPr>
          <w:rFonts w:ascii="Arial" w:hAnsi="Arial"/>
          <w:sz w:val="25"/>
        </w:rPr>
        <w:t>The TOWS matrix below translates the SWOT into four strategic alternatives, one per quadrant. Each addresses the marketing problem identified in Section 3.</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rPr>
                <w:rFonts w:ascii="Arial" w:hAnsi="Arial"/>
                <w:b/>
                <w:sz w:val="22"/>
              </w:rPr>
              <w:t>Opportunities (O)</w:t>
            </w:r>
          </w:p>
          <w:p>
            <w:r>
              <w:rPr>
                <w:rFonts w:ascii="Arial" w:hAnsi="Arial"/>
                <w:i/>
                <w:sz w:val="20"/>
              </w:rPr>
              <w:t>Gen Z growth · e-commerce · sustainability · Les Secrets</w:t>
            </w:r>
          </w:p>
        </w:tc>
        <w:tc>
          <w:tcPr>
            <w:tcW w:type="dxa" w:w="2880"/>
          </w:tcPr>
          <w:p>
            <w:r>
              <w:rPr>
                <w:rFonts w:ascii="Arial" w:hAnsi="Arial"/>
                <w:b/>
                <w:sz w:val="22"/>
              </w:rPr>
              <w:t>Threats (T)</w:t>
            </w:r>
          </w:p>
          <w:p>
            <w:r>
              <w:rPr>
                <w:rFonts w:ascii="Arial" w:hAnsi="Arial"/>
                <w:i/>
                <w:sz w:val="20"/>
              </w:rPr>
              <w:t>Dupe collapse 37→13% · sandwich effect · digital competitors</w:t>
            </w:r>
          </w:p>
        </w:tc>
      </w:tr>
      <w:tr>
        <w:tc>
          <w:tcPr>
            <w:tcW w:type="dxa" w:w="2880"/>
          </w:tcPr>
          <w:p>
            <w:r>
              <w:rPr>
                <w:rFonts w:ascii="Arial" w:hAnsi="Arial"/>
                <w:b/>
                <w:sz w:val="22"/>
              </w:rPr>
              <w:t>Strengths (S)</w:t>
            </w:r>
          </w:p>
          <w:p>
            <w:r>
              <w:rPr>
                <w:rFonts w:ascii="Arial" w:hAnsi="Arial"/>
                <w:i/>
                <w:sz w:val="20"/>
              </w:rPr>
              <w:t>528 stores · 2/3 margin · Les Secrets · refill · international</w:t>
            </w:r>
          </w:p>
        </w:tc>
        <w:tc>
          <w:tcPr>
            <w:tcW w:type="dxa" w:w="2880"/>
          </w:tcPr>
          <w:p>
            <w:r>
              <w:rPr>
                <w:rFonts w:ascii="Arial" w:hAnsi="Arial"/>
                <w:b/>
                <w:sz w:val="22"/>
              </w:rPr>
              <w:t>SO: "Les Secrets Everywhere"</w:t>
            </w:r>
          </w:p>
          <w:p>
            <w:r>
              <w:rPr>
                <w:rFonts w:ascii="Arial" w:hAnsi="Arial"/>
                <w:sz w:val="20"/>
              </w:rPr>
              <w:t>Transform stores into sensory destinations using Les Secrets as the hero. Leverage physical presence — Divain’s key weakness — to create an emotional experience that captures Gen Z and consumers migrating from the dupe segment.</w:t>
            </w:r>
          </w:p>
        </w:tc>
        <w:tc>
          <w:tcPr>
            <w:tcW w:type="dxa" w:w="2880"/>
          </w:tcPr>
          <w:p>
            <w:r>
              <w:rPr>
                <w:rFonts w:ascii="Arial" w:hAnsi="Arial"/>
                <w:b/>
                <w:sz w:val="22"/>
              </w:rPr>
              <w:t>ST: "The Refill Ritual"</w:t>
            </w:r>
          </w:p>
          <w:p>
            <w:r>
              <w:rPr>
                <w:rFonts w:ascii="Arial" w:hAnsi="Arial"/>
                <w:sz w:val="20"/>
              </w:rPr>
              <w:t>Build the refill into an emotional ritual — sustainable, mindful, recurring. Own the physical moment that digital competitors cannot replicate, neutralising the threat of Divain and Dossier.</w:t>
            </w:r>
          </w:p>
        </w:tc>
      </w:tr>
      <w:tr>
        <w:tc>
          <w:tcPr>
            <w:tcW w:type="dxa" w:w="2880"/>
          </w:tcPr>
          <w:p>
            <w:r>
              <w:rPr>
                <w:rFonts w:ascii="Arial" w:hAnsi="Arial"/>
                <w:b/>
                <w:sz w:val="22"/>
              </w:rPr>
              <w:t>Weaknesses (W)</w:t>
            </w:r>
          </w:p>
          <w:p>
            <w:r>
              <w:rPr>
                <w:rFonts w:ascii="Arial" w:hAnsi="Arial"/>
                <w:i/>
                <w:sz w:val="20"/>
              </w:rPr>
              <w:t>30% awareness · 1% online · NPS 17 · €400K budget · inconsistent stores</w:t>
            </w:r>
          </w:p>
        </w:tc>
        <w:tc>
          <w:tcPr>
            <w:tcW w:type="dxa" w:w="2880"/>
          </w:tcPr>
          <w:p>
            <w:r>
              <w:rPr>
                <w:rFonts w:ascii="Arial" w:hAnsi="Arial"/>
                <w:b/>
                <w:sz w:val="22"/>
              </w:rPr>
              <w:t>WO: "Digital Awakening"</w:t>
            </w:r>
          </w:p>
          <w:p>
            <w:r>
              <w:rPr>
                <w:rFonts w:ascii="Arial" w:hAnsi="Arial"/>
                <w:sz w:val="20"/>
              </w:rPr>
              <w:t>Build e-commerce and social media presence to reach Gen Z where they discover fragrance. Reallocate budget toward influencer partnerships. Convert the 1% online gap into a growth channel.</w:t>
            </w:r>
          </w:p>
        </w:tc>
        <w:tc>
          <w:tcPr>
            <w:tcW w:type="dxa" w:w="2880"/>
          </w:tcPr>
          <w:p>
            <w:r>
              <w:rPr>
                <w:rFonts w:ascii="Arial" w:hAnsi="Arial"/>
                <w:b/>
                <w:sz w:val="22"/>
              </w:rPr>
              <w:t>WT: "Brand Rebirth"</w:t>
            </w:r>
          </w:p>
          <w:p>
            <w:r>
              <w:rPr>
                <w:rFonts w:ascii="Arial" w:hAnsi="Arial"/>
                <w:sz w:val="20"/>
              </w:rPr>
              <w:t>Consolidate underperforming franchisees and refresh brand identity with Morillas. Move narrative from "equivalent to" toward "affordable luxury craft." Minimise weaknesses while avoiding the squeeze.</w:t>
            </w:r>
          </w:p>
        </w:tc>
      </w:tr>
    </w:tbl>
    <w:p/>
    <w:p>
      <w:r>
        <w:rPr>
          <w:rFonts w:ascii="Arial" w:hAnsi="Arial"/>
          <w:sz w:val="25"/>
        </w:rPr>
        <w:t>Each strategy addresses a different facet of the problem. SO is offensive, leveraging strengths to capture opportunities. WO is corrective, fixing the digital gap. ST is defensive-offensive, neutralising competitive threats. WT is purely defensive, minimising exposure to decline.</w:t>
      </w:r>
    </w:p>
    <w:p>
      <w:r>
        <w:br w:type="page"/>
      </w:r>
    </w:p>
    <w:p>
      <w:r>
        <w:rPr>
          <w:rFonts w:ascii="Arial" w:hAnsi="Arial"/>
          <w:b/>
          <w:sz w:val="32"/>
        </w:rPr>
        <w:t>5. Strategic Alternative: Recommendation</w:t>
      </w:r>
    </w:p>
    <w:p/>
    <w:p>
      <w:r>
        <w:rPr>
          <w:rFonts w:ascii="Arial" w:hAnsi="Arial"/>
          <w:b/>
          <w:sz w:val="26"/>
        </w:rPr>
        <w:t>Selected Strategy: SO — "Les Secrets Everywhere"</w:t>
      </w:r>
    </w:p>
    <w:p/>
    <w:p>
      <w:r>
        <w:rPr>
          <w:rFonts w:ascii="Arial" w:hAnsi="Arial"/>
          <w:sz w:val="25"/>
        </w:rPr>
        <w:t>After evaluating all four TOWS alternatives, I recommend the SO strategy: leveraging Equivalenza’s physical store network and Les Secrets to create a differentiated, emotionally resonant in-store experience.</w:t>
      </w:r>
    </w:p>
    <w:p/>
    <w:p>
      <w:r>
        <w:rPr>
          <w:rFonts w:ascii="Arial" w:hAnsi="Arial"/>
          <w:b/>
        </w:rPr>
        <w:t>Why This Strategy</w:t>
      </w:r>
    </w:p>
    <w:p>
      <w:r>
        <w:rPr>
          <w:rFonts w:ascii="Arial" w:hAnsi="Arial"/>
          <w:sz w:val="25"/>
        </w:rPr>
        <w:t>The core problem is positional: Equivalenza is perceived as rational and functional in an emotional category. The WT and WO strategies are primarily corrective — they fix weaknesses without creating a reason for consumers to choose Equivalenza. The ST strategy is strong but defensive.</w:t>
      </w:r>
    </w:p>
    <w:p>
      <w:r>
        <w:rPr>
          <w:rFonts w:ascii="Arial" w:hAnsi="Arial"/>
          <w:sz w:val="25"/>
        </w:rPr>
        <w:t>The SO strategy attacks the problem at its root. It uses the brand’s single greatest structural advantage — 528 physical stores — to create something no digital competitor can offer: a sensory fragrance experience. Les Secrets already has credibility. By expanding it into the heart of the brand experience, Equivalenza can shift from "accessible-functional" toward "affordable craft."</w:t>
      </w:r>
    </w:p>
    <w:p/>
    <w:p>
      <w:r>
        <w:rPr>
          <w:rFonts w:ascii="Arial" w:hAnsi="Arial"/>
          <w:b/>
        </w:rPr>
        <w:t>Feasibility</w:t>
      </w:r>
    </w:p>
    <w:p>
      <w:r>
        <w:rPr>
          <w:rFonts w:ascii="Arial" w:hAnsi="Arial"/>
          <w:sz w:val="25"/>
        </w:rPr>
        <w:t>This strategy is feasible within current resources. The stores exist. Les Secrets exists and is growing. The €400,000 communication budget can be reallocated toward in-store materials, staff training, and local marketing. Top-performing stores can serve as pilot locations.</w:t>
      </w:r>
    </w:p>
    <w:p/>
    <w:p>
      <w:r>
        <w:rPr>
          <w:rFonts w:ascii="Arial" w:hAnsi="Arial"/>
          <w:b/>
        </w:rPr>
        <w:t>Implementation</w:t>
      </w:r>
    </w:p>
    <w:p>
      <w:r>
        <w:rPr>
          <w:rFonts w:ascii="Arial" w:hAnsi="Arial"/>
          <w:b/>
          <w:sz w:val="25"/>
        </w:rPr>
        <w:t xml:space="preserve">Leadership: </w:t>
      </w:r>
      <w:r>
        <w:rPr>
          <w:rFonts w:ascii="Arial" w:hAnsi="Arial"/>
          <w:sz w:val="25"/>
        </w:rPr>
        <w:t>Elena Tapiol (Marketing) leads brand experience redesign, with Marcos Herrera (Commercial Director) managing franchise rollout. Morillas Brand Agency leads visual identity refresh.</w:t>
      </w:r>
    </w:p>
    <w:p>
      <w:r>
        <w:rPr>
          <w:rFonts w:ascii="Arial" w:hAnsi="Arial"/>
          <w:b/>
          <w:sz w:val="25"/>
        </w:rPr>
        <w:t xml:space="preserve">Key Resources: </w:t>
      </w:r>
      <w:r>
        <w:rPr>
          <w:rFonts w:ascii="Arial" w:hAnsi="Arial"/>
          <w:sz w:val="25"/>
        </w:rPr>
        <w:t>Reallocation of the €400K budget toward in-store transformation and training. Les Secrets SKU expansion (€25–30 range). Franchise training programme. Simple e-commerce pilot for Les Secrets.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b/>
                <w:sz w:val="22"/>
              </w:rPr>
              <w:t>Phase</w:t>
            </w:r>
          </w:p>
        </w:tc>
        <w:tc>
          <w:tcPr>
            <w:tcW w:type="dxa" w:w="2880"/>
          </w:tcPr>
          <w:p>
            <w:r>
              <w:rPr>
                <w:rFonts w:ascii="Arial" w:hAnsi="Arial"/>
                <w:b/>
                <w:sz w:val="22"/>
              </w:rPr>
              <w:t>Timeline</w:t>
            </w:r>
          </w:p>
        </w:tc>
        <w:tc>
          <w:tcPr>
            <w:tcW w:type="dxa" w:w="2880"/>
          </w:tcPr>
          <w:p>
            <w:r>
              <w:rPr>
                <w:rFonts w:ascii="Arial" w:hAnsi="Arial"/>
                <w:b/>
                <w:sz w:val="22"/>
              </w:rPr>
              <w:t>Key Actions</w:t>
            </w:r>
          </w:p>
        </w:tc>
      </w:tr>
      <w:tr>
        <w:tc>
          <w:tcPr>
            <w:tcW w:type="dxa" w:w="2880"/>
          </w:tcPr>
          <w:p>
            <w:r>
              <w:rPr>
                <w:rFonts w:ascii="Arial" w:hAnsi="Arial"/>
                <w:sz w:val="22"/>
              </w:rPr>
              <w:t>Pilot</w:t>
            </w:r>
          </w:p>
        </w:tc>
        <w:tc>
          <w:tcPr>
            <w:tcW w:type="dxa" w:w="2880"/>
          </w:tcPr>
          <w:p>
            <w:r>
              <w:rPr>
                <w:rFonts w:ascii="Arial" w:hAnsi="Arial"/>
                <w:sz w:val="22"/>
              </w:rPr>
              <w:t>Months 1–3</w:t>
            </w:r>
          </w:p>
        </w:tc>
        <w:tc>
          <w:tcPr>
            <w:tcW w:type="dxa" w:w="2880"/>
          </w:tcPr>
          <w:p>
            <w:r>
              <w:rPr>
                <w:rFonts w:ascii="Arial" w:hAnsi="Arial"/>
                <w:sz w:val="22"/>
              </w:rPr>
              <w:t>Select 10 top stores in Spain. Redesign in-store experience with Les Secrets as focal point. Train staff on fragrance storytelling. Launch local social media.</w:t>
            </w:r>
          </w:p>
        </w:tc>
      </w:tr>
      <w:tr>
        <w:tc>
          <w:tcPr>
            <w:tcW w:type="dxa" w:w="2880"/>
          </w:tcPr>
          <w:p>
            <w:r>
              <w:rPr>
                <w:rFonts w:ascii="Arial" w:hAnsi="Arial"/>
                <w:sz w:val="22"/>
              </w:rPr>
              <w:t>Scale</w:t>
            </w:r>
          </w:p>
        </w:tc>
        <w:tc>
          <w:tcPr>
            <w:tcW w:type="dxa" w:w="2880"/>
          </w:tcPr>
          <w:p>
            <w:r>
              <w:rPr>
                <w:rFonts w:ascii="Arial" w:hAnsi="Arial"/>
                <w:sz w:val="22"/>
              </w:rPr>
              <w:t>Months 4–8</w:t>
            </w:r>
          </w:p>
        </w:tc>
        <w:tc>
          <w:tcPr>
            <w:tcW w:type="dxa" w:w="2880"/>
          </w:tcPr>
          <w:p>
            <w:r>
              <w:rPr>
                <w:rFonts w:ascii="Arial" w:hAnsi="Arial"/>
                <w:sz w:val="22"/>
              </w:rPr>
              <w:t>Roll out to 50 additional stores. Launch Les Secrets e-commerce pilot. Begin influencer partnerships. Expand range with 5 new SKUs.</w:t>
            </w:r>
          </w:p>
        </w:tc>
      </w:tr>
      <w:tr>
        <w:tc>
          <w:tcPr>
            <w:tcW w:type="dxa" w:w="2880"/>
          </w:tcPr>
          <w:p>
            <w:r>
              <w:rPr>
                <w:rFonts w:ascii="Arial" w:hAnsi="Arial"/>
                <w:sz w:val="22"/>
              </w:rPr>
              <w:t>Embed</w:t>
            </w:r>
          </w:p>
        </w:tc>
        <w:tc>
          <w:tcPr>
            <w:tcW w:type="dxa" w:w="2880"/>
          </w:tcPr>
          <w:p>
            <w:r>
              <w:rPr>
                <w:rFonts w:ascii="Arial" w:hAnsi="Arial"/>
                <w:sz w:val="22"/>
              </w:rPr>
              <w:t>Months 9–12</w:t>
            </w:r>
          </w:p>
        </w:tc>
        <w:tc>
          <w:tcPr>
            <w:tcW w:type="dxa" w:w="2880"/>
          </w:tcPr>
          <w:p>
            <w:r>
              <w:rPr>
                <w:rFonts w:ascii="Arial" w:hAnsi="Arial"/>
                <w:sz w:val="22"/>
              </w:rPr>
              <w:t>Evaluate pilot results. Roll out to remaining viable stores. Consolidate or close underperformers. Launch integrated brand campaign.</w:t>
            </w:r>
          </w:p>
        </w:tc>
      </w:tr>
    </w:tbl>
    <w:p/>
    <w:p>
      <w:r>
        <w:rPr>
          <w:rFonts w:ascii="Arial" w:hAnsi="Arial"/>
          <w:sz w:val="25"/>
        </w:rPr>
        <w:t>Quick wins in the pilot phase — redesigned layout, trained staff, Les Secrets as hero — can be executed with minimal investment and should generate measurable results within three months: increased average ticket, higher Les Secrets share of revenue, and improved NPS. If the pilot validates the concept, the scaling phase builds momentum. The embed phase ensures the repositioning becomes permanent, not another course correction that Marcos Herrera warned against.</w:t>
      </w:r>
    </w:p>
    <w:p/>
    <w:p>
      <w:r>
        <w:rPr>
          <w:rFonts w:ascii="Arial" w:hAnsi="Arial"/>
          <w:sz w:val="25"/>
        </w:rPr>
        <w:t>This strategy answers Franco’s question: Equivalenza does not need to be "better" at being a dupe brand. It needs to be different — a brand that offers an experience, not just a price. The stores, the product, and the customer base exist. What has been missing is the emotional narrative. Les Secrets Everywhere builds that narrative.</w:t>
      </w:r>
    </w:p>
    <w:p>
      <w:r>
        <w:br w:type="page"/>
      </w:r>
    </w:p>
    <w:p>
      <w:r>
        <w:rPr>
          <w:rFonts w:ascii="Arial" w:hAnsi="Arial"/>
          <w:b/>
          <w:sz w:val="32"/>
        </w:rPr>
        <w:t>References</w:t>
      </w:r>
    </w:p>
    <w:p/>
    <w:p>
      <w:pPr>
        <w:spacing w:after="160"/>
        <w:ind w:left="720" w:hanging="720"/>
      </w:pPr>
      <w:r>
        <w:rPr>
          <w:rFonts w:ascii="Arial" w:hAnsi="Arial"/>
          <w:sz w:val="25"/>
        </w:rPr>
        <w:t>Divain. (2024) About us. Available at: https://divainparfums.com (Accessed: 26 June 2026).</w:t>
      </w:r>
    </w:p>
    <w:p>
      <w:pPr>
        <w:spacing w:after="160"/>
        <w:ind w:left="720" w:hanging="720"/>
      </w:pPr>
      <w:r>
        <w:rPr>
          <w:rFonts w:ascii="Arial" w:hAnsi="Arial"/>
          <w:sz w:val="25"/>
        </w:rPr>
        <w:t>Elson, C. (2024) Equivalenza: The Scent of a Second Chance. EU Business School case study.</w:t>
      </w:r>
    </w:p>
    <w:p>
      <w:pPr>
        <w:spacing w:after="160"/>
        <w:ind w:left="720" w:hanging="720"/>
      </w:pPr>
      <w:r>
        <w:rPr>
          <w:rFonts w:ascii="Arial" w:hAnsi="Arial"/>
          <w:sz w:val="25"/>
        </w:rPr>
        <w:t>Euromonitor International. (2024) Fragrances in Spain. London: Euromonitor International.</w:t>
      </w:r>
    </w:p>
    <w:p>
      <w:pPr>
        <w:spacing w:after="160"/>
        <w:ind w:left="720" w:hanging="720"/>
      </w:pPr>
      <w:r>
        <w:rPr>
          <w:rFonts w:ascii="Arial" w:hAnsi="Arial"/>
          <w:sz w:val="25"/>
        </w:rPr>
        <w:t>Keller, K.L. (2013) Strategic Brand Management: Building, Measuring, and Managing Brand Equity. 4th edn. Harlow: Pearson.</w:t>
      </w:r>
    </w:p>
    <w:p>
      <w:pPr>
        <w:spacing w:after="160"/>
        <w:ind w:left="720" w:hanging="720"/>
      </w:pPr>
      <w:r>
        <w:rPr>
          <w:rFonts w:ascii="Arial" w:hAnsi="Arial"/>
          <w:sz w:val="25"/>
        </w:rPr>
        <w:t>Kotler, P. and Keller, K.L. (2016) Marketing Management. 15th edn. Harlow: Pearson Education.</w:t>
      </w:r>
    </w:p>
    <w:p>
      <w:pPr>
        <w:spacing w:after="160"/>
        <w:ind w:left="720" w:hanging="720"/>
      </w:pPr>
      <w:r>
        <w:rPr>
          <w:rFonts w:ascii="Arial" w:hAnsi="Arial"/>
          <w:sz w:val="25"/>
        </w:rPr>
        <w:t>Mintel. (2023) Fragrance – Spain – 2023. London: Mintel Group.</w:t>
      </w:r>
    </w:p>
    <w:p>
      <w:pPr>
        <w:spacing w:after="160"/>
        <w:ind w:left="720" w:hanging="720"/>
      </w:pPr>
      <w:r>
        <w:rPr>
          <w:rFonts w:ascii="Arial" w:hAnsi="Arial"/>
          <w:sz w:val="25"/>
        </w:rPr>
        <w:t>Reichheld, F. (2003) ‘The one number you need to grow’, Harvard Business Review, 81(12), pp. 46–54.</w:t>
      </w:r>
    </w:p>
    <w:p>
      <w:pPr>
        <w:spacing w:after="160"/>
        <w:ind w:left="720" w:hanging="720"/>
      </w:pPr>
      <w:r>
        <w:rPr>
          <w:rFonts w:ascii="Arial" w:hAnsi="Arial"/>
          <w:sz w:val="25"/>
        </w:rPr>
        <w:t>Statista. (2024) Fragrance market in Spain – statistics &amp; facts. Available at: https://www.statista.com (Accessed: 26 June 2026).</w:t>
      </w:r>
    </w:p>
    <w:p>
      <w:pPr>
        <w:spacing w:after="160"/>
        <w:ind w:left="720" w:hanging="720"/>
      </w:pPr>
      <w:r>
        <w:rPr>
          <w:rFonts w:ascii="Arial" w:hAnsi="Arial"/>
          <w:sz w:val="25"/>
        </w:rPr>
        <w:t>Weihrich, H. (1982) ‘The TOWS matrix – A tool for situational analysis’, Long Range Planning, 15(2), pp. 54–66.</w:t>
      </w:r>
    </w:p>
    <w:p>
      <w:r>
        <w:br w:type="page"/>
      </w:r>
    </w:p>
    <w:p>
      <w:r>
        <w:rPr>
          <w:rFonts w:ascii="Arial" w:hAnsi="Arial"/>
          <w:b/>
          <w:sz w:val="32"/>
        </w:rPr>
        <w:t>Appendix A: Key Case Data</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Arial" w:hAnsi="Arial"/>
                <w:b/>
                <w:sz w:val="22"/>
              </w:rPr>
              <w:t>Metric</w:t>
            </w:r>
          </w:p>
        </w:tc>
        <w:tc>
          <w:tcPr>
            <w:tcW w:type="dxa" w:w="4320"/>
          </w:tcPr>
          <w:p>
            <w:r>
              <w:rPr>
                <w:rFonts w:ascii="Arial" w:hAnsi="Arial"/>
                <w:b/>
                <w:sz w:val="22"/>
              </w:rPr>
              <w:t>Value</w:t>
            </w:r>
          </w:p>
        </w:tc>
      </w:tr>
      <w:tr>
        <w:tc>
          <w:tcPr>
            <w:tcW w:type="dxa" w:w="4320"/>
          </w:tcPr>
          <w:p>
            <w:r>
              <w:rPr>
                <w:rFonts w:ascii="Arial" w:hAnsi="Arial"/>
                <w:sz w:val="22"/>
              </w:rPr>
              <w:t>Peak global retail sales (2015)</w:t>
            </w:r>
          </w:p>
        </w:tc>
        <w:tc>
          <w:tcPr>
            <w:tcW w:type="dxa" w:w="4320"/>
          </w:tcPr>
          <w:p>
            <w:r>
              <w:rPr>
                <w:rFonts w:ascii="Arial" w:hAnsi="Arial"/>
                <w:sz w:val="22"/>
              </w:rPr>
              <w:t>€60 million</w:t>
            </w:r>
          </w:p>
        </w:tc>
      </w:tr>
      <w:tr>
        <w:tc>
          <w:tcPr>
            <w:tcW w:type="dxa" w:w="4320"/>
          </w:tcPr>
          <w:p>
            <w:r>
              <w:rPr>
                <w:rFonts w:ascii="Arial" w:hAnsi="Arial"/>
                <w:sz w:val="22"/>
              </w:rPr>
              <w:t>2023 global retail sales</w:t>
            </w:r>
          </w:p>
        </w:tc>
        <w:tc>
          <w:tcPr>
            <w:tcW w:type="dxa" w:w="4320"/>
          </w:tcPr>
          <w:p>
            <w:r>
              <w:rPr>
                <w:rFonts w:ascii="Arial" w:hAnsi="Arial"/>
                <w:sz w:val="22"/>
              </w:rPr>
              <w:t>€56 million</w:t>
            </w:r>
          </w:p>
        </w:tc>
      </w:tr>
      <w:tr>
        <w:tc>
          <w:tcPr>
            <w:tcW w:type="dxa" w:w="4320"/>
          </w:tcPr>
          <w:p>
            <w:r>
              <w:rPr>
                <w:rFonts w:ascii="Arial" w:hAnsi="Arial"/>
                <w:sz w:val="22"/>
              </w:rPr>
              <w:t>Peak store count (2015)</w:t>
            </w:r>
          </w:p>
        </w:tc>
        <w:tc>
          <w:tcPr>
            <w:tcW w:type="dxa" w:w="4320"/>
          </w:tcPr>
          <w:p>
            <w:r>
              <w:rPr>
                <w:rFonts w:ascii="Arial" w:hAnsi="Arial"/>
                <w:sz w:val="22"/>
              </w:rPr>
              <w:t>810 stores, 26 countries</w:t>
            </w:r>
          </w:p>
        </w:tc>
      </w:tr>
      <w:tr>
        <w:tc>
          <w:tcPr>
            <w:tcW w:type="dxa" w:w="4320"/>
          </w:tcPr>
          <w:p>
            <w:r>
              <w:rPr>
                <w:rFonts w:ascii="Arial" w:hAnsi="Arial"/>
                <w:sz w:val="22"/>
              </w:rPr>
              <w:t>2023 store count</w:t>
            </w:r>
          </w:p>
        </w:tc>
        <w:tc>
          <w:tcPr>
            <w:tcW w:type="dxa" w:w="4320"/>
          </w:tcPr>
          <w:p>
            <w:r>
              <w:rPr>
                <w:rFonts w:ascii="Arial" w:hAnsi="Arial"/>
                <w:sz w:val="22"/>
              </w:rPr>
              <w:t>528 stores, 19 countries</w:t>
            </w:r>
          </w:p>
        </w:tc>
      </w:tr>
      <w:tr>
        <w:tc>
          <w:tcPr>
            <w:tcW w:type="dxa" w:w="4320"/>
          </w:tcPr>
          <w:p>
            <w:r>
              <w:rPr>
                <w:rFonts w:ascii="Arial" w:hAnsi="Arial"/>
                <w:sz w:val="22"/>
              </w:rPr>
              <w:t>Spain retail sales (peak vs 2023)</w:t>
            </w:r>
          </w:p>
        </w:tc>
        <w:tc>
          <w:tcPr>
            <w:tcW w:type="dxa" w:w="4320"/>
          </w:tcPr>
          <w:p>
            <w:r>
              <w:rPr>
                <w:rFonts w:ascii="Arial" w:hAnsi="Arial"/>
                <w:sz w:val="22"/>
              </w:rPr>
              <w:t>€22M → €14M</w:t>
            </w:r>
          </w:p>
        </w:tc>
      </w:tr>
      <w:tr>
        <w:tc>
          <w:tcPr>
            <w:tcW w:type="dxa" w:w="4320"/>
          </w:tcPr>
          <w:p>
            <w:r>
              <w:rPr>
                <w:rFonts w:ascii="Arial" w:hAnsi="Arial"/>
                <w:sz w:val="22"/>
              </w:rPr>
              <w:t>EBITDA (2023)</w:t>
            </w:r>
          </w:p>
        </w:tc>
        <w:tc>
          <w:tcPr>
            <w:tcW w:type="dxa" w:w="4320"/>
          </w:tcPr>
          <w:p>
            <w:r>
              <w:rPr>
                <w:rFonts w:ascii="Arial" w:hAnsi="Arial"/>
                <w:sz w:val="22"/>
              </w:rPr>
              <w:t>€2M (target: €8M by 2028)</w:t>
            </w:r>
          </w:p>
        </w:tc>
      </w:tr>
      <w:tr>
        <w:tc>
          <w:tcPr>
            <w:tcW w:type="dxa" w:w="4320"/>
          </w:tcPr>
          <w:p>
            <w:r>
              <w:rPr>
                <w:rFonts w:ascii="Arial" w:hAnsi="Arial"/>
                <w:sz w:val="22"/>
              </w:rPr>
              <w:t>Dupe segment (2018 vs 2023)</w:t>
            </w:r>
          </w:p>
        </w:tc>
        <w:tc>
          <w:tcPr>
            <w:tcW w:type="dxa" w:w="4320"/>
          </w:tcPr>
          <w:p>
            <w:r>
              <w:rPr>
                <w:rFonts w:ascii="Arial" w:hAnsi="Arial"/>
                <w:sz w:val="22"/>
              </w:rPr>
              <w:t>37% → 13%</w:t>
            </w:r>
          </w:p>
        </w:tc>
      </w:tr>
      <w:tr>
        <w:tc>
          <w:tcPr>
            <w:tcW w:type="dxa" w:w="4320"/>
          </w:tcPr>
          <w:p>
            <w:r>
              <w:rPr>
                <w:rFonts w:ascii="Arial" w:hAnsi="Arial"/>
                <w:sz w:val="22"/>
              </w:rPr>
              <w:t>Brand awareness (non-customers)</w:t>
            </w:r>
          </w:p>
        </w:tc>
        <w:tc>
          <w:tcPr>
            <w:tcW w:type="dxa" w:w="4320"/>
          </w:tcPr>
          <w:p>
            <w:r>
              <w:rPr>
                <w:rFonts w:ascii="Arial" w:hAnsi="Arial"/>
                <w:sz w:val="22"/>
              </w:rPr>
              <w:t>30% aided</w:t>
            </w:r>
          </w:p>
        </w:tc>
      </w:tr>
      <w:tr>
        <w:tc>
          <w:tcPr>
            <w:tcW w:type="dxa" w:w="4320"/>
          </w:tcPr>
          <w:p>
            <w:r>
              <w:rPr>
                <w:rFonts w:ascii="Arial" w:hAnsi="Arial"/>
                <w:sz w:val="22"/>
              </w:rPr>
              <w:t>Net Promoter Score</w:t>
            </w:r>
          </w:p>
        </w:tc>
        <w:tc>
          <w:tcPr>
            <w:tcW w:type="dxa" w:w="4320"/>
          </w:tcPr>
          <w:p>
            <w:r>
              <w:rPr>
                <w:rFonts w:ascii="Arial" w:hAnsi="Arial"/>
                <w:sz w:val="22"/>
              </w:rPr>
              <w:t>17 (vs Druni 56, Primor 46)</w:t>
            </w:r>
          </w:p>
        </w:tc>
      </w:tr>
      <w:tr>
        <w:tc>
          <w:tcPr>
            <w:tcW w:type="dxa" w:w="4320"/>
          </w:tcPr>
          <w:p>
            <w:r>
              <w:rPr>
                <w:rFonts w:ascii="Arial" w:hAnsi="Arial"/>
                <w:sz w:val="22"/>
              </w:rPr>
              <w:t>E-commerce share</w:t>
            </w:r>
          </w:p>
        </w:tc>
        <w:tc>
          <w:tcPr>
            <w:tcW w:type="dxa" w:w="4320"/>
          </w:tcPr>
          <w:p>
            <w:r>
              <w:rPr>
                <w:rFonts w:ascii="Arial" w:hAnsi="Arial"/>
                <w:sz w:val="22"/>
              </w:rPr>
              <w:t>1% (market average: 12%)</w:t>
            </w:r>
          </w:p>
        </w:tc>
      </w:tr>
    </w:tbl>
    <w:p/>
    <w:p>
      <w:r>
        <w:rPr>
          <w:rFonts w:ascii="Arial" w:hAnsi="Arial"/>
          <w:b/>
          <w:sz w:val="32"/>
        </w:rPr>
        <w:t>Appendix B: Buyer Persona Visual</w:t>
      </w:r>
    </w:p>
    <w:p/>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uyer-persona-visual.png"/>
                    <pic:cNvPicPr/>
                  </pic:nvPicPr>
                  <pic:blipFill>
                    <a:blip r:embed="rId9"/>
                    <a:stretch>
                      <a:fillRect/>
                    </a:stretch>
                  </pic:blipFill>
                  <pic:spPr>
                    <a:xfrm>
                      <a:off x="0" y="0"/>
                      <a:ext cx="4572000" cy="685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cs="Arial"/>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