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40" w:after="320"/>
        <w:jc w:val="center"/>
      </w:pPr>
      <w:r>
        <w:rPr>
          <w:rFonts w:ascii="Arial" w:hAnsi="Arial" w:eastAsia="Microsoft YaHei"/>
          <w:b/>
          <w:color w:val="000000"/>
          <w:sz w:val="48"/>
        </w:rPr>
        <w:t>MDReader 产品受众与功能扩展开发建议</w:t>
      </w:r>
    </w:p>
    <w:p>
      <w:pPr>
        <w:spacing w:after="680"/>
        <w:jc w:val="center"/>
      </w:pPr>
      <w:r>
        <w:rPr>
          <w:rFonts w:ascii="Arial" w:hAnsi="Arial" w:eastAsia="Microsoft YaHei"/>
          <w:color w:val="000000"/>
          <w:sz w:val="24"/>
        </w:rPr>
        <w:t>面向本地优先 Markdown 阅读与轻编辑工具的产品和架构规划</w:t>
      </w:r>
    </w:p>
    <w:p>
      <w:pPr>
        <w:pStyle w:val="Heading2"/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文档目的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本文基于当前 0.2.3 代码、使用说明、架构说明和迭代记录，判断 MDReader 最适合服务的人群，提炼其核心期待，并给出可落地的功能扩展与架构演进方案。重点回答两个决策：是否应预留 AI 接口，以及是否应建设类似 VS Code 的插件体系。</w:t>
      </w:r>
    </w:p>
    <w:p>
      <w:pPr>
        <w:pStyle w:val="Heading2"/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核心结论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MDReader 应继续定位为 Windows 上轻量、本地优先、文件格式开放的 Markdown 阅读与轻编辑工具，而不是立即扩张为完整 IDE 或重型知识库。AI 值得接入，但应以可替换的能力接口、明确授权的上下文和可审阅差异为边界；插件化同样值得做，但第一阶段只需要稳定的命令、渲染器、导入导出和侧栏扩展点，不宜复制 VS Code 的完整扩展宿主。</w:t>
      </w:r>
    </w:p>
    <w:p>
      <w:pPr>
        <w:keepLines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版本 1.0  ·  2026 年 9 月 25 日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一 现状判断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当前产品已经形成清晰的基础闭环：用户可以临时打开磁盘上的 Markdown 原文件，也可以把文件夹纳入项目管理；应用提供阅读排版、源码编辑、多文档标签、搜索、主题、导入导出和本地 HTTP 接口。正文始终是普通文件，不绑定专有数据库，且主要功能可在无网络环境运行。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这一组合的差异点不是“功能最多”，而是打开快、文件归用户所有、没有迁移成本、阅读体验优于普通文本编辑器，同时保留直接修改的能力。当前两套界面分别由 tkinter 和网页视图实现，业务逻辑、HTTP 传输和部分导出仍集中在 core.py；完整 CommonMark、安全消毒、冲突检测、独立安装包等仍在建设中。</w:t>
      </w:r>
    </w:p>
    <w:p>
      <w:pPr>
        <w:pStyle w:val="Heading2"/>
        <w:keepNext/>
        <w:spacing w:before="160" w:after="100"/>
      </w:pPr>
      <w:r>
        <w:rPr>
          <w:rFonts w:ascii="Arial" w:hAnsi="Arial" w:eastAsia="Microsoft YaHei"/>
          <w:b/>
          <w:color w:val="000000"/>
          <w:sz w:val="25"/>
        </w:rPr>
        <w:t>当前价值与边界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/>
          <w:cantSplit/>
        </w:trPr>
        <w:tc>
          <w:tcPr>
            <w:tcW w:type="dxa" w:w="170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0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已经具备</w:t>
            </w:r>
          </w:p>
        </w:tc>
        <w:tc>
          <w:tcPr>
            <w:tcW w:type="dxa" w:w="408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当前约束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文件与数据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普通 Markdown 文件、本地工作区、原子写入、临时查看</w:t>
            </w:r>
          </w:p>
        </w:tc>
        <w:tc>
          <w:tcPr>
            <w:tcW w:type="dxa" w:w="408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缺少外部修改冲突检测、草稿恢复和版本历史</w:t>
            </w:r>
          </w:p>
        </w:tc>
      </w:tr>
      <w:tr>
        <w:trPr>
          <w:cantSplit/>
        </w:trPr>
        <w:tc>
          <w:tcPr>
            <w:tcW w:type="dxa" w:w="170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阅读体验</w:t>
            </w:r>
          </w:p>
        </w:tc>
        <w:tc>
          <w:tcPr>
            <w:tcW w:type="dxa" w:w="340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标题、列表、表格、代码、引用、图片、三种主题</w:t>
            </w:r>
          </w:p>
        </w:tc>
        <w:tc>
          <w:tcPr>
            <w:tcW w:type="dxa" w:w="408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双渲染路径存在一致性成本，Markdown 保真仍有限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组织能力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项目、目录树、导入、移动、重命名、全文遍历搜索</w:t>
            </w:r>
          </w:p>
        </w:tc>
        <w:tc>
          <w:tcPr>
            <w:tcW w:type="dxa" w:w="408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缺少标签、反向链接、收藏、跨项目索引和大库性能基线</w:t>
            </w:r>
          </w:p>
        </w:tc>
      </w:tr>
      <w:tr>
        <w:trPr>
          <w:cantSplit/>
        </w:trPr>
        <w:tc>
          <w:tcPr>
            <w:tcW w:type="dxa" w:w="170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编辑能力</w:t>
            </w:r>
          </w:p>
        </w:tc>
        <w:tc>
          <w:tcPr>
            <w:tcW w:type="dxa" w:w="340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源码编辑、多标签、保存确认、中文输入法适配</w:t>
            </w:r>
          </w:p>
        </w:tc>
        <w:tc>
          <w:tcPr>
            <w:tcW w:type="dxa" w:w="408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不是所见即所得编辑器，缺少查找替换、格式辅助和冲突合并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分发与集成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本地 HTTP API、浏览器视图、HTML 导出</w:t>
            </w:r>
          </w:p>
        </w:tc>
        <w:tc>
          <w:tcPr>
            <w:tcW w:type="dxa" w:w="408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尚非独立 EXE，API 未版本化，也没有正式扩展协议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二 目标受众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建议按“使用任务”而不是职业标签定义用户。最核心的需求是快速打开和阅读 Markdown，同时不愿把文件导入封闭系统。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  <w:cantSplit/>
        </w:trPr>
        <w:tc>
          <w:tcPr>
            <w:tcW w:type="dxa" w:w="85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04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用户群体</w:t>
            </w:r>
          </w:p>
        </w:tc>
        <w:tc>
          <w:tcPr>
            <w:tcW w:type="dxa" w:w="306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典型任务</w:t>
            </w:r>
          </w:p>
        </w:tc>
        <w:tc>
          <w:tcPr>
            <w:tcW w:type="dxa" w:w="323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关键期待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P0</w:t>
            </w:r>
          </w:p>
        </w:tc>
        <w:tc>
          <w:tcPr>
            <w:tcW w:type="dxa" w:w="204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开发者与技术人员</w:t>
            </w:r>
          </w:p>
        </w:tc>
        <w:tc>
          <w:tcPr>
            <w:tcW w:type="dxa" w:w="30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查看 README、日志说明、接口文档、项目笔记并做小改动</w:t>
            </w:r>
          </w:p>
        </w:tc>
        <w:tc>
          <w:tcPr>
            <w:tcW w:type="dxa" w:w="32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启动快、代码块清晰、目录导航、搜索可靠、与 Git 和外部编辑器共存</w:t>
            </w:r>
          </w:p>
        </w:tc>
      </w:tr>
      <w:tr>
        <w:trPr>
          <w:cantSplit/>
        </w:trPr>
        <w:tc>
          <w:tcPr>
            <w:tcW w:type="dxa" w:w="85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P0</w:t>
            </w:r>
          </w:p>
        </w:tc>
        <w:tc>
          <w:tcPr>
            <w:tcW w:type="dxa" w:w="204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技术写作者与文档维护者</w:t>
            </w:r>
          </w:p>
        </w:tc>
        <w:tc>
          <w:tcPr>
            <w:tcW w:type="dxa" w:w="306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管理多篇文档、检查结构、导出可分享版本</w:t>
            </w:r>
          </w:p>
        </w:tc>
        <w:tc>
          <w:tcPr>
            <w:tcW w:type="dxa" w:w="323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预览保真、链接与图片可靠、批量检查、导出稳定、无专有格式锁定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P1</w:t>
            </w:r>
          </w:p>
        </w:tc>
        <w:tc>
          <w:tcPr>
            <w:tcW w:type="dxa" w:w="204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学生与研究型用户</w:t>
            </w:r>
          </w:p>
        </w:tc>
        <w:tc>
          <w:tcPr>
            <w:tcW w:type="dxa" w:w="30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整理课程笔记、论文摘录、阅读长文和公式</w:t>
            </w:r>
          </w:p>
        </w:tc>
        <w:tc>
          <w:tcPr>
            <w:tcW w:type="dxa" w:w="32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长文导航、标签、附件、公式、引用管理、低干扰阅读</w:t>
            </w:r>
          </w:p>
        </w:tc>
      </w:tr>
      <w:tr>
        <w:trPr>
          <w:cantSplit/>
        </w:trPr>
        <w:tc>
          <w:tcPr>
            <w:tcW w:type="dxa" w:w="85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P1</w:t>
            </w:r>
          </w:p>
        </w:tc>
        <w:tc>
          <w:tcPr>
            <w:tcW w:type="dxa" w:w="204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重视隐私的个人知识管理用户</w:t>
            </w:r>
          </w:p>
        </w:tc>
        <w:tc>
          <w:tcPr>
            <w:tcW w:type="dxa" w:w="306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维护本地日记、知识库、工作记录</w:t>
            </w:r>
          </w:p>
        </w:tc>
        <w:tc>
          <w:tcPr>
            <w:tcW w:type="dxa" w:w="323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离线可用、数据不上传、备份简单、跨工具兼容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P2</w:t>
            </w:r>
          </w:p>
        </w:tc>
        <w:tc>
          <w:tcPr>
            <w:tcW w:type="dxa" w:w="204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偶尔收到 Markdown 的普通 Windows 用户</w:t>
            </w:r>
          </w:p>
        </w:tc>
        <w:tc>
          <w:tcPr>
            <w:tcW w:type="dxa" w:w="30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双击或拖入后阅读、打印、转 PDF</w:t>
            </w:r>
          </w:p>
        </w:tc>
        <w:tc>
          <w:tcPr>
            <w:tcW w:type="dxa" w:w="32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安装简单、默认打开方式、无需理解工作区或 Git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Microsoft YaHei"/>
          <w:b/>
          <w:color w:val="000000"/>
          <w:sz w:val="25"/>
        </w:rPr>
        <w:t>不应优先争夺的用户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需要完整代码调试、终端、语言服务器和工程构建链的专业 IDE 用户。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依赖实时多人协作、云端权限和企业审批流的团队文档用户。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需要数据库视图、复杂看板和高度结构化属性系统的重型知识库用户。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需要复杂排版、审校和出版流程的专业桌面出版用户。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这些需求可通过与外部工具互操作或插件补充，但不应让核心产品变重。</w:t>
      </w: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三 用户需求与期待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  <w:cantSplit/>
        </w:trPr>
        <w:tc>
          <w:tcPr>
            <w:tcW w:type="dxa" w:w="136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需求层级</w:t>
            </w:r>
          </w:p>
        </w:tc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用户期待</w:t>
            </w:r>
          </w:p>
        </w:tc>
        <w:tc>
          <w:tcPr>
            <w:tcW w:type="dxa" w:w="317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产品含义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建议指标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基础可靠性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文件不丢、保存可预测、外部修改不被覆盖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先于所有新功能建设冲突检测、恢复和备份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破坏性丢失事故为零；冲突必须显式提示</w:t>
            </w:r>
          </w:p>
        </w:tc>
      </w:tr>
      <w:tr>
        <w:trPr>
          <w:cantSplit/>
        </w:trPr>
        <w:tc>
          <w:tcPr>
            <w:tcW w:type="dxa" w:w="136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低摩擦进入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双击、拖入即可读，不要求建库</w:t>
            </w:r>
          </w:p>
        </w:tc>
        <w:tc>
          <w:tcPr>
            <w:tcW w:type="dxa" w:w="317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保留临时查看作为第一入口</w:t>
            </w:r>
          </w:p>
        </w:tc>
        <w:tc>
          <w:tcPr>
            <w:tcW w:type="dxa" w:w="238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冷启动和首屏时间可测；三步内开始阅读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阅读效率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长文能快速定位，格式清晰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目录、锚点、阅读位置、页内搜索优先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千标题文档仍可流畅导航</w:t>
            </w:r>
          </w:p>
        </w:tc>
      </w:tr>
      <w:tr>
        <w:trPr>
          <w:cantSplit/>
        </w:trPr>
        <w:tc>
          <w:tcPr>
            <w:tcW w:type="dxa" w:w="136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开放与可迁移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文件能被任意编辑器和 Git 使用</w:t>
            </w:r>
          </w:p>
        </w:tc>
        <w:tc>
          <w:tcPr>
            <w:tcW w:type="dxa" w:w="317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元数据保持旁路，避免改写正文</w:t>
            </w:r>
          </w:p>
        </w:tc>
        <w:tc>
          <w:tcPr>
            <w:tcW w:type="dxa" w:w="238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移除应用后文档仍完整可读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隐私与控制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默认不联网，不暗中上传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AI 和云能力必须显式启用并显示发送范围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网络请求可审计，可一键关闭</w:t>
            </w:r>
          </w:p>
        </w:tc>
      </w:tr>
      <w:tr>
        <w:trPr>
          <w:cantSplit/>
        </w:trPr>
        <w:tc>
          <w:tcPr>
            <w:tcW w:type="dxa" w:w="136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可扩展性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个人工作流可定制，但核心保持简单</w:t>
            </w:r>
          </w:p>
        </w:tc>
        <w:tc>
          <w:tcPr>
            <w:tcW w:type="dxa" w:w="317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提供有限而稳定的扩展点</w:t>
            </w:r>
          </w:p>
        </w:tc>
        <w:tc>
          <w:tcPr>
            <w:tcW w:type="dxa" w:w="238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扩展故障不影响正文保存和启动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四 产品方向建议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建议采用“阅读器内核加可选能力”的产品结构。核心安装保持轻量、离线、稳定；高级编辑、AI、图表和外部服务连接通过独立模块提供。</w:t>
      </w:r>
    </w:p>
    <w:p>
      <w:pPr>
        <w:pStyle w:val="Heading2"/>
        <w:keepNext/>
        <w:spacing w:before="160" w:after="100"/>
      </w:pPr>
      <w:r>
        <w:rPr>
          <w:rFonts w:ascii="Arial" w:hAnsi="Arial" w:eastAsia="Microsoft YaHei"/>
          <w:b/>
          <w:color w:val="000000"/>
          <w:sz w:val="25"/>
        </w:rPr>
        <w:t>方向一 先完成可信阅读与编辑底座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外部修改检测：打开时记录内容哈希和修改时间，保存前复核；出现冲突时提供比较、另存和覆盖选择。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恢复机制：对未保存标签做定时草稿快照，正常保存后清理；崩溃重启时只恢复必要状态。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统一 Markdown 行为：建立渲染契约和测试语料，使 tkinter、网页和导出对标题、列表、表格、链接、图片、代码块结果一致。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安全渲染：禁止危险链接协议，消毒原始 HTML，对本地文件读取和回环 API 增加来源与令牌保护。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导航能力：文档目录、页内搜索、标题跳转、阅读位置记忆、最近与收藏。</w:t>
      </w:r>
    </w:p>
    <w:p>
      <w:pPr>
        <w:pStyle w:val="Heading2"/>
        <w:keepNext/>
        <w:spacing w:before="160" w:after="100"/>
      </w:pPr>
      <w:r>
        <w:rPr>
          <w:rFonts w:ascii="Arial" w:hAnsi="Arial" w:eastAsia="Microsoft YaHei"/>
          <w:b/>
          <w:color w:val="000000"/>
          <w:sz w:val="25"/>
        </w:rPr>
        <w:t>方向二 补齐高频内容能力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  <w:cantSplit/>
        </w:trPr>
        <w:tc>
          <w:tcPr>
            <w:tcW w:type="dxa" w:w="147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价值</w:t>
            </w:r>
          </w:p>
        </w:tc>
        <w:tc>
          <w:tcPr>
            <w:tcW w:type="dxa" w:w="36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实现建议</w:t>
            </w:r>
          </w:p>
        </w:tc>
        <w:tc>
          <w:tcPr>
            <w:tcW w:type="dxa" w:w="96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数学公式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学生、研究和技术文档高频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网页用 KaTeX 或 MathJax；原生视图先以安全图片或简化文本降级</w:t>
            </w:r>
          </w:p>
        </w:tc>
        <w:tc>
          <w:tcPr>
            <w:tcW w:type="dxa" w:w="9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Mermaid 图表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技术文档价值高</w:t>
            </w:r>
          </w:p>
        </w:tc>
        <w:tc>
          <w:tcPr>
            <w:tcW w:type="dxa" w:w="362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只在隔离网页渲染；导出时生成静态 SVG，默认不执行任意脚本</w:t>
            </w:r>
          </w:p>
        </w:tc>
        <w:tc>
          <w:tcPr>
            <w:tcW w:type="dxa" w:w="96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附件与图片管理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降低相对路径错误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拖入后复制到可配置 assets 目录并插入相对链接，支持重命名联动</w:t>
            </w:r>
          </w:p>
        </w:tc>
        <w:tc>
          <w:tcPr>
            <w:tcW w:type="dxa" w:w="9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格式辅助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减少记忆 Markdown 语法</w:t>
            </w:r>
          </w:p>
        </w:tc>
        <w:tc>
          <w:tcPr>
            <w:tcW w:type="dxa" w:w="362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提供标题、链接、图片、表格、待办等轻量命令，不转向重型富文本</w:t>
            </w:r>
          </w:p>
        </w:tc>
        <w:tc>
          <w:tcPr>
            <w:tcW w:type="dxa" w:w="96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结构与质量检查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服务文档维护者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检查断链、缺图、重复标题、空链接、Front Matter 规范</w:t>
            </w:r>
          </w:p>
        </w:tc>
        <w:tc>
          <w:tcPr>
            <w:tcW w:type="dxa" w:w="9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标签和跨项目索引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支持中型资料库</w:t>
            </w:r>
          </w:p>
        </w:tc>
        <w:tc>
          <w:tcPr>
            <w:tcW w:type="dxa" w:w="362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先用 SQLite FTS 建旁路索引，不改变文件格式</w:t>
            </w:r>
          </w:p>
        </w:tc>
        <w:tc>
          <w:tcPr>
            <w:tcW w:type="dxa" w:w="96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P2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Microsoft YaHei"/>
          <w:b/>
          <w:color w:val="000000"/>
          <w:sz w:val="25"/>
        </w:rPr>
        <w:t>方向三 做好互操作而非复制所有工具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提供“用默认编辑器或 VS Code 打开”和“在资源管理器中定位”，保留 MDReader 的阅读器定位。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完善命令行：打开文件或文件夹、跳转标题、导出、检查断链、返回明确退出码。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支持可选的 Git 状态展示和历史查看，但提交、分支和冲突解决优先交给成熟 Git 工具。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增加打印和 PDF、DOCX 等导出适配器；核心只定义导出任务与结果，不把格式逻辑继续堆入 core.py。</w:t>
      </w: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五 AI 接口决策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建议预留并实现 AI 能力接口，但不要把任何模型服务写死在核心业务中，也不要默认把完整工作区交给模型。AI 在该产品中的合理定位是“对当前文档或明确选中范围执行可审阅操作”，而不是自动接管文件。</w:t>
      </w:r>
    </w:p>
    <w:p>
      <w:pPr>
        <w:pStyle w:val="Heading2"/>
        <w:keepNext/>
        <w:spacing w:before="160" w:after="100"/>
      </w:pPr>
      <w:r>
        <w:rPr>
          <w:rFonts w:ascii="Arial" w:hAnsi="Arial" w:eastAsia="Microsoft YaHei"/>
          <w:b/>
          <w:color w:val="000000"/>
          <w:sz w:val="25"/>
        </w:rPr>
        <w:t>首批适合的 AI 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  <w:cantSplit/>
        </w:trPr>
        <w:tc>
          <w:tcPr>
            <w:tcW w:type="dxa" w:w="175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输入范围</w:t>
            </w:r>
          </w:p>
        </w:tc>
        <w:tc>
          <w:tcPr>
            <w:tcW w:type="dxa" w:w="272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输出形态</w:t>
            </w:r>
          </w:p>
        </w:tc>
        <w:tc>
          <w:tcPr>
            <w:tcW w:type="dxa" w:w="215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风险控制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摘要与提纲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当前文档或选中段落</w:t>
            </w:r>
          </w:p>
        </w:tc>
        <w:tc>
          <w:tcPr>
            <w:tcW w:type="dxa" w:w="272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新面板中的文本，不自动写回</w:t>
            </w:r>
          </w:p>
        </w:tc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显示实际发送范围</w:t>
            </w:r>
          </w:p>
        </w:tc>
      </w:tr>
      <w:tr>
        <w:trPr>
          <w:cantSplit/>
        </w:trPr>
        <w:tc>
          <w:tcPr>
            <w:tcW w:type="dxa" w:w="175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改写与校对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明确选区</w:t>
            </w:r>
          </w:p>
        </w:tc>
        <w:tc>
          <w:tcPr>
            <w:tcW w:type="dxa" w:w="272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统一差异视图，逐项接受</w:t>
            </w:r>
          </w:p>
        </w:tc>
        <w:tc>
          <w:tcPr>
            <w:tcW w:type="dxa" w:w="215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禁止静默覆盖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标题与标签建议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文档正文及已有元数据</w:t>
            </w:r>
          </w:p>
        </w:tc>
        <w:tc>
          <w:tcPr>
            <w:tcW w:type="dxa" w:w="272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候选项</w:t>
            </w:r>
          </w:p>
        </w:tc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用户确认后写入</w:t>
            </w:r>
          </w:p>
        </w:tc>
      </w:tr>
      <w:tr>
        <w:trPr>
          <w:cantSplit/>
        </w:trPr>
        <w:tc>
          <w:tcPr>
            <w:tcW w:type="dxa" w:w="175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问答与定位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用户选择的文件集合</w:t>
            </w:r>
          </w:p>
        </w:tc>
        <w:tc>
          <w:tcPr>
            <w:tcW w:type="dxa" w:w="272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答案加文件与标题引用</w:t>
            </w:r>
          </w:p>
        </w:tc>
        <w:tc>
          <w:tcPr>
            <w:tcW w:type="dxa" w:w="215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不允许隐式扫描全盘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Markdown 修复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当前文档</w:t>
            </w:r>
          </w:p>
        </w:tc>
        <w:tc>
          <w:tcPr>
            <w:tcW w:type="dxa" w:w="272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结构化补丁</w:t>
            </w:r>
          </w:p>
        </w:tc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应用前验证补丁边界与文档版本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Microsoft YaHei"/>
          <w:b/>
          <w:color w:val="000000"/>
          <w:sz w:val="25"/>
        </w:rPr>
        <w:t>建议的 AI 架构</w:t>
      </w:r>
    </w:p>
    <w:p>
      <w:pPr>
        <w:spacing w:after="60" w:line="288" w:lineRule="auto"/>
        <w:ind w:left="425" w:hanging="425"/>
      </w:pPr>
      <w:r>
        <w:rPr>
          <w:rFonts w:ascii="Arial" w:hAnsi="Arial" w:eastAsia="Microsoft YaHei"/>
          <w:color w:val="000000"/>
          <w:sz w:val="21"/>
        </w:rPr>
        <w:t xml:space="preserve">1.  </w:t>
      </w:r>
      <w:r>
        <w:rPr>
          <w:rFonts w:ascii="Arial" w:hAnsi="Arial" w:eastAsia="Microsoft YaHei"/>
          <w:color w:val="000000"/>
          <w:sz w:val="21"/>
        </w:rPr>
        <w:t>定义 AIProvider 接口，统一流式生成、取消、模型列表、能力声明和错误类型；云端、本地模型及企业代理分别实现适配器。</w:t>
      </w:r>
    </w:p>
    <w:p>
      <w:pPr>
        <w:spacing w:after="60" w:line="288" w:lineRule="auto"/>
        <w:ind w:left="425" w:hanging="425"/>
      </w:pPr>
      <w:r>
        <w:rPr>
          <w:rFonts w:ascii="Arial" w:hAnsi="Arial" w:eastAsia="Microsoft YaHei"/>
          <w:color w:val="000000"/>
          <w:sz w:val="21"/>
        </w:rPr>
        <w:t xml:space="preserve">2.  </w:t>
      </w:r>
      <w:r>
        <w:rPr>
          <w:rFonts w:ascii="Arial" w:hAnsi="Arial" w:eastAsia="Microsoft YaHei"/>
          <w:color w:val="000000"/>
          <w:sz w:val="21"/>
        </w:rPr>
        <w:t>定义 AIAction 接口，描述命令名称、所需上下文、提示模板版本、输出类型和是否可修改文件。提供摘要、改写、问答等内置动作。</w:t>
      </w:r>
    </w:p>
    <w:p>
      <w:pPr>
        <w:spacing w:after="60" w:line="288" w:lineRule="auto"/>
        <w:ind w:left="425" w:hanging="425"/>
      </w:pPr>
      <w:r>
        <w:rPr>
          <w:rFonts w:ascii="Arial" w:hAnsi="Arial" w:eastAsia="Microsoft YaHei"/>
          <w:color w:val="000000"/>
          <w:sz w:val="21"/>
        </w:rPr>
        <w:t xml:space="preserve">3.  </w:t>
      </w:r>
      <w:r>
        <w:rPr>
          <w:rFonts w:ascii="Arial" w:hAnsi="Arial" w:eastAsia="Microsoft YaHei"/>
          <w:color w:val="000000"/>
          <w:sz w:val="21"/>
        </w:rPr>
        <w:t>建立 ContextBroker，只能从当前文档、选区或用户勾选文件组装上下文；记录字符量、文件清单和敏感信息提示。</w:t>
      </w:r>
    </w:p>
    <w:p>
      <w:pPr>
        <w:spacing w:after="60" w:line="288" w:lineRule="auto"/>
        <w:ind w:left="425" w:hanging="425"/>
      </w:pPr>
      <w:r>
        <w:rPr>
          <w:rFonts w:ascii="Arial" w:hAnsi="Arial" w:eastAsia="Microsoft YaHei"/>
          <w:color w:val="000000"/>
          <w:sz w:val="21"/>
        </w:rPr>
        <w:t xml:space="preserve">4.  </w:t>
      </w:r>
      <w:r>
        <w:rPr>
          <w:rFonts w:ascii="Arial" w:hAnsi="Arial" w:eastAsia="Microsoft YaHei"/>
          <w:color w:val="000000"/>
          <w:sz w:val="21"/>
        </w:rPr>
        <w:t>建立 PatchService，将模型结果限制为文本替换或统一差异；应用前核对原文哈希，冲突时重新生成或人工合并。</w:t>
      </w:r>
    </w:p>
    <w:p>
      <w:pPr>
        <w:spacing w:after="60" w:line="288" w:lineRule="auto"/>
        <w:ind w:left="425" w:hanging="425"/>
      </w:pPr>
      <w:r>
        <w:rPr>
          <w:rFonts w:ascii="Arial" w:hAnsi="Arial" w:eastAsia="Microsoft YaHei"/>
          <w:color w:val="000000"/>
          <w:sz w:val="21"/>
        </w:rPr>
        <w:t xml:space="preserve">5.  </w:t>
      </w:r>
      <w:r>
        <w:rPr>
          <w:rFonts w:ascii="Arial" w:hAnsi="Arial" w:eastAsia="Microsoft YaHei"/>
          <w:color w:val="000000"/>
          <w:sz w:val="21"/>
        </w:rPr>
        <w:t>把密钥交给 Windows Credential Manager 或操作系统密钥库，不写入 workspace.json、日志或导出文件。</w:t>
      </w:r>
    </w:p>
    <w:p>
      <w:pPr>
        <w:spacing w:after="60" w:line="288" w:lineRule="auto"/>
        <w:ind w:left="425" w:hanging="425"/>
      </w:pPr>
      <w:r>
        <w:rPr>
          <w:rFonts w:ascii="Arial" w:hAnsi="Arial" w:eastAsia="Microsoft YaHei"/>
          <w:color w:val="000000"/>
          <w:sz w:val="21"/>
        </w:rPr>
        <w:t xml:space="preserve">6.  </w:t>
      </w:r>
      <w:r>
        <w:rPr>
          <w:rFonts w:ascii="Arial" w:hAnsi="Arial" w:eastAsia="Microsoft YaHei"/>
          <w:color w:val="000000"/>
          <w:sz w:val="21"/>
        </w:rPr>
        <w:t>为所有网络请求提供总开关、提供商域名展示、超时和取消；本地模型适配器不应被迫经过互联网。</w:t>
      </w:r>
    </w:p>
    <w:p>
      <w:pPr>
        <w:pStyle w:val="Heading2"/>
        <w:keepNext/>
        <w:spacing w:before="160" w:after="100"/>
      </w:pPr>
      <w:r>
        <w:rPr>
          <w:rFonts w:ascii="Arial" w:hAnsi="Arial" w:eastAsia="Microsoft YaHei"/>
          <w:b/>
          <w:color w:val="000000"/>
          <w:sz w:val="25"/>
        </w:rPr>
        <w:t>建议的最小接口草案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以下是概念接口，不代表立即冻结 Python 类型。建议先以内部协议验证，再在插件 SDK 中版本化。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/>
          <w:cantSplit/>
        </w:trPr>
        <w:tc>
          <w:tcPr>
            <w:tcW w:type="dxa" w:w="175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51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关键方法或对象</w:t>
            </w:r>
          </w:p>
        </w:tc>
        <w:tc>
          <w:tcPr>
            <w:tcW w:type="dxa" w:w="36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AIProvider</w:t>
            </w:r>
          </w:p>
        </w:tc>
        <w:tc>
          <w:tcPr>
            <w:tcW w:type="dxa" w:w="351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list_models  generate  cancel  health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屏蔽 OpenAI 兼容接口、本地推理服务和企业代理差异</w:t>
            </w:r>
          </w:p>
        </w:tc>
      </w:tr>
      <w:tr>
        <w:trPr>
          <w:cantSplit/>
        </w:trPr>
        <w:tc>
          <w:tcPr>
            <w:tcW w:type="dxa" w:w="175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AIRequest</w:t>
            </w:r>
          </w:p>
        </w:tc>
        <w:tc>
          <w:tcPr>
            <w:tcW w:type="dxa" w:w="351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model  messages  context_manifest  limits</w:t>
            </w:r>
          </w:p>
        </w:tc>
        <w:tc>
          <w:tcPr>
            <w:tcW w:type="dxa" w:w="362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描述用户请求、发送文件清单、令牌或字符预算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AIAction</w:t>
            </w:r>
          </w:p>
        </w:tc>
        <w:tc>
          <w:tcPr>
            <w:tcW w:type="dxa" w:w="351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id  title  collect_context  parse_result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把产品命令与模型调用解耦</w:t>
            </w:r>
          </w:p>
        </w:tc>
      </w:tr>
      <w:tr>
        <w:trPr>
          <w:cantSplit/>
        </w:trPr>
        <w:tc>
          <w:tcPr>
            <w:tcW w:type="dxa" w:w="175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ContextBroker</w:t>
            </w:r>
          </w:p>
        </w:tc>
        <w:tc>
          <w:tcPr>
            <w:tcW w:type="dxa" w:w="351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selection  current_doc  chosen_docs</w:t>
            </w:r>
          </w:p>
        </w:tc>
        <w:tc>
          <w:tcPr>
            <w:tcW w:type="dxa" w:w="362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实施最小上下文和授权边界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PatchService</w:t>
            </w:r>
          </w:p>
        </w:tc>
        <w:tc>
          <w:tcPr>
            <w:tcW w:type="dxa" w:w="351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preview  validate  apply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提供差异预览、版本检查和原子应用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Microsoft YaHei"/>
          <w:b/>
          <w:color w:val="000000"/>
          <w:sz w:val="25"/>
        </w:rPr>
        <w:t>AI 功能的验收门槛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未启用 AI 时，软件无模型依赖、无联网请求，核心功能完整可用。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每次调用前可看见将发送的文件与范围；跨文件调用必须显式选择。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模型输出不直接保存，所有修改都经过差异预览和原子写入。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请求可取消，失败不丢失输入，日志默认不记录正文和密钥。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提供商适配器有契约测试，至少覆盖一个本地端点和一个兼容云端端点。</w:t>
      </w: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六 插件化决策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建议插件化，但不建议一开始复制 VS Code 的扩展体系。VS Code 插件平台覆盖编辑器、语言服务器、调试、终端和工作台，复杂度远超 MDReader 的产品边界。MDReader 更适合先建设“小型、声明式、可隔离”的扩展平台。</w:t>
      </w:r>
    </w:p>
    <w:p>
      <w:pPr>
        <w:pStyle w:val="Heading2"/>
        <w:keepNext/>
        <w:spacing w:before="160" w:after="100"/>
      </w:pPr>
      <w:r>
        <w:rPr>
          <w:rFonts w:ascii="Arial" w:hAnsi="Arial" w:eastAsia="Microsoft YaHei"/>
          <w:b/>
          <w:color w:val="000000"/>
          <w:sz w:val="25"/>
        </w:rPr>
        <w:t>第一阶段扩展点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  <w:cantSplit/>
        </w:trPr>
        <w:tc>
          <w:tcPr>
            <w:tcW w:type="dxa" w:w="147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扩展点</w:t>
            </w:r>
          </w:p>
        </w:tc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8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接口边界</w:t>
            </w:r>
          </w:p>
        </w:tc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首批示例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命令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在命令面板和菜单执行操作</w:t>
            </w:r>
          </w:p>
        </w:tc>
        <w:tc>
          <w:tcPr>
            <w:tcW w:type="dxa" w:w="32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接收当前上下文，返回消息、文档补丁或导出结果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格式化表格、插入日期、生成目录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渲染扩展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处理特定代码块或行内语法</w:t>
            </w:r>
          </w:p>
        </w:tc>
        <w:tc>
          <w:tcPr>
            <w:tcW w:type="dxa" w:w="328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输入受限 AST 节点，输出消毒后的 HTML 或静态资源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Mermaid、公式、提示块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导入导出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增加格式转换</w:t>
            </w:r>
          </w:p>
        </w:tc>
        <w:tc>
          <w:tcPr>
            <w:tcW w:type="dxa" w:w="32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输入文档模型，输出新文件；无默认覆盖权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PDF、DOCX、静态站点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侧栏视图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提供辅助信息</w:t>
            </w:r>
          </w:p>
        </w:tc>
        <w:tc>
          <w:tcPr>
            <w:tcW w:type="dxa" w:w="328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声明式列表或受限网页面板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大纲、标签、链接检查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AI 提供商与动作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接入模型或增加工作流</w:t>
            </w:r>
          </w:p>
        </w:tc>
        <w:tc>
          <w:tcPr>
            <w:tcW w:type="dxa" w:w="32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复用统一权限、上下文和补丁机制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本地模型、企业网关、术语校对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Microsoft YaHei"/>
          <w:b/>
          <w:color w:val="000000"/>
          <w:sz w:val="25"/>
        </w:rPr>
        <w:t>插件包与权限模型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插件包建议包含 manifest.json、入口模块和可选静态资源。清单声明最低 SDK 版本、贡献点、权限和设置结构。安装前显示权限，升级增加权限时重新确认。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/>
          <w:cantSplit/>
        </w:trPr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510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读取当前文档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按次授权</w:t>
            </w:r>
          </w:p>
        </w:tc>
        <w:tc>
          <w:tcPr>
            <w:tcW w:type="dxa" w:w="51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不等于读取项目</w:t>
            </w:r>
          </w:p>
        </w:tc>
      </w:tr>
      <w:tr>
        <w:trPr>
          <w:cantSplit/>
        </w:trPr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读取项目文档</w:t>
            </w:r>
          </w:p>
        </w:tc>
        <w:tc>
          <w:tcPr>
            <w:tcW w:type="dxa" w:w="192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显式授权</w:t>
            </w:r>
          </w:p>
        </w:tc>
        <w:tc>
          <w:tcPr>
            <w:tcW w:type="dxa" w:w="510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限制在当前项目根目录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修改文档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差异确认</w:t>
            </w:r>
          </w:p>
        </w:tc>
        <w:tc>
          <w:tcPr>
            <w:tcW w:type="dxa" w:w="51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只通过宿主 PatchService</w:t>
            </w:r>
          </w:p>
        </w:tc>
      </w:tr>
      <w:tr>
        <w:trPr>
          <w:cantSplit/>
        </w:trPr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网络访问</w:t>
            </w:r>
          </w:p>
        </w:tc>
        <w:tc>
          <w:tcPr>
            <w:tcW w:type="dxa" w:w="192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关闭</w:t>
            </w:r>
          </w:p>
        </w:tc>
        <w:tc>
          <w:tcPr>
            <w:tcW w:type="dxa" w:w="510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清单声明域名，可由用户撤销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创建导出文件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选择目标</w:t>
            </w:r>
          </w:p>
        </w:tc>
        <w:tc>
          <w:tcPr>
            <w:tcW w:type="dxa" w:w="51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不能覆盖未授权路径</w:t>
            </w:r>
          </w:p>
        </w:tc>
      </w:tr>
      <w:tr>
        <w:trPr>
          <w:cantSplit/>
        </w:trPr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启动外部进程</w:t>
            </w:r>
          </w:p>
        </w:tc>
        <w:tc>
          <w:tcPr>
            <w:tcW w:type="dxa" w:w="192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禁止</w:t>
            </w:r>
          </w:p>
        </w:tc>
        <w:tc>
          <w:tcPr>
            <w:tcW w:type="dxa" w:w="510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早期版本不开放</w:t>
            </w:r>
          </w:p>
        </w:tc>
      </w:tr>
    </w:tbl>
    <w:p>
      <w:pPr>
        <w:spacing w:after="20"/>
      </w:pP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执行层建议把第三方 Python 插件放入独立子进程，通过 JSON RPC 与宿主通信；核心保存、路径校验和权限判断仍由宿主完成。渲染扩展不得向主页面注入任意脚本。应用启动时应支持安全模式，跳过所有第三方插件，并记录导致崩溃的插件。</w:t>
      </w: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七 推荐的目标架构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当前 core.py 同时承担工作区、临时文档、导出和 HTTP 路由。扩展前应先拆分稳定内核，否则 AI 和插件会进一步放大耦合。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/>
          <w:cantSplit/>
        </w:trPr>
        <w:tc>
          <w:tcPr>
            <w:tcW w:type="dxa" w:w="153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40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建议模块</w:t>
            </w:r>
          </w:p>
        </w:tc>
        <w:tc>
          <w:tcPr>
            <w:tcW w:type="dxa" w:w="436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界面层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native_ui  web_ui</w:t>
            </w:r>
          </w:p>
        </w:tc>
        <w:tc>
          <w:tcPr>
            <w:tcW w:type="dxa" w:w="436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展示、输入、差异确认；不直接写文件</w:t>
            </w:r>
          </w:p>
        </w:tc>
      </w:tr>
      <w:tr>
        <w:trPr>
          <w:cantSplit/>
        </w:trPr>
        <w:tc>
          <w:tcPr>
            <w:tcW w:type="dxa" w:w="153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应用服务层</w:t>
            </w:r>
          </w:p>
        </w:tc>
        <w:tc>
          <w:tcPr>
            <w:tcW w:type="dxa" w:w="340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document_service  project_service  search_service</w:t>
            </w:r>
          </w:p>
        </w:tc>
        <w:tc>
          <w:tcPr>
            <w:tcW w:type="dxa" w:w="436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统一用例与事务边界，供两套界面调用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文档内核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document_model  markdown_engine  link_resolver</w:t>
            </w:r>
          </w:p>
        </w:tc>
        <w:tc>
          <w:tcPr>
            <w:tcW w:type="dxa" w:w="436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解析、渲染契约、链接与元数据模型</w:t>
            </w:r>
          </w:p>
        </w:tc>
      </w:tr>
      <w:tr>
        <w:trPr>
          <w:cantSplit/>
        </w:trPr>
        <w:tc>
          <w:tcPr>
            <w:tcW w:type="dxa" w:w="153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基础设施</w:t>
            </w:r>
          </w:p>
        </w:tc>
        <w:tc>
          <w:tcPr>
            <w:tcW w:type="dxa" w:w="340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storage  index  settings  credentials</w:t>
            </w:r>
          </w:p>
        </w:tc>
        <w:tc>
          <w:tcPr>
            <w:tcW w:type="dxa" w:w="436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原子写入、冲突检测、索引、配置和密钥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扩展平台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command_registry  plugin_host  permission_service</w:t>
            </w:r>
          </w:p>
        </w:tc>
        <w:tc>
          <w:tcPr>
            <w:tcW w:type="dxa" w:w="436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发现、注册、隔离、授权和生命周期</w:t>
            </w:r>
          </w:p>
        </w:tc>
      </w:tr>
      <w:tr>
        <w:trPr>
          <w:cantSplit/>
        </w:trPr>
        <w:tc>
          <w:tcPr>
            <w:tcW w:type="dxa" w:w="153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AI 平台</w:t>
            </w:r>
          </w:p>
        </w:tc>
        <w:tc>
          <w:tcPr>
            <w:tcW w:type="dxa" w:w="340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ai_provider  context_broker  patch_service</w:t>
            </w:r>
          </w:p>
        </w:tc>
        <w:tc>
          <w:tcPr>
            <w:tcW w:type="dxa" w:w="436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提供商适配、上下文最小化和安全修改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适配层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http_api  cli  exports</w:t>
            </w:r>
          </w:p>
        </w:tc>
        <w:tc>
          <w:tcPr>
            <w:tcW w:type="dxa" w:w="436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版本化 API、命令行和格式输出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Microsoft YaHei"/>
          <w:b/>
          <w:color w:val="000000"/>
          <w:sz w:val="25"/>
        </w:rPr>
        <w:t>关键架构原则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单一写入口：界面、AI 和插件都通过 DocumentService 与 PatchService 修改内容。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能力声明：界面根据后端能力决定按钮，不假设某渲染器或插件一定存在。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接口版本化：本地 HTTP 路由采用 /api/v1；内部事件和插件 SDK 分别维护版本。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核心无插件依赖：禁用或卸载任何扩展后，应用仍可打开、编辑和保存 Markdown。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双界面共享应用服务和行为契约，不在两套界面重复实现业务规则。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可观测但不泄露：记录操作类型、耗时和错误码，不默认记录正文、路径明文和 AI 内容。</w:t>
      </w: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八 分阶段路线图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  <w:cantSplit/>
        </w:trPr>
        <w:tc>
          <w:tcPr>
            <w:tcW w:type="dxa" w:w="153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81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68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主要交付</w:t>
            </w:r>
          </w:p>
        </w:tc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阶段 0 可信底座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消除数据与安全风险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冲突检测、草稿恢复、HTML 消毒、协议限制、API 来源保护、渲染契约测试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保存冲突和崩溃恢复通过自动化与真实场景验收</w:t>
            </w:r>
          </w:p>
        </w:tc>
      </w:tr>
      <w:tr>
        <w:trPr>
          <w:cantSplit/>
        </w:trPr>
        <w:tc>
          <w:tcPr>
            <w:tcW w:type="dxa" w:w="153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阶段 1 阅读效率</w:t>
            </w:r>
          </w:p>
        </w:tc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成为可靠的日常阅读器</w:t>
            </w:r>
          </w:p>
        </w:tc>
        <w:tc>
          <w:tcPr>
            <w:tcW w:type="dxa" w:w="368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文档目录、页内搜索、阅读位置、收藏、附件管理、公式与 Mermaid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长文和常用技术文档可稳定阅读与导出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阶段 2 内核拆分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为扩展做准备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应用服务、版本化 API、命令注册表、导出适配器、SQLite 可选索引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两套界面通过同一服务契约，core.py 不再承担全部职责</w:t>
            </w:r>
          </w:p>
        </w:tc>
      </w:tr>
      <w:tr>
        <w:trPr>
          <w:cantSplit/>
        </w:trPr>
        <w:tc>
          <w:tcPr>
            <w:tcW w:type="dxa" w:w="153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阶段 3 AI 试点</w:t>
            </w:r>
          </w:p>
        </w:tc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验证高价值且安全的辅助能力</w:t>
            </w:r>
          </w:p>
        </w:tc>
        <w:tc>
          <w:tcPr>
            <w:tcW w:type="dxa" w:w="368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AIProvider、ContextBroker、差异预览、摘要与选区改写、本地模型适配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默认离线、发送范围可见、修改可回退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阶段 4 插件预览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开放有限生态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插件清单、命令与导出扩展点、权限、隔离进程、安全模式、SDK 示例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插件故障不会阻止启动或损坏文档</w:t>
            </w:r>
          </w:p>
        </w:tc>
      </w:tr>
      <w:tr>
        <w:trPr>
          <w:cantSplit/>
        </w:trPr>
        <w:tc>
          <w:tcPr>
            <w:tcW w:type="dxa" w:w="153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阶段 5 生态扩展</w:t>
            </w:r>
          </w:p>
        </w:tc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根据真实需求扩大能力</w:t>
            </w:r>
          </w:p>
        </w:tc>
        <w:tc>
          <w:tcPr>
            <w:tcW w:type="dxa" w:w="368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渲染和侧栏扩展、签名或来源信任、兼容性与性能工具</w:t>
            </w:r>
          </w:p>
        </w:tc>
        <w:tc>
          <w:tcPr>
            <w:tcW w:type="dxa" w:w="22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7"/>
              </w:rPr>
              <w:t>由活跃插件和用户反馈决定，不按功能清单盲目扩张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九 优先级建议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260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136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用户价值</w:t>
            </w:r>
          </w:p>
        </w:tc>
        <w:tc>
          <w:tcPr>
            <w:tcW w:type="dxa" w:w="141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工程成本</w:t>
            </w:r>
          </w:p>
        </w:tc>
        <w:tc>
          <w:tcPr>
            <w:tcW w:type="dxa" w:w="124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60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冲突检测与草稿恢复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很高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中</w:t>
            </w:r>
          </w:p>
        </w:tc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低</w:t>
            </w:r>
          </w:p>
        </w:tc>
        <w:tc>
          <w:tcPr>
            <w:tcW w:type="dxa" w:w="2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立即做</w:t>
            </w:r>
          </w:p>
        </w:tc>
      </w:tr>
      <w:tr>
        <w:trPr>
          <w:cantSplit/>
        </w:trPr>
        <w:tc>
          <w:tcPr>
            <w:tcW w:type="dxa" w:w="260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目录与页内搜索</w:t>
            </w:r>
          </w:p>
        </w:tc>
        <w:tc>
          <w:tcPr>
            <w:tcW w:type="dxa" w:w="136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很高</w:t>
            </w:r>
          </w:p>
        </w:tc>
        <w:tc>
          <w:tcPr>
            <w:tcW w:type="dxa" w:w="141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中</w:t>
            </w:r>
          </w:p>
        </w:tc>
        <w:tc>
          <w:tcPr>
            <w:tcW w:type="dxa" w:w="124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低</w:t>
            </w:r>
          </w:p>
        </w:tc>
        <w:tc>
          <w:tcPr>
            <w:tcW w:type="dxa" w:w="260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立即做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HTML 消毒与 API 保护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很高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中</w:t>
            </w:r>
          </w:p>
        </w:tc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中</w:t>
            </w:r>
          </w:p>
        </w:tc>
        <w:tc>
          <w:tcPr>
            <w:tcW w:type="dxa" w:w="2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立即做</w:t>
            </w:r>
          </w:p>
        </w:tc>
      </w:tr>
      <w:tr>
        <w:trPr>
          <w:cantSplit/>
        </w:trPr>
        <w:tc>
          <w:tcPr>
            <w:tcW w:type="dxa" w:w="260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公式与 Mermaid</w:t>
            </w:r>
          </w:p>
        </w:tc>
        <w:tc>
          <w:tcPr>
            <w:tcW w:type="dxa" w:w="136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高</w:t>
            </w:r>
          </w:p>
        </w:tc>
        <w:tc>
          <w:tcPr>
            <w:tcW w:type="dxa" w:w="141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中</w:t>
            </w:r>
          </w:p>
        </w:tc>
        <w:tc>
          <w:tcPr>
            <w:tcW w:type="dxa" w:w="124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中</w:t>
            </w:r>
          </w:p>
        </w:tc>
        <w:tc>
          <w:tcPr>
            <w:tcW w:type="dxa" w:w="260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底座稳定后做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AI 提供商抽象与差异应用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高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中高</w:t>
            </w:r>
          </w:p>
        </w:tc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高</w:t>
            </w:r>
          </w:p>
        </w:tc>
        <w:tc>
          <w:tcPr>
            <w:tcW w:type="dxa" w:w="2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先做接口和两个小场景</w:t>
            </w:r>
          </w:p>
        </w:tc>
      </w:tr>
      <w:tr>
        <w:trPr>
          <w:cantSplit/>
        </w:trPr>
        <w:tc>
          <w:tcPr>
            <w:tcW w:type="dxa" w:w="260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轻量插件 SDK</w:t>
            </w:r>
          </w:p>
        </w:tc>
        <w:tc>
          <w:tcPr>
            <w:tcW w:type="dxa" w:w="136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中高</w:t>
            </w:r>
          </w:p>
        </w:tc>
        <w:tc>
          <w:tcPr>
            <w:tcW w:type="dxa" w:w="141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高</w:t>
            </w:r>
          </w:p>
        </w:tc>
        <w:tc>
          <w:tcPr>
            <w:tcW w:type="dxa" w:w="124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高</w:t>
            </w:r>
          </w:p>
        </w:tc>
        <w:tc>
          <w:tcPr>
            <w:tcW w:type="dxa" w:w="260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内核拆分后做预览版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完整 VS Code 式插件平台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不确定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极高</w:t>
            </w:r>
          </w:p>
        </w:tc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极高</w:t>
            </w:r>
          </w:p>
        </w:tc>
        <w:tc>
          <w:tcPr>
            <w:tcW w:type="dxa" w:w="2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不建议</w:t>
            </w:r>
          </w:p>
        </w:tc>
      </w:tr>
      <w:tr>
        <w:trPr>
          <w:cantSplit/>
        </w:trPr>
        <w:tc>
          <w:tcPr>
            <w:tcW w:type="dxa" w:w="260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实时协作与云同步</w:t>
            </w:r>
          </w:p>
        </w:tc>
        <w:tc>
          <w:tcPr>
            <w:tcW w:type="dxa" w:w="136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特定用户高</w:t>
            </w:r>
          </w:p>
        </w:tc>
        <w:tc>
          <w:tcPr>
            <w:tcW w:type="dxa" w:w="141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极高</w:t>
            </w:r>
          </w:p>
        </w:tc>
        <w:tc>
          <w:tcPr>
            <w:tcW w:type="dxa" w:w="124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高</w:t>
            </w:r>
          </w:p>
        </w:tc>
        <w:tc>
          <w:tcPr>
            <w:tcW w:type="dxa" w:w="260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暂缓，优先文件夹同步兼容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十 产品指标与验证方式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可靠性：未保存内容恢复成功率、冲突提示覆盖率、保存失败后内容保留率。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性能：冷启动、打开 1 MB 文档、搜索一万篇小文档、切换标签和渲染长表格的耗时。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阅读效率：打开后首次定位目标标题的时间、目录和页内搜索使用率、阅读位置恢复准确率。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扩展稳定性：插件导致启动失败的比例、隔离退出恢复时间、SDK 兼容性测试通过率。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AI 可控性：调用前发送范围确认率、差异接受与拒绝比例、取消成功率、敏感内容误发送事件数。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用户研究建议从 8 至 12 名现有或潜在用户开始，覆盖开发者、文档维护者、学生和隐私敏感用户。用真实文件完成“拖入阅读、定位标题、修改保存、外部编辑后再次保存、导出分享”五个任务，记录障碍而不是只收集功能愿望。</w:t>
      </w: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十一 需要明确不做的事情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不在近期自研编程语言服务、调试器、终端和构建系统。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不为了 AI 改变默认离线原则，也不将完整工作区作为默认上下文。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不允许插件绕过路径边界、原子写入、差异确认和网络权限。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不同时维护多套彼此不兼容的 Markdown 方言；新增语法必须有解析、渲染和导出契约。</w:t>
      </w:r>
    </w:p>
    <w:p>
      <w:pPr>
        <w:pStyle w:val="ListBullet"/>
        <w:spacing w:after="60" w:line="288" w:lineRule="auto"/>
      </w:pPr>
      <w:r>
        <w:rPr>
          <w:rFonts w:ascii="Arial" w:hAnsi="Arial" w:eastAsia="Microsoft YaHei"/>
          <w:color w:val="000000"/>
          <w:sz w:val="21"/>
        </w:rPr>
        <w:t>不以专有数据库替代 Markdown 正文；索引、标签和状态保持可重建。</w:t>
      </w: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十二 建议的下一步开发包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建议下一轮不要直接实现 AI 聊天或插件市场，而是完成一个能为二者提供安全基础的开发包。</w:t>
      </w:r>
    </w:p>
    <w:p>
      <w:pPr>
        <w:spacing w:after="60" w:line="288" w:lineRule="auto"/>
        <w:ind w:left="425" w:hanging="425"/>
      </w:pPr>
      <w:r>
        <w:rPr>
          <w:rFonts w:ascii="Arial" w:hAnsi="Arial" w:eastAsia="Microsoft YaHei"/>
          <w:color w:val="000000"/>
          <w:sz w:val="21"/>
        </w:rPr>
        <w:t xml:space="preserve">1.  </w:t>
      </w:r>
      <w:r>
        <w:rPr>
          <w:rFonts w:ascii="Arial" w:hAnsi="Arial" w:eastAsia="Microsoft YaHei"/>
          <w:color w:val="000000"/>
          <w:sz w:val="21"/>
        </w:rPr>
        <w:t>新增 DocumentService，统一项目文档与临时文档的读取、版本标识、保存和冲突返回结构。</w:t>
      </w:r>
    </w:p>
    <w:p>
      <w:pPr>
        <w:spacing w:after="60" w:line="288" w:lineRule="auto"/>
        <w:ind w:left="425" w:hanging="425"/>
      </w:pPr>
      <w:r>
        <w:rPr>
          <w:rFonts w:ascii="Arial" w:hAnsi="Arial" w:eastAsia="Microsoft YaHei"/>
          <w:color w:val="000000"/>
          <w:sz w:val="21"/>
        </w:rPr>
        <w:t xml:space="preserve">2.  </w:t>
      </w:r>
      <w:r>
        <w:rPr>
          <w:rFonts w:ascii="Arial" w:hAnsi="Arial" w:eastAsia="Microsoft YaHei"/>
          <w:color w:val="000000"/>
          <w:sz w:val="21"/>
        </w:rPr>
        <w:t>新增 PatchService，支持基于原文哈希的文本替换、预览和原子提交，并让现有编辑器保存先走该服务。</w:t>
      </w:r>
    </w:p>
    <w:p>
      <w:pPr>
        <w:spacing w:after="60" w:line="288" w:lineRule="auto"/>
        <w:ind w:left="425" w:hanging="425"/>
      </w:pPr>
      <w:r>
        <w:rPr>
          <w:rFonts w:ascii="Arial" w:hAnsi="Arial" w:eastAsia="Microsoft YaHei"/>
          <w:color w:val="000000"/>
          <w:sz w:val="21"/>
        </w:rPr>
        <w:t xml:space="preserve">3.  </w:t>
      </w:r>
      <w:r>
        <w:rPr>
          <w:rFonts w:ascii="Arial" w:hAnsi="Arial" w:eastAsia="Microsoft YaHei"/>
          <w:color w:val="000000"/>
          <w:sz w:val="21"/>
        </w:rPr>
        <w:t>将 HTTP 路由迁移到 /api/v1，保留旧路由兼容层；为界面和未来扩展定义稳定错误码。</w:t>
      </w:r>
    </w:p>
    <w:p>
      <w:pPr>
        <w:spacing w:after="60" w:line="288" w:lineRule="auto"/>
        <w:ind w:left="425" w:hanging="425"/>
      </w:pPr>
      <w:r>
        <w:rPr>
          <w:rFonts w:ascii="Arial" w:hAnsi="Arial" w:eastAsia="Microsoft YaHei"/>
          <w:color w:val="000000"/>
          <w:sz w:val="21"/>
        </w:rPr>
        <w:t xml:space="preserve">4.  </w:t>
      </w:r>
      <w:r>
        <w:rPr>
          <w:rFonts w:ascii="Arial" w:hAnsi="Arial" w:eastAsia="Microsoft YaHei"/>
          <w:color w:val="000000"/>
          <w:sz w:val="21"/>
        </w:rPr>
        <w:t>建立 CommandRegistry，把保存、导出、打开外部编辑器等现有操作注册为命令，为菜单、快捷键和插件共用。</w:t>
      </w:r>
    </w:p>
    <w:p>
      <w:pPr>
        <w:spacing w:after="60" w:line="288" w:lineRule="auto"/>
        <w:ind w:left="425" w:hanging="425"/>
      </w:pPr>
      <w:r>
        <w:rPr>
          <w:rFonts w:ascii="Arial" w:hAnsi="Arial" w:eastAsia="Microsoft YaHei"/>
          <w:color w:val="000000"/>
          <w:sz w:val="21"/>
        </w:rPr>
        <w:t xml:space="preserve">5.  </w:t>
      </w:r>
      <w:r>
        <w:rPr>
          <w:rFonts w:ascii="Arial" w:hAnsi="Arial" w:eastAsia="Microsoft YaHei"/>
          <w:color w:val="000000"/>
          <w:sz w:val="21"/>
        </w:rPr>
        <w:t>完成 HTML 消毒、链接协议白名单和本地 API 请求令牌，再接入任何可执行渲染扩展。</w:t>
      </w:r>
    </w:p>
    <w:p>
      <w:pPr>
        <w:spacing w:after="60" w:line="288" w:lineRule="auto"/>
        <w:ind w:left="425" w:hanging="425"/>
      </w:pPr>
      <w:r>
        <w:rPr>
          <w:rFonts w:ascii="Arial" w:hAnsi="Arial" w:eastAsia="Microsoft YaHei"/>
          <w:color w:val="000000"/>
          <w:sz w:val="21"/>
        </w:rPr>
        <w:t xml:space="preserve">6.  </w:t>
      </w:r>
      <w:r>
        <w:rPr>
          <w:rFonts w:ascii="Arial" w:hAnsi="Arial" w:eastAsia="Microsoft YaHei"/>
          <w:color w:val="000000"/>
          <w:sz w:val="21"/>
        </w:rPr>
        <w:t>做一个 AI 摘要原型：只允许当前文档、只返回预览、同时支持假提供商和本地兼容端点，用它验证接口而非宣传完整 AI 产品。</w:t>
      </w: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决策摘要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/>
          <w:cantSplit/>
        </w:trPr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08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建议决策</w:t>
            </w:r>
          </w:p>
        </w:tc>
        <w:tc>
          <w:tcPr>
            <w:tcW w:type="dxa" w:w="340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软件主要服务谁</w:t>
            </w:r>
          </w:p>
        </w:tc>
        <w:tc>
          <w:tcPr>
            <w:tcW w:type="dxa" w:w="408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优先服务需要本地、快速、开放格式的 Markdown 阅读与轻编辑用户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与现有优势一致，避免与 IDE 和重型知识库正面竞争</w:t>
            </w:r>
          </w:p>
        </w:tc>
      </w:tr>
      <w:tr>
        <w:trPr>
          <w:cantSplit/>
        </w:trPr>
        <w:tc>
          <w:tcPr>
            <w:tcW w:type="dxa" w:w="192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是否接入 AI</w:t>
            </w:r>
          </w:p>
        </w:tc>
        <w:tc>
          <w:tcPr>
            <w:tcW w:type="dxa" w:w="408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是，但以可替换提供商、显式上下文、差异确认和默认离线为前提</w:t>
            </w:r>
          </w:p>
        </w:tc>
        <w:tc>
          <w:tcPr>
            <w:tcW w:type="dxa" w:w="340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AI 能提升阅读和编辑效率，但数据边界必须成为产品能力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是否插件化</w:t>
            </w:r>
          </w:p>
        </w:tc>
        <w:tc>
          <w:tcPr>
            <w:tcW w:type="dxa" w:w="408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是，先做有限贡献点和隔离宿主，不复制完整 VS Code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满足定制需求，同时控制兼容性、安全与维护成本</w:t>
            </w:r>
          </w:p>
        </w:tc>
      </w:tr>
      <w:tr>
        <w:trPr>
          <w:cantSplit/>
        </w:trPr>
        <w:tc>
          <w:tcPr>
            <w:tcW w:type="dxa" w:w="192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近期最重要的工作</w:t>
            </w:r>
          </w:p>
        </w:tc>
        <w:tc>
          <w:tcPr>
            <w:tcW w:type="dxa" w:w="408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可靠保存、安全渲染、导航和内核拆分</w:t>
            </w:r>
          </w:p>
        </w:tc>
        <w:tc>
          <w:tcPr>
            <w:tcW w:type="dxa" w:w="340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000000"/>
                <w:sz w:val="18"/>
              </w:rPr>
              <w:t>这些能力同时提升用户体验，并为 AI 与插件奠定基础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Microsoft YaHei"/>
          <w:b/>
          <w:color w:val="000000"/>
          <w:sz w:val="30"/>
        </w:rPr>
        <w:t>分析依据</w:t>
      </w:r>
    </w:p>
    <w:p>
      <w:pPr>
        <w:keepLines w:val="0"/>
        <w:spacing w:after="100" w:line="307" w:lineRule="auto"/>
      </w:pPr>
      <w:r>
        <w:rPr>
          <w:rFonts w:ascii="Arial" w:hAnsi="Arial" w:eastAsia="Microsoft YaHei"/>
          <w:color w:val="000000"/>
          <w:sz w:val="21"/>
        </w:rPr>
        <w:t>本建议基于仓库中的 README.md、build/README.md、docs/ARCHITECTURE.md、docs/ROADMAP.md、docs/DEVELOPMENT.md，以及 build/mdreader 和 build/webui 的当前实现。受众判断属于产品推断，尚未经过真实用户访谈和使用数据验证；因此路线图在进入阶段 3 前应以用户研究和性能基线校准。</w:t>
      </w:r>
    </w:p>
    <w:sectPr w:rsidR="00FC693F" w:rsidRPr="0006063C" w:rsidSect="00034616">
      <w:footerReference w:type="default" r:id="rId9"/>
      <w:pgSz w:w="12240" w:h="15840"/>
      <w:pgMar w:top="1191" w:right="1276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66666"/>
        <w:sz w:val="16"/>
      </w:rPr>
      <w:t xml:space="preserve">MDReader 产品与架构建议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