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AD3" w:rsidRPr="00575F2E" w:rsidRDefault="0015672D" w:rsidP="009C7D88">
      <w:pPr>
        <w:spacing w:line="480" w:lineRule="auto"/>
        <w:jc w:val="center"/>
        <w:rPr>
          <w:rFonts w:ascii="Times New Roman" w:hAnsi="Times New Roman" w:cs="Times New Roman"/>
          <w:b/>
          <w:sz w:val="24"/>
          <w:szCs w:val="24"/>
        </w:rPr>
      </w:pPr>
      <w:r w:rsidRPr="00575F2E">
        <w:rPr>
          <w:rFonts w:ascii="Times New Roman" w:hAnsi="Times New Roman" w:cs="Times New Roman"/>
          <w:b/>
          <w:sz w:val="24"/>
          <w:szCs w:val="24"/>
        </w:rPr>
        <w:t xml:space="preserve">Advanced Practice Registered Nurse </w:t>
      </w:r>
      <w:r w:rsidR="00472E74" w:rsidRPr="00575F2E">
        <w:rPr>
          <w:rFonts w:ascii="Times New Roman" w:hAnsi="Times New Roman" w:cs="Times New Roman"/>
          <w:b/>
          <w:sz w:val="24"/>
          <w:szCs w:val="24"/>
        </w:rPr>
        <w:t xml:space="preserve">Practice Autonomy, Prescribing Authority and </w:t>
      </w:r>
      <w:r w:rsidR="00562642" w:rsidRPr="00575F2E">
        <w:rPr>
          <w:rFonts w:ascii="Times New Roman" w:hAnsi="Times New Roman" w:cs="Times New Roman"/>
          <w:b/>
          <w:sz w:val="24"/>
          <w:szCs w:val="24"/>
        </w:rPr>
        <w:t xml:space="preserve">Board of Nursing </w:t>
      </w:r>
      <w:r w:rsidRPr="00575F2E">
        <w:rPr>
          <w:rFonts w:ascii="Times New Roman" w:hAnsi="Times New Roman" w:cs="Times New Roman"/>
          <w:b/>
          <w:sz w:val="24"/>
          <w:szCs w:val="24"/>
        </w:rPr>
        <w:t>Disciplinary Actions</w:t>
      </w:r>
    </w:p>
    <w:p w:rsidR="0015672D" w:rsidRPr="00575F2E" w:rsidRDefault="0015672D">
      <w:pPr>
        <w:rPr>
          <w:rFonts w:ascii="Times New Roman" w:hAnsi="Times New Roman" w:cs="Times New Roman"/>
          <w:b/>
          <w:sz w:val="24"/>
          <w:szCs w:val="24"/>
        </w:rPr>
      </w:pPr>
    </w:p>
    <w:p w:rsidR="00AE3780" w:rsidRPr="00575F2E" w:rsidRDefault="00575F2E" w:rsidP="00575F2E">
      <w:pPr>
        <w:jc w:val="center"/>
        <w:rPr>
          <w:rFonts w:ascii="Times New Roman" w:hAnsi="Times New Roman" w:cs="Times New Roman"/>
          <w:sz w:val="24"/>
          <w:szCs w:val="24"/>
        </w:rPr>
      </w:pPr>
      <w:r w:rsidRPr="00575F2E">
        <w:rPr>
          <w:rFonts w:ascii="Times New Roman" w:hAnsi="Times New Roman" w:cs="Times New Roman"/>
          <w:sz w:val="24"/>
          <w:szCs w:val="24"/>
        </w:rPr>
        <w:t>Jennifer K. Hayden, MSN, RN</w:t>
      </w:r>
      <w:r w:rsidRPr="00575F2E">
        <w:rPr>
          <w:rFonts w:ascii="Times New Roman" w:hAnsi="Times New Roman" w:cs="Times New Roman"/>
          <w:sz w:val="24"/>
          <w:szCs w:val="24"/>
        </w:rPr>
        <w:tab/>
      </w:r>
      <w:r w:rsidRPr="00575F2E">
        <w:rPr>
          <w:rFonts w:ascii="Times New Roman" w:hAnsi="Times New Roman" w:cs="Times New Roman"/>
          <w:sz w:val="24"/>
          <w:szCs w:val="24"/>
        </w:rPr>
        <w:tab/>
        <w:t>Jill S. Budden, PhD</w:t>
      </w:r>
    </w:p>
    <w:p w:rsidR="0015672D" w:rsidRDefault="0015672D"/>
    <w:p w:rsidR="0015672D" w:rsidRDefault="0015672D"/>
    <w:p w:rsidR="00176C35" w:rsidRDefault="00176C35" w:rsidP="00A67CA5">
      <w:pPr>
        <w:pStyle w:val="RatText"/>
        <w:tabs>
          <w:tab w:val="left" w:pos="0"/>
        </w:tabs>
        <w:spacing w:line="480" w:lineRule="auto"/>
        <w:ind w:left="0"/>
        <w:jc w:val="left"/>
        <w:rPr>
          <w:sz w:val="24"/>
          <w:szCs w:val="24"/>
        </w:rPr>
      </w:pPr>
      <w:r>
        <w:rPr>
          <w:sz w:val="24"/>
          <w:szCs w:val="24"/>
        </w:rPr>
        <w:tab/>
      </w:r>
      <w:r w:rsidR="009C7D88">
        <w:rPr>
          <w:sz w:val="24"/>
          <w:szCs w:val="24"/>
        </w:rPr>
        <w:tab/>
      </w:r>
      <w:r>
        <w:rPr>
          <w:sz w:val="24"/>
          <w:szCs w:val="24"/>
        </w:rPr>
        <w:t>APRNs have been providing safe, high-quality, cost-effective care for decades. R</w:t>
      </w:r>
      <w:r w:rsidRPr="00EE0F69">
        <w:rPr>
          <w:sz w:val="24"/>
          <w:szCs w:val="24"/>
        </w:rPr>
        <w:t xml:space="preserve">eviews of the </w:t>
      </w:r>
      <w:r>
        <w:rPr>
          <w:sz w:val="24"/>
          <w:szCs w:val="24"/>
        </w:rPr>
        <w:t xml:space="preserve">literature and </w:t>
      </w:r>
      <w:r w:rsidRPr="00EE0F69">
        <w:rPr>
          <w:sz w:val="24"/>
          <w:szCs w:val="24"/>
        </w:rPr>
        <w:t xml:space="preserve">medical malpractice claims data (Jordan, Kremer, </w:t>
      </w:r>
      <w:proofErr w:type="spellStart"/>
      <w:r w:rsidRPr="00EE0F69">
        <w:rPr>
          <w:sz w:val="24"/>
          <w:szCs w:val="24"/>
        </w:rPr>
        <w:t>Crawforth</w:t>
      </w:r>
      <w:proofErr w:type="spellEnd"/>
      <w:r w:rsidRPr="00EE0F69">
        <w:rPr>
          <w:sz w:val="24"/>
          <w:szCs w:val="24"/>
        </w:rPr>
        <w:t xml:space="preserve"> &amp; </w:t>
      </w:r>
      <w:proofErr w:type="spellStart"/>
      <w:r w:rsidRPr="00EE0F69">
        <w:rPr>
          <w:sz w:val="24"/>
          <w:szCs w:val="24"/>
        </w:rPr>
        <w:t>Shott</w:t>
      </w:r>
      <w:proofErr w:type="spellEnd"/>
      <w:r w:rsidRPr="00EE0F69">
        <w:rPr>
          <w:sz w:val="24"/>
          <w:szCs w:val="24"/>
        </w:rPr>
        <w:t>, 2001), governmental evaluations (United States Congress Office o</w:t>
      </w:r>
      <w:r>
        <w:rPr>
          <w:sz w:val="24"/>
          <w:szCs w:val="24"/>
        </w:rPr>
        <w:t xml:space="preserve">f Technology Assessment, 1981; </w:t>
      </w:r>
      <w:r w:rsidRPr="00EE0F69">
        <w:rPr>
          <w:sz w:val="24"/>
          <w:szCs w:val="24"/>
        </w:rPr>
        <w:t xml:space="preserve">United States Congress, Office of Technology Assessment, 1986), systematic reviews (Sox, </w:t>
      </w:r>
      <w:r>
        <w:rPr>
          <w:sz w:val="24"/>
          <w:szCs w:val="24"/>
        </w:rPr>
        <w:t xml:space="preserve">1979; Ventura, Feldman, &amp; Crosby, 1991; </w:t>
      </w:r>
      <w:proofErr w:type="spellStart"/>
      <w:r w:rsidRPr="00EE0F69">
        <w:rPr>
          <w:sz w:val="24"/>
          <w:szCs w:val="24"/>
        </w:rPr>
        <w:t>Horroc</w:t>
      </w:r>
      <w:r>
        <w:rPr>
          <w:sz w:val="24"/>
          <w:szCs w:val="24"/>
        </w:rPr>
        <w:t>ks</w:t>
      </w:r>
      <w:proofErr w:type="spellEnd"/>
      <w:r>
        <w:rPr>
          <w:sz w:val="24"/>
          <w:szCs w:val="24"/>
        </w:rPr>
        <w:t xml:space="preserve">, Anderson, &amp; Salisbury, 2002; </w:t>
      </w:r>
      <w:proofErr w:type="spellStart"/>
      <w:r>
        <w:rPr>
          <w:sz w:val="24"/>
          <w:szCs w:val="24"/>
        </w:rPr>
        <w:t>Laurant</w:t>
      </w:r>
      <w:proofErr w:type="spellEnd"/>
      <w:r>
        <w:rPr>
          <w:sz w:val="24"/>
          <w:szCs w:val="24"/>
        </w:rPr>
        <w:t xml:space="preserve"> et al., 2005; </w:t>
      </w:r>
      <w:proofErr w:type="spellStart"/>
      <w:r w:rsidRPr="00EE0F69">
        <w:rPr>
          <w:sz w:val="24"/>
          <w:szCs w:val="24"/>
        </w:rPr>
        <w:t>Hatem</w:t>
      </w:r>
      <w:proofErr w:type="spellEnd"/>
      <w:r w:rsidR="00073743">
        <w:rPr>
          <w:sz w:val="24"/>
          <w:szCs w:val="24"/>
        </w:rPr>
        <w:t xml:space="preserve"> et al., </w:t>
      </w:r>
      <w:r>
        <w:rPr>
          <w:sz w:val="24"/>
          <w:szCs w:val="24"/>
        </w:rPr>
        <w:t xml:space="preserve">2008; </w:t>
      </w:r>
      <w:r w:rsidRPr="00EE0F69">
        <w:rPr>
          <w:sz w:val="24"/>
          <w:szCs w:val="24"/>
        </w:rPr>
        <w:t>O’Grady, 2008</w:t>
      </w:r>
      <w:r>
        <w:rPr>
          <w:sz w:val="24"/>
          <w:szCs w:val="24"/>
        </w:rPr>
        <w:t xml:space="preserve">; </w:t>
      </w:r>
      <w:r w:rsidRPr="002576B5">
        <w:rPr>
          <w:sz w:val="24"/>
          <w:szCs w:val="24"/>
        </w:rPr>
        <w:t>Newhouse</w:t>
      </w:r>
      <w:r w:rsidR="002576B5" w:rsidRPr="002576B5">
        <w:rPr>
          <w:sz w:val="24"/>
          <w:szCs w:val="24"/>
        </w:rPr>
        <w:t xml:space="preserve"> </w:t>
      </w:r>
      <w:r w:rsidRPr="002576B5">
        <w:rPr>
          <w:sz w:val="24"/>
          <w:szCs w:val="24"/>
        </w:rPr>
        <w:t>et al.,</w:t>
      </w:r>
      <w:r>
        <w:rPr>
          <w:sz w:val="24"/>
          <w:szCs w:val="24"/>
        </w:rPr>
        <w:t xml:space="preserve"> 2011</w:t>
      </w:r>
      <w:r w:rsidRPr="00EE0F69">
        <w:rPr>
          <w:sz w:val="24"/>
          <w:szCs w:val="24"/>
        </w:rPr>
        <w:t>)</w:t>
      </w:r>
      <w:r>
        <w:rPr>
          <w:sz w:val="24"/>
          <w:szCs w:val="24"/>
        </w:rPr>
        <w:t>,</w:t>
      </w:r>
      <w:r w:rsidRPr="00EE0F69">
        <w:rPr>
          <w:sz w:val="24"/>
          <w:szCs w:val="24"/>
        </w:rPr>
        <w:t xml:space="preserve"> </w:t>
      </w:r>
      <w:r>
        <w:rPr>
          <w:sz w:val="24"/>
          <w:szCs w:val="24"/>
        </w:rPr>
        <w:t>research studies (</w:t>
      </w:r>
      <w:proofErr w:type="spellStart"/>
      <w:r>
        <w:rPr>
          <w:sz w:val="24"/>
          <w:szCs w:val="24"/>
        </w:rPr>
        <w:t>Mundinger</w:t>
      </w:r>
      <w:proofErr w:type="spellEnd"/>
      <w:r w:rsidR="002576B5">
        <w:rPr>
          <w:sz w:val="24"/>
          <w:szCs w:val="24"/>
        </w:rPr>
        <w:t xml:space="preserve"> et al., 2000</w:t>
      </w:r>
      <w:r>
        <w:rPr>
          <w:sz w:val="24"/>
          <w:szCs w:val="24"/>
        </w:rPr>
        <w:t xml:space="preserve">; </w:t>
      </w:r>
      <w:r w:rsidR="002576B5">
        <w:rPr>
          <w:sz w:val="24"/>
          <w:szCs w:val="24"/>
        </w:rPr>
        <w:t>Lenz et al.</w:t>
      </w:r>
      <w:r w:rsidRPr="00EE0F69">
        <w:rPr>
          <w:sz w:val="24"/>
          <w:szCs w:val="24"/>
        </w:rPr>
        <w:t>, 2004</w:t>
      </w:r>
      <w:r>
        <w:rPr>
          <w:sz w:val="24"/>
          <w:szCs w:val="24"/>
        </w:rPr>
        <w:t xml:space="preserve">; </w:t>
      </w:r>
      <w:proofErr w:type="spellStart"/>
      <w:r>
        <w:rPr>
          <w:sz w:val="24"/>
          <w:szCs w:val="24"/>
        </w:rPr>
        <w:t>Dulisse</w:t>
      </w:r>
      <w:proofErr w:type="spellEnd"/>
      <w:r>
        <w:rPr>
          <w:sz w:val="24"/>
          <w:szCs w:val="24"/>
        </w:rPr>
        <w:t xml:space="preserve"> &amp; Cromwell, 2010); </w:t>
      </w:r>
      <w:r w:rsidRPr="00EE0F69">
        <w:rPr>
          <w:sz w:val="24"/>
          <w:szCs w:val="24"/>
        </w:rPr>
        <w:t xml:space="preserve">and meta-analyses (Brown, &amp; Grimes, 1995), have been conducted to evaluate APRN practice. All </w:t>
      </w:r>
      <w:r>
        <w:rPr>
          <w:sz w:val="24"/>
          <w:szCs w:val="24"/>
        </w:rPr>
        <w:t>of these publications found</w:t>
      </w:r>
      <w:r w:rsidRPr="00EE0F69">
        <w:rPr>
          <w:sz w:val="24"/>
          <w:szCs w:val="24"/>
        </w:rPr>
        <w:t xml:space="preserve"> that the quality of care provided by APRNs is high</w:t>
      </w:r>
      <w:r>
        <w:rPr>
          <w:sz w:val="24"/>
          <w:szCs w:val="24"/>
        </w:rPr>
        <w:t xml:space="preserve">, and comparable to </w:t>
      </w:r>
      <w:r w:rsidRPr="00EE0F69">
        <w:rPr>
          <w:sz w:val="24"/>
          <w:szCs w:val="24"/>
        </w:rPr>
        <w:t>MDs.</w:t>
      </w:r>
    </w:p>
    <w:p w:rsidR="003C427D" w:rsidRPr="00575F2E" w:rsidRDefault="00176C35" w:rsidP="00575F2E">
      <w:pPr>
        <w:pStyle w:val="RatText"/>
        <w:tabs>
          <w:tab w:val="left" w:pos="0"/>
        </w:tabs>
        <w:spacing w:line="480" w:lineRule="auto"/>
        <w:ind w:left="0"/>
        <w:jc w:val="left"/>
        <w:rPr>
          <w:sz w:val="24"/>
          <w:szCs w:val="24"/>
        </w:rPr>
      </w:pPr>
      <w:r>
        <w:rPr>
          <w:sz w:val="24"/>
          <w:szCs w:val="24"/>
        </w:rPr>
        <w:tab/>
      </w:r>
      <w:r w:rsidR="009C7D88">
        <w:rPr>
          <w:sz w:val="24"/>
          <w:szCs w:val="24"/>
        </w:rPr>
        <w:tab/>
      </w:r>
      <w:r w:rsidR="002576B5" w:rsidRPr="00575F2E">
        <w:rPr>
          <w:sz w:val="24"/>
          <w:szCs w:val="24"/>
        </w:rPr>
        <w:t xml:space="preserve">APRN practice and prescribing is regulated by each state’s legislation, with considerable variability from state to state. </w:t>
      </w:r>
      <w:r w:rsidR="00AE3780" w:rsidRPr="00575F2E">
        <w:rPr>
          <w:sz w:val="24"/>
          <w:szCs w:val="24"/>
        </w:rPr>
        <w:t>Some states allow an APRN to practice and prescribe to the full extent of their education</w:t>
      </w:r>
      <w:r w:rsidR="002576B5" w:rsidRPr="00575F2E">
        <w:rPr>
          <w:sz w:val="24"/>
          <w:szCs w:val="24"/>
        </w:rPr>
        <w:t xml:space="preserve"> and training</w:t>
      </w:r>
      <w:r w:rsidR="00AE3780" w:rsidRPr="00575F2E">
        <w:rPr>
          <w:sz w:val="24"/>
          <w:szCs w:val="24"/>
        </w:rPr>
        <w:t xml:space="preserve">; other states limit the practice and/or prescribing ability of APRNs based on a document detailing the collaborative relationship between the APRN and a physician or podiatrist, </w:t>
      </w:r>
      <w:r w:rsidR="003C427D" w:rsidRPr="00575F2E">
        <w:rPr>
          <w:sz w:val="24"/>
          <w:szCs w:val="24"/>
        </w:rPr>
        <w:t xml:space="preserve">while </w:t>
      </w:r>
      <w:r w:rsidR="00AE3780" w:rsidRPr="00575F2E">
        <w:rPr>
          <w:sz w:val="24"/>
          <w:szCs w:val="24"/>
        </w:rPr>
        <w:t xml:space="preserve">other states </w:t>
      </w:r>
      <w:r w:rsidR="003C427D" w:rsidRPr="00575F2E">
        <w:rPr>
          <w:sz w:val="24"/>
          <w:szCs w:val="24"/>
        </w:rPr>
        <w:t>require APRNs practice or prescribe under the supervision of a physician or podiatrist.</w:t>
      </w:r>
    </w:p>
    <w:p w:rsidR="00565C83" w:rsidRPr="002E05E9" w:rsidRDefault="002576B5" w:rsidP="00565C83">
      <w:pPr>
        <w:spacing w:line="480" w:lineRule="auto"/>
        <w:ind w:firstLine="720"/>
        <w:rPr>
          <w:rFonts w:ascii="Times New Roman" w:hAnsi="Times New Roman" w:cs="Times New Roman"/>
          <w:sz w:val="24"/>
          <w:szCs w:val="24"/>
        </w:rPr>
      </w:pPr>
      <w:r w:rsidRPr="00575F2E">
        <w:rPr>
          <w:rFonts w:ascii="Times New Roman" w:hAnsi="Times New Roman" w:cs="Times New Roman"/>
          <w:sz w:val="24"/>
          <w:szCs w:val="24"/>
        </w:rPr>
        <w:t>The NC</w:t>
      </w:r>
      <w:r w:rsidR="000D1243">
        <w:rPr>
          <w:rFonts w:ascii="Times New Roman" w:hAnsi="Times New Roman" w:cs="Times New Roman"/>
          <w:sz w:val="24"/>
          <w:szCs w:val="24"/>
        </w:rPr>
        <w:t xml:space="preserve">SBN </w:t>
      </w:r>
      <w:r w:rsidRPr="00575F2E">
        <w:rPr>
          <w:rFonts w:ascii="Times New Roman" w:hAnsi="Times New Roman" w:cs="Times New Roman"/>
          <w:sz w:val="24"/>
          <w:szCs w:val="24"/>
        </w:rPr>
        <w:t xml:space="preserve">Campaign for </w:t>
      </w:r>
      <w:r w:rsidR="000D1243">
        <w:rPr>
          <w:rFonts w:ascii="Times New Roman" w:hAnsi="Times New Roman" w:cs="Times New Roman"/>
          <w:sz w:val="24"/>
          <w:szCs w:val="24"/>
        </w:rPr>
        <w:t xml:space="preserve">APRN </w:t>
      </w:r>
      <w:r w:rsidRPr="00575F2E">
        <w:rPr>
          <w:rFonts w:ascii="Times New Roman" w:hAnsi="Times New Roman" w:cs="Times New Roman"/>
          <w:sz w:val="24"/>
          <w:szCs w:val="24"/>
        </w:rPr>
        <w:t>Consensus</w:t>
      </w:r>
      <w:r w:rsidR="003C427D" w:rsidRPr="00575F2E">
        <w:rPr>
          <w:rFonts w:ascii="Times New Roman" w:hAnsi="Times New Roman" w:cs="Times New Roman"/>
          <w:sz w:val="24"/>
          <w:szCs w:val="24"/>
        </w:rPr>
        <w:t xml:space="preserve"> </w:t>
      </w:r>
      <w:r w:rsidRPr="00575F2E">
        <w:rPr>
          <w:rFonts w:ascii="Times New Roman" w:hAnsi="Times New Roman" w:cs="Times New Roman"/>
          <w:sz w:val="24"/>
          <w:szCs w:val="24"/>
        </w:rPr>
        <w:t>calls for removing barriers to APRN practice</w:t>
      </w:r>
      <w:r w:rsidR="00575F2E" w:rsidRPr="00575F2E">
        <w:rPr>
          <w:rFonts w:ascii="Times New Roman" w:hAnsi="Times New Roman" w:cs="Times New Roman"/>
          <w:sz w:val="24"/>
          <w:szCs w:val="24"/>
        </w:rPr>
        <w:t xml:space="preserve"> by revising legislation in those states that place restrictions on APRN practice or prescribing. </w:t>
      </w:r>
      <w:r w:rsidR="00575F2E">
        <w:rPr>
          <w:rFonts w:ascii="Times New Roman" w:hAnsi="Times New Roman" w:cs="Times New Roman"/>
          <w:sz w:val="24"/>
          <w:szCs w:val="24"/>
        </w:rPr>
        <w:t>Yet</w:t>
      </w:r>
      <w:r w:rsidR="00565C83" w:rsidRPr="002E05E9">
        <w:rPr>
          <w:rFonts w:ascii="Times New Roman" w:hAnsi="Times New Roman" w:cs="Times New Roman"/>
          <w:sz w:val="24"/>
          <w:szCs w:val="24"/>
        </w:rPr>
        <w:t xml:space="preserve">, despite </w:t>
      </w:r>
      <w:r w:rsidR="00575F2E">
        <w:rPr>
          <w:rFonts w:ascii="Times New Roman" w:hAnsi="Times New Roman" w:cs="Times New Roman"/>
          <w:sz w:val="24"/>
          <w:szCs w:val="24"/>
        </w:rPr>
        <w:t>these initiatives</w:t>
      </w:r>
      <w:r w:rsidR="00565C83">
        <w:rPr>
          <w:rFonts w:ascii="Times New Roman" w:hAnsi="Times New Roman" w:cs="Times New Roman"/>
          <w:sz w:val="24"/>
          <w:szCs w:val="24"/>
        </w:rPr>
        <w:t>, Boards of Nursing</w:t>
      </w:r>
      <w:r w:rsidR="00565C83" w:rsidRPr="002E05E9">
        <w:rPr>
          <w:rFonts w:ascii="Times New Roman" w:hAnsi="Times New Roman" w:cs="Times New Roman"/>
          <w:sz w:val="24"/>
          <w:szCs w:val="24"/>
        </w:rPr>
        <w:t xml:space="preserve"> and APRN groups continue to face strong opposition from physician groups who work to impose barriers to APRN autonomy by advocating for restricted practice and prescribing authority. To support legislative decision </w:t>
      </w:r>
      <w:r w:rsidR="00565C83" w:rsidRPr="002E05E9">
        <w:rPr>
          <w:rFonts w:ascii="Times New Roman" w:hAnsi="Times New Roman" w:cs="Times New Roman"/>
          <w:sz w:val="24"/>
          <w:szCs w:val="24"/>
        </w:rPr>
        <w:lastRenderedPageBreak/>
        <w:t>making, a direct comparison of APRNs working independently, those working collaboratively with physicians or with a collaborative agreement, and those working under physician supervision is needed. For this comparison, disciplinary action may be considered a proxy for safety—a lack of disciplinary actions or low levels of discipline is an indication of practitioner safety.</w:t>
      </w:r>
    </w:p>
    <w:p w:rsidR="009C7D88" w:rsidRPr="009C7D88" w:rsidRDefault="009C7D88" w:rsidP="009C7D88">
      <w:pPr>
        <w:spacing w:line="480" w:lineRule="auto"/>
        <w:rPr>
          <w:rFonts w:ascii="Times New Roman" w:hAnsi="Times New Roman" w:cs="Times New Roman"/>
          <w:b/>
          <w:sz w:val="24"/>
          <w:szCs w:val="24"/>
        </w:rPr>
      </w:pPr>
      <w:r w:rsidRPr="009C7D88">
        <w:rPr>
          <w:rFonts w:ascii="Times New Roman" w:hAnsi="Times New Roman" w:cs="Times New Roman"/>
          <w:b/>
          <w:sz w:val="24"/>
          <w:szCs w:val="24"/>
        </w:rPr>
        <w:t>Research Questions</w:t>
      </w:r>
    </w:p>
    <w:p w:rsidR="00565C83" w:rsidRPr="00EE0F69" w:rsidRDefault="00565C83" w:rsidP="009C7D8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the current study is to answer the following three research questions:</w:t>
      </w:r>
    </w:p>
    <w:p w:rsidR="00565C83" w:rsidRPr="00C53BF0" w:rsidRDefault="00565C83" w:rsidP="009C7D88">
      <w:pPr>
        <w:pStyle w:val="ListParagraph"/>
        <w:numPr>
          <w:ilvl w:val="0"/>
          <w:numId w:val="1"/>
        </w:numPr>
        <w:rPr>
          <w:rFonts w:ascii="Times New Roman" w:hAnsi="Times New Roman" w:cs="Times New Roman"/>
          <w:sz w:val="24"/>
          <w:szCs w:val="24"/>
        </w:rPr>
      </w:pPr>
      <w:r w:rsidRPr="00C53BF0">
        <w:rPr>
          <w:rFonts w:ascii="Times New Roman" w:hAnsi="Times New Roman" w:cs="Times New Roman"/>
          <w:sz w:val="24"/>
          <w:szCs w:val="24"/>
        </w:rPr>
        <w:t xml:space="preserve">Are there differences in the rate of disciplinary actions for APRNs who </w:t>
      </w:r>
      <w:r w:rsidRPr="00C53BF0">
        <w:rPr>
          <w:rFonts w:ascii="Times New Roman" w:hAnsi="Times New Roman" w:cs="Times New Roman"/>
          <w:i/>
          <w:sz w:val="24"/>
          <w:szCs w:val="24"/>
          <w:u w:val="single"/>
        </w:rPr>
        <w:t>practice</w:t>
      </w:r>
      <w:r w:rsidRPr="00C53BF0">
        <w:rPr>
          <w:rFonts w:ascii="Times New Roman" w:hAnsi="Times New Roman" w:cs="Times New Roman"/>
          <w:sz w:val="24"/>
          <w:szCs w:val="24"/>
        </w:rPr>
        <w:t xml:space="preserve"> independently, compared to those whose practice is supervised by a physician or collaborative with a physician?</w:t>
      </w:r>
    </w:p>
    <w:p w:rsidR="00565C83" w:rsidRPr="00C53BF0" w:rsidRDefault="00565C83" w:rsidP="009C7D88">
      <w:pPr>
        <w:pStyle w:val="ListParagraph"/>
        <w:ind w:hanging="360"/>
        <w:rPr>
          <w:rFonts w:ascii="Times New Roman" w:hAnsi="Times New Roman" w:cs="Times New Roman"/>
          <w:sz w:val="24"/>
          <w:szCs w:val="24"/>
        </w:rPr>
      </w:pPr>
    </w:p>
    <w:p w:rsidR="00565C83" w:rsidRPr="00C53BF0" w:rsidRDefault="00565C83" w:rsidP="009C7D88">
      <w:pPr>
        <w:pStyle w:val="ListParagraph"/>
        <w:numPr>
          <w:ilvl w:val="0"/>
          <w:numId w:val="1"/>
        </w:numPr>
        <w:rPr>
          <w:rFonts w:ascii="Times New Roman" w:hAnsi="Times New Roman" w:cs="Times New Roman"/>
          <w:sz w:val="24"/>
          <w:szCs w:val="24"/>
        </w:rPr>
      </w:pPr>
      <w:r w:rsidRPr="00C53BF0">
        <w:rPr>
          <w:rFonts w:ascii="Times New Roman" w:hAnsi="Times New Roman" w:cs="Times New Roman"/>
          <w:sz w:val="24"/>
          <w:szCs w:val="24"/>
        </w:rPr>
        <w:t xml:space="preserve">Are there differences in the rate of disciplinary actions for APRNs who </w:t>
      </w:r>
      <w:r w:rsidRPr="00C53BF0">
        <w:rPr>
          <w:rFonts w:ascii="Times New Roman" w:hAnsi="Times New Roman" w:cs="Times New Roman"/>
          <w:i/>
          <w:sz w:val="24"/>
          <w:szCs w:val="24"/>
          <w:u w:val="single"/>
        </w:rPr>
        <w:t>prescribe</w:t>
      </w:r>
      <w:r w:rsidRPr="00C53BF0">
        <w:rPr>
          <w:rFonts w:ascii="Times New Roman" w:hAnsi="Times New Roman" w:cs="Times New Roman"/>
          <w:sz w:val="24"/>
          <w:szCs w:val="24"/>
        </w:rPr>
        <w:t xml:space="preserve"> independently, compared to those whose prescribing authority requires supervision by a physician or collaboration with a physician?</w:t>
      </w:r>
    </w:p>
    <w:p w:rsidR="00565C83" w:rsidRPr="00C53BF0" w:rsidRDefault="00565C83" w:rsidP="009C7D88">
      <w:pPr>
        <w:ind w:left="720" w:hanging="360"/>
        <w:rPr>
          <w:rFonts w:ascii="Times New Roman" w:hAnsi="Times New Roman" w:cs="Times New Roman"/>
          <w:sz w:val="24"/>
          <w:szCs w:val="24"/>
        </w:rPr>
      </w:pPr>
    </w:p>
    <w:p w:rsidR="00AE3780" w:rsidRPr="00575F2E" w:rsidRDefault="00565C83" w:rsidP="009C7D88">
      <w:pPr>
        <w:pStyle w:val="ListParagraph"/>
        <w:numPr>
          <w:ilvl w:val="0"/>
          <w:numId w:val="1"/>
        </w:numPr>
        <w:rPr>
          <w:rFonts w:ascii="Times New Roman" w:hAnsi="Times New Roman" w:cs="Times New Roman"/>
          <w:sz w:val="24"/>
          <w:szCs w:val="24"/>
        </w:rPr>
      </w:pPr>
      <w:r w:rsidRPr="00C53BF0">
        <w:rPr>
          <w:rFonts w:ascii="Times New Roman" w:hAnsi="Times New Roman" w:cs="Times New Roman"/>
          <w:sz w:val="24"/>
          <w:szCs w:val="24"/>
        </w:rPr>
        <w:t>How do APRN discipline rates compare to physician rates of reported discipline?</w:t>
      </w:r>
    </w:p>
    <w:p w:rsidR="00AE3780" w:rsidRDefault="00AE3780"/>
    <w:p w:rsidR="0015672D" w:rsidRPr="00575F2E" w:rsidRDefault="0015672D" w:rsidP="009C7D88">
      <w:pPr>
        <w:jc w:val="center"/>
        <w:rPr>
          <w:rFonts w:ascii="Times New Roman" w:hAnsi="Times New Roman" w:cs="Times New Roman"/>
          <w:b/>
          <w:sz w:val="24"/>
          <w:szCs w:val="24"/>
        </w:rPr>
      </w:pPr>
      <w:r w:rsidRPr="00575F2E">
        <w:rPr>
          <w:rFonts w:ascii="Times New Roman" w:hAnsi="Times New Roman" w:cs="Times New Roman"/>
          <w:b/>
          <w:sz w:val="24"/>
          <w:szCs w:val="24"/>
        </w:rPr>
        <w:t>Method</w:t>
      </w:r>
    </w:p>
    <w:p w:rsidR="0015672D" w:rsidRDefault="0015672D"/>
    <w:p w:rsidR="00EE4C4B" w:rsidRDefault="004C148B" w:rsidP="00EE4C4B">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first two research questions, a</w:t>
      </w:r>
      <w:r w:rsidR="00EE4C4B" w:rsidRPr="00EE0F69">
        <w:rPr>
          <w:rFonts w:ascii="Times New Roman" w:hAnsi="Times New Roman" w:cs="Times New Roman"/>
          <w:sz w:val="24"/>
          <w:szCs w:val="24"/>
        </w:rPr>
        <w:t xml:space="preserve"> retrospective design</w:t>
      </w:r>
      <w:r w:rsidR="00EE4C4B">
        <w:rPr>
          <w:rFonts w:ascii="Times New Roman" w:hAnsi="Times New Roman" w:cs="Times New Roman"/>
          <w:sz w:val="24"/>
          <w:szCs w:val="24"/>
        </w:rPr>
        <w:t>, utilizing</w:t>
      </w:r>
      <w:r w:rsidR="00EE4C4B" w:rsidRPr="00EE0F69">
        <w:rPr>
          <w:rFonts w:ascii="Times New Roman" w:hAnsi="Times New Roman" w:cs="Times New Roman"/>
          <w:sz w:val="24"/>
          <w:szCs w:val="24"/>
        </w:rPr>
        <w:t xml:space="preserve"> BON disciplinary actions as a proxy for safety</w:t>
      </w:r>
      <w:r w:rsidR="00EE4C4B">
        <w:rPr>
          <w:rFonts w:ascii="Times New Roman" w:hAnsi="Times New Roman" w:cs="Times New Roman"/>
          <w:sz w:val="24"/>
          <w:szCs w:val="24"/>
        </w:rPr>
        <w:t>, was utilized</w:t>
      </w:r>
      <w:r w:rsidR="00EE4C4B" w:rsidRPr="00EE0F69">
        <w:rPr>
          <w:rFonts w:ascii="Times New Roman" w:hAnsi="Times New Roman" w:cs="Times New Roman"/>
          <w:sz w:val="24"/>
          <w:szCs w:val="24"/>
        </w:rPr>
        <w:t xml:space="preserve">. That is, low rates of discipline by a </w:t>
      </w:r>
      <w:r w:rsidR="00EE4C4B">
        <w:rPr>
          <w:rFonts w:ascii="Times New Roman" w:hAnsi="Times New Roman" w:cs="Times New Roman"/>
          <w:sz w:val="24"/>
          <w:szCs w:val="24"/>
        </w:rPr>
        <w:t>BON</w:t>
      </w:r>
      <w:r w:rsidR="00EE4C4B" w:rsidRPr="00EE0F69">
        <w:rPr>
          <w:rFonts w:ascii="Times New Roman" w:hAnsi="Times New Roman" w:cs="Times New Roman"/>
          <w:sz w:val="24"/>
          <w:szCs w:val="24"/>
        </w:rPr>
        <w:t xml:space="preserve"> were interpreted as being indicators of safe practice by APRNs, and high rates of discipline by a </w:t>
      </w:r>
      <w:r w:rsidR="00EE4C4B">
        <w:rPr>
          <w:rFonts w:ascii="Times New Roman" w:hAnsi="Times New Roman" w:cs="Times New Roman"/>
          <w:sz w:val="24"/>
          <w:szCs w:val="24"/>
        </w:rPr>
        <w:t>BON</w:t>
      </w:r>
      <w:r w:rsidR="00EE4C4B" w:rsidRPr="00EE0F69">
        <w:rPr>
          <w:rFonts w:ascii="Times New Roman" w:hAnsi="Times New Roman" w:cs="Times New Roman"/>
          <w:sz w:val="24"/>
          <w:szCs w:val="24"/>
        </w:rPr>
        <w:t xml:space="preserve"> were interpreted as being indicato</w:t>
      </w:r>
      <w:r w:rsidR="00EE4C4B">
        <w:rPr>
          <w:rFonts w:ascii="Times New Roman" w:hAnsi="Times New Roman" w:cs="Times New Roman"/>
          <w:sz w:val="24"/>
          <w:szCs w:val="24"/>
        </w:rPr>
        <w:t xml:space="preserve">rs of unsafe practice by APRNs. </w:t>
      </w:r>
      <w:r w:rsidR="00EE4C4B" w:rsidRPr="00EE0F69">
        <w:rPr>
          <w:rFonts w:ascii="Times New Roman" w:hAnsi="Times New Roman" w:cs="Times New Roman"/>
          <w:sz w:val="24"/>
          <w:szCs w:val="24"/>
        </w:rPr>
        <w:t xml:space="preserve">The following disciplinary information from 2009 were reviewed and analyzed: number of APRNs </w:t>
      </w:r>
      <w:proofErr w:type="gramStart"/>
      <w:r w:rsidR="00EE4C4B" w:rsidRPr="00EE0F69">
        <w:rPr>
          <w:rFonts w:ascii="Times New Roman" w:hAnsi="Times New Roman" w:cs="Times New Roman"/>
          <w:sz w:val="24"/>
          <w:szCs w:val="24"/>
        </w:rPr>
        <w:t>disciplined</w:t>
      </w:r>
      <w:r w:rsidR="00EE4C4B">
        <w:rPr>
          <w:rFonts w:ascii="Times New Roman" w:hAnsi="Times New Roman" w:cs="Times New Roman"/>
          <w:sz w:val="24"/>
          <w:szCs w:val="24"/>
        </w:rPr>
        <w:t>,</w:t>
      </w:r>
      <w:r w:rsidR="00EE4C4B" w:rsidRPr="00EE0F69">
        <w:rPr>
          <w:rFonts w:ascii="Times New Roman" w:hAnsi="Times New Roman" w:cs="Times New Roman"/>
          <w:sz w:val="24"/>
          <w:szCs w:val="24"/>
        </w:rPr>
        <w:t xml:space="preserve"> type of practitioner disciplined, </w:t>
      </w:r>
      <w:r w:rsidR="00EE4C4B">
        <w:rPr>
          <w:rFonts w:ascii="Times New Roman" w:hAnsi="Times New Roman" w:cs="Times New Roman"/>
          <w:sz w:val="24"/>
          <w:szCs w:val="24"/>
        </w:rPr>
        <w:t xml:space="preserve">and </w:t>
      </w:r>
      <w:r w:rsidR="00EE4C4B" w:rsidRPr="00EE0F69">
        <w:rPr>
          <w:rFonts w:ascii="Times New Roman" w:hAnsi="Times New Roman" w:cs="Times New Roman"/>
          <w:sz w:val="24"/>
          <w:szCs w:val="24"/>
        </w:rPr>
        <w:t>reason</w:t>
      </w:r>
      <w:r w:rsidR="00EE4C4B">
        <w:rPr>
          <w:rFonts w:ascii="Times New Roman" w:hAnsi="Times New Roman" w:cs="Times New Roman"/>
          <w:sz w:val="24"/>
          <w:szCs w:val="24"/>
        </w:rPr>
        <w:t>(s)</w:t>
      </w:r>
      <w:proofErr w:type="gramEnd"/>
      <w:r w:rsidR="00EE4C4B" w:rsidRPr="00EE0F69">
        <w:rPr>
          <w:rFonts w:ascii="Times New Roman" w:hAnsi="Times New Roman" w:cs="Times New Roman"/>
          <w:sz w:val="24"/>
          <w:szCs w:val="24"/>
        </w:rPr>
        <w:t xml:space="preserve"> for discipline</w:t>
      </w:r>
      <w:r w:rsidR="00EE4C4B">
        <w:rPr>
          <w:rFonts w:ascii="Times New Roman" w:hAnsi="Times New Roman" w:cs="Times New Roman"/>
          <w:sz w:val="24"/>
          <w:szCs w:val="24"/>
        </w:rPr>
        <w:t>.</w:t>
      </w:r>
      <w:r w:rsidR="00EE4C4B" w:rsidRPr="00EE0F69">
        <w:rPr>
          <w:rFonts w:ascii="Times New Roman" w:hAnsi="Times New Roman" w:cs="Times New Roman"/>
          <w:sz w:val="24"/>
          <w:szCs w:val="24"/>
        </w:rPr>
        <w:t xml:space="preserve"> Only data from 2009 was utilized because it facilitated the analyses which required total number of APRNs for the time period and their corresponding level of practice. The year 2009 was chosen because it was the most current data.</w:t>
      </w:r>
    </w:p>
    <w:p w:rsidR="00EE4C4B" w:rsidRDefault="00EE4C4B" w:rsidP="00EE4C4B">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fall of 2009, each jurisdiction’s BON was contacted to obtain the current number of</w:t>
      </w:r>
      <w:r w:rsidRPr="00EE0F69">
        <w:rPr>
          <w:rFonts w:ascii="Times New Roman" w:hAnsi="Times New Roman" w:cs="Times New Roman"/>
          <w:sz w:val="24"/>
          <w:szCs w:val="24"/>
        </w:rPr>
        <w:t xml:space="preserve"> CNMs</w:t>
      </w:r>
      <w:r>
        <w:rPr>
          <w:rFonts w:ascii="Times New Roman" w:hAnsi="Times New Roman" w:cs="Times New Roman"/>
          <w:sz w:val="24"/>
          <w:szCs w:val="24"/>
        </w:rPr>
        <w:t xml:space="preserve">, </w:t>
      </w:r>
      <w:r w:rsidRPr="00EE0F69">
        <w:rPr>
          <w:rFonts w:ascii="Times New Roman" w:hAnsi="Times New Roman" w:cs="Times New Roman"/>
          <w:sz w:val="24"/>
          <w:szCs w:val="24"/>
        </w:rPr>
        <w:t>CRNAs</w:t>
      </w:r>
      <w:r>
        <w:rPr>
          <w:rFonts w:ascii="Times New Roman" w:hAnsi="Times New Roman" w:cs="Times New Roman"/>
          <w:sz w:val="24"/>
          <w:szCs w:val="24"/>
        </w:rPr>
        <w:t>, CNSs, and</w:t>
      </w:r>
      <w:r w:rsidRPr="00EE0F69">
        <w:rPr>
          <w:rFonts w:ascii="Times New Roman" w:hAnsi="Times New Roman" w:cs="Times New Roman"/>
          <w:sz w:val="24"/>
          <w:szCs w:val="24"/>
        </w:rPr>
        <w:t xml:space="preserve"> </w:t>
      </w:r>
      <w:r w:rsidRPr="00CF6FB2">
        <w:rPr>
          <w:rFonts w:ascii="Times New Roman" w:hAnsi="Times New Roman" w:cs="Times New Roman"/>
          <w:sz w:val="24"/>
          <w:szCs w:val="24"/>
        </w:rPr>
        <w:t>CNPs in their jurisdiction</w:t>
      </w:r>
      <w:r>
        <w:rPr>
          <w:rFonts w:ascii="Times New Roman" w:hAnsi="Times New Roman" w:cs="Times New Roman"/>
          <w:sz w:val="24"/>
          <w:szCs w:val="24"/>
        </w:rPr>
        <w:t xml:space="preserve">. </w:t>
      </w:r>
      <w:r w:rsidR="00562642">
        <w:rPr>
          <w:rFonts w:ascii="Times New Roman" w:hAnsi="Times New Roman" w:cs="Times New Roman"/>
          <w:sz w:val="24"/>
          <w:szCs w:val="24"/>
        </w:rPr>
        <w:t xml:space="preserve"> </w:t>
      </w:r>
      <w:r w:rsidRPr="00EE0F69">
        <w:rPr>
          <w:rFonts w:ascii="Times New Roman" w:hAnsi="Times New Roman" w:cs="Times New Roman"/>
          <w:sz w:val="24"/>
          <w:szCs w:val="24"/>
        </w:rPr>
        <w:t xml:space="preserve">Second, disciplinary data was obtained through the following methods: (a) BON websites/newsletters were reviewed for </w:t>
      </w:r>
      <w:r w:rsidRPr="00EE0F69">
        <w:rPr>
          <w:rFonts w:ascii="Times New Roman" w:hAnsi="Times New Roman" w:cs="Times New Roman"/>
          <w:sz w:val="24"/>
          <w:szCs w:val="24"/>
        </w:rPr>
        <w:lastRenderedPageBreak/>
        <w:t>listings of disciplinary actions taken by the BON; (b) Nursys</w:t>
      </w:r>
      <w:r w:rsidRPr="00EE0F69">
        <w:rPr>
          <w:rFonts w:ascii="Times New Roman" w:hAnsi="Times New Roman" w:cs="Times New Roman"/>
          <w:sz w:val="24"/>
          <w:szCs w:val="24"/>
          <w:vertAlign w:val="superscript"/>
        </w:rPr>
        <w:t>®</w:t>
      </w:r>
      <w:r w:rsidRPr="00EE0F69">
        <w:rPr>
          <w:rFonts w:ascii="Times New Roman" w:hAnsi="Times New Roman" w:cs="Times New Roman"/>
          <w:sz w:val="24"/>
          <w:szCs w:val="24"/>
        </w:rPr>
        <w:t xml:space="preserve"> access was granted by some states in order to identify APRNs with disciplinary action; and (c) BONs were contacted directly for assistance in obtaining disciplinary information. Online license verification was used to determine APRN status in instances where a state’s disciplinary listings or reports only identified an RN license.</w:t>
      </w:r>
    </w:p>
    <w:p w:rsidR="00EE4C4B" w:rsidRDefault="00EE4C4B" w:rsidP="00EE4C4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Third, once</w:t>
      </w:r>
      <w:r w:rsidRPr="00EE0F69">
        <w:rPr>
          <w:rFonts w:ascii="Times New Roman" w:hAnsi="Times New Roman" w:cs="Times New Roman"/>
          <w:sz w:val="24"/>
          <w:szCs w:val="24"/>
        </w:rPr>
        <w:t xml:space="preserve"> the disciplined APRNs were identified in each jurisdiction, a copy of the final disciplinary document (e.g., final board order or consent agreement) </w:t>
      </w:r>
      <w:r>
        <w:rPr>
          <w:rFonts w:ascii="Times New Roman" w:hAnsi="Times New Roman" w:cs="Times New Roman"/>
          <w:sz w:val="24"/>
          <w:szCs w:val="24"/>
        </w:rPr>
        <w:t xml:space="preserve">was obtained. </w:t>
      </w:r>
      <w:r w:rsidRPr="00EE0F69">
        <w:rPr>
          <w:rFonts w:ascii="Times New Roman" w:hAnsi="Times New Roman" w:cs="Times New Roman"/>
          <w:sz w:val="24"/>
          <w:szCs w:val="24"/>
        </w:rPr>
        <w:t>The discipline documents were obtained through the following methods: (a) The BON website; (b) BONs contacted directly; and (c) a forma</w:t>
      </w:r>
      <w:r>
        <w:rPr>
          <w:rFonts w:ascii="Times New Roman" w:hAnsi="Times New Roman" w:cs="Times New Roman"/>
          <w:sz w:val="24"/>
          <w:szCs w:val="24"/>
        </w:rPr>
        <w:t>l request for public records</w:t>
      </w:r>
      <w:r w:rsidRPr="00EE0F69">
        <w:rPr>
          <w:rFonts w:ascii="Times New Roman" w:hAnsi="Times New Roman" w:cs="Times New Roman"/>
          <w:sz w:val="24"/>
          <w:szCs w:val="24"/>
        </w:rPr>
        <w:t xml:space="preserve"> made to the BON or umbrella agency.</w:t>
      </w:r>
      <w:r>
        <w:rPr>
          <w:rFonts w:ascii="Times New Roman" w:hAnsi="Times New Roman" w:cs="Times New Roman"/>
          <w:sz w:val="24"/>
          <w:szCs w:val="24"/>
        </w:rPr>
        <w:t xml:space="preserve"> </w:t>
      </w:r>
      <w:r w:rsidRPr="00EE0F69">
        <w:rPr>
          <w:rFonts w:ascii="Times New Roman" w:hAnsi="Times New Roman" w:cs="Times New Roman"/>
          <w:sz w:val="24"/>
          <w:szCs w:val="24"/>
        </w:rPr>
        <w:t xml:space="preserve"> </w:t>
      </w:r>
    </w:p>
    <w:p w:rsidR="00EE4C4B" w:rsidRDefault="00EE4C4B" w:rsidP="00EE4C4B">
      <w:pPr>
        <w:spacing w:line="480" w:lineRule="auto"/>
        <w:ind w:firstLine="720"/>
        <w:rPr>
          <w:rFonts w:ascii="Times New Roman" w:hAnsi="Times New Roman" w:cs="Times New Roman"/>
          <w:sz w:val="24"/>
          <w:szCs w:val="24"/>
        </w:rPr>
      </w:pPr>
      <w:r w:rsidRPr="00EE0F69">
        <w:rPr>
          <w:rFonts w:ascii="Times New Roman" w:hAnsi="Times New Roman" w:cs="Times New Roman"/>
          <w:sz w:val="24"/>
          <w:szCs w:val="24"/>
        </w:rPr>
        <w:t>And finally, all final board orders/consent orders were reviewed</w:t>
      </w:r>
      <w:r>
        <w:rPr>
          <w:rFonts w:ascii="Times New Roman" w:hAnsi="Times New Roman" w:cs="Times New Roman"/>
          <w:sz w:val="24"/>
          <w:szCs w:val="24"/>
        </w:rPr>
        <w:t>, specifically the Findings of Fact, and reasons for disciplinary action</w:t>
      </w:r>
      <w:r w:rsidRPr="00EE0F69">
        <w:rPr>
          <w:rFonts w:ascii="Times New Roman" w:hAnsi="Times New Roman" w:cs="Times New Roman"/>
          <w:sz w:val="24"/>
          <w:szCs w:val="24"/>
        </w:rPr>
        <w:t xml:space="preserve"> were recorded. The reasons for discipline were categorized. To ensure accuracy, a group of </w:t>
      </w:r>
      <w:r>
        <w:rPr>
          <w:rFonts w:ascii="Times New Roman" w:hAnsi="Times New Roman" w:cs="Times New Roman"/>
          <w:sz w:val="24"/>
          <w:szCs w:val="24"/>
        </w:rPr>
        <w:t>three</w:t>
      </w:r>
      <w:r w:rsidRPr="00EE0F69">
        <w:rPr>
          <w:rFonts w:ascii="Times New Roman" w:hAnsi="Times New Roman" w:cs="Times New Roman"/>
          <w:sz w:val="24"/>
          <w:szCs w:val="24"/>
        </w:rPr>
        <w:t xml:space="preserve"> researchers met, reviewed each case, reached agreement on the reason</w:t>
      </w:r>
      <w:r>
        <w:rPr>
          <w:rFonts w:ascii="Times New Roman" w:hAnsi="Times New Roman" w:cs="Times New Roman"/>
          <w:sz w:val="24"/>
          <w:szCs w:val="24"/>
        </w:rPr>
        <w:t>(s)</w:t>
      </w:r>
      <w:r w:rsidRPr="00EE0F69">
        <w:rPr>
          <w:rFonts w:ascii="Times New Roman" w:hAnsi="Times New Roman" w:cs="Times New Roman"/>
          <w:sz w:val="24"/>
          <w:szCs w:val="24"/>
        </w:rPr>
        <w:t xml:space="preserve"> for discipline, and determined the number of violations for each licensee.</w:t>
      </w:r>
    </w:p>
    <w:p w:rsidR="00EE4C4B" w:rsidRDefault="00562642" w:rsidP="00EE4C4B">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w:t>
      </w:r>
      <w:r w:rsidR="00EE4C4B">
        <w:rPr>
          <w:rFonts w:ascii="Times New Roman" w:hAnsi="Times New Roman" w:cs="Times New Roman"/>
          <w:sz w:val="24"/>
          <w:szCs w:val="24"/>
        </w:rPr>
        <w:t xml:space="preserve"> jurisdiction’s Nurse Practice Act and/or Rules and Regulations were reviewed by a group of three NCSBN Nursing Regulation staff members. This group created definitions for determining whether the legislation used language for practice and prescribing that allowed APRN independence, or required collaboration with a physician, or physician supervision. The definitions used by the group are as follows:</w:t>
      </w:r>
    </w:p>
    <w:p w:rsidR="00EE4C4B" w:rsidRDefault="00EE4C4B" w:rsidP="00EE4C4B">
      <w:pPr>
        <w:ind w:left="1620" w:hanging="1260"/>
        <w:jc w:val="both"/>
        <w:rPr>
          <w:rFonts w:ascii="Times New Roman" w:hAnsi="Times New Roman" w:cs="Times New Roman"/>
          <w:sz w:val="24"/>
          <w:szCs w:val="24"/>
        </w:rPr>
      </w:pPr>
      <w:proofErr w:type="gramStart"/>
      <w:r w:rsidRPr="009A4888">
        <w:rPr>
          <w:rFonts w:ascii="Times New Roman" w:hAnsi="Times New Roman" w:cs="Times New Roman"/>
          <w:sz w:val="24"/>
          <w:szCs w:val="24"/>
        </w:rPr>
        <w:t>Independent—No requirement for a written collaborative agreement, no supervision, no conditions for practice.</w:t>
      </w:r>
      <w:proofErr w:type="gramEnd"/>
    </w:p>
    <w:p w:rsidR="00EE4C4B" w:rsidRPr="009A4888" w:rsidRDefault="00EE4C4B" w:rsidP="00EE4C4B">
      <w:pPr>
        <w:ind w:left="1620" w:hanging="1260"/>
        <w:jc w:val="both"/>
        <w:rPr>
          <w:rFonts w:ascii="Times New Roman" w:hAnsi="Times New Roman" w:cs="Times New Roman"/>
          <w:sz w:val="24"/>
          <w:szCs w:val="24"/>
        </w:rPr>
      </w:pPr>
    </w:p>
    <w:p w:rsidR="00EE4C4B" w:rsidRPr="009A4888" w:rsidRDefault="00EE4C4B" w:rsidP="00EE4C4B">
      <w:pPr>
        <w:ind w:left="1620" w:hanging="1260"/>
        <w:jc w:val="both"/>
        <w:rPr>
          <w:rFonts w:ascii="Times New Roman" w:hAnsi="Times New Roman" w:cs="Times New Roman"/>
          <w:sz w:val="24"/>
          <w:szCs w:val="24"/>
        </w:rPr>
      </w:pPr>
      <w:r w:rsidRPr="009A4888">
        <w:rPr>
          <w:rFonts w:ascii="Times New Roman" w:hAnsi="Times New Roman" w:cs="Times New Roman"/>
          <w:sz w:val="24"/>
          <w:szCs w:val="24"/>
        </w:rPr>
        <w:t>Collaborative—</w:t>
      </w:r>
      <w:proofErr w:type="gramStart"/>
      <w:r w:rsidRPr="009A4888">
        <w:rPr>
          <w:rFonts w:ascii="Times New Roman" w:hAnsi="Times New Roman" w:cs="Times New Roman"/>
          <w:sz w:val="24"/>
          <w:szCs w:val="24"/>
        </w:rPr>
        <w:t>Any</w:t>
      </w:r>
      <w:proofErr w:type="gramEnd"/>
      <w:r w:rsidRPr="009A4888">
        <w:rPr>
          <w:rFonts w:ascii="Times New Roman" w:hAnsi="Times New Roman" w:cs="Times New Roman"/>
          <w:sz w:val="24"/>
          <w:szCs w:val="24"/>
        </w:rPr>
        <w:t xml:space="preserve"> time a written agreement exists which specifies scope of practice and medical acts allowed with or without a general supervision requirement by an MD, DO, DDS or podiatrist.</w:t>
      </w:r>
    </w:p>
    <w:p w:rsidR="00EE4C4B" w:rsidRDefault="00EE4C4B" w:rsidP="00EE4C4B">
      <w:pPr>
        <w:ind w:left="1620" w:hanging="1260"/>
        <w:jc w:val="both"/>
        <w:rPr>
          <w:rFonts w:ascii="Times New Roman" w:hAnsi="Times New Roman" w:cs="Times New Roman"/>
          <w:sz w:val="24"/>
          <w:szCs w:val="24"/>
        </w:rPr>
      </w:pPr>
    </w:p>
    <w:p w:rsidR="00EE4C4B" w:rsidRPr="009A4888" w:rsidRDefault="00EE4C4B" w:rsidP="00EE4C4B">
      <w:pPr>
        <w:ind w:left="1620" w:hanging="1260"/>
        <w:jc w:val="both"/>
        <w:rPr>
          <w:rFonts w:ascii="Times New Roman" w:hAnsi="Times New Roman" w:cs="Times New Roman"/>
          <w:sz w:val="24"/>
          <w:szCs w:val="24"/>
        </w:rPr>
      </w:pPr>
      <w:r w:rsidRPr="009A4888">
        <w:rPr>
          <w:rFonts w:ascii="Times New Roman" w:hAnsi="Times New Roman" w:cs="Times New Roman"/>
          <w:sz w:val="24"/>
          <w:szCs w:val="24"/>
        </w:rPr>
        <w:t xml:space="preserve">Supervised—Direct supervision required in the presence of a licensed MD, DO, DDS, or podiatrist, with or without a written practice agreement. </w:t>
      </w:r>
    </w:p>
    <w:p w:rsidR="00EE4C4B" w:rsidRDefault="00EE4C4B" w:rsidP="00EE4C4B">
      <w:pPr>
        <w:ind w:left="1620" w:hanging="1260"/>
        <w:jc w:val="both"/>
        <w:rPr>
          <w:rFonts w:ascii="Times New Roman" w:hAnsi="Times New Roman" w:cs="Times New Roman"/>
          <w:sz w:val="24"/>
          <w:szCs w:val="24"/>
        </w:rPr>
      </w:pPr>
    </w:p>
    <w:p w:rsidR="00EE4C4B" w:rsidRDefault="00EE4C4B" w:rsidP="00EE4C4B">
      <w:pPr>
        <w:ind w:left="1620" w:hanging="1260"/>
        <w:jc w:val="both"/>
        <w:rPr>
          <w:rFonts w:ascii="Times New Roman" w:hAnsi="Times New Roman" w:cs="Times New Roman"/>
          <w:sz w:val="24"/>
          <w:szCs w:val="24"/>
        </w:rPr>
      </w:pPr>
      <w:r w:rsidRPr="009A4888">
        <w:rPr>
          <w:rFonts w:ascii="Times New Roman" w:hAnsi="Times New Roman" w:cs="Times New Roman"/>
          <w:sz w:val="24"/>
          <w:szCs w:val="24"/>
        </w:rPr>
        <w:t>No authority—</w:t>
      </w:r>
      <w:proofErr w:type="gramStart"/>
      <w:r w:rsidRPr="009A4888">
        <w:rPr>
          <w:rFonts w:ascii="Times New Roman" w:hAnsi="Times New Roman" w:cs="Times New Roman"/>
          <w:sz w:val="24"/>
          <w:szCs w:val="24"/>
        </w:rPr>
        <w:t>This</w:t>
      </w:r>
      <w:proofErr w:type="gramEnd"/>
      <w:r w:rsidRPr="009A4888">
        <w:rPr>
          <w:rFonts w:ascii="Times New Roman" w:hAnsi="Times New Roman" w:cs="Times New Roman"/>
          <w:sz w:val="24"/>
          <w:szCs w:val="24"/>
        </w:rPr>
        <w:t xml:space="preserve"> category was assigned to RNs who have a master’s degree and/or national certification and the state legislation grants title protection, but </w:t>
      </w:r>
      <w:r>
        <w:rPr>
          <w:rFonts w:ascii="Times New Roman" w:hAnsi="Times New Roman" w:cs="Times New Roman"/>
          <w:sz w:val="24"/>
          <w:szCs w:val="24"/>
        </w:rPr>
        <w:t xml:space="preserve">these individuals </w:t>
      </w:r>
      <w:r w:rsidRPr="009A4888">
        <w:rPr>
          <w:rFonts w:ascii="Times New Roman" w:hAnsi="Times New Roman" w:cs="Times New Roman"/>
          <w:sz w:val="24"/>
          <w:szCs w:val="24"/>
        </w:rPr>
        <w:t>are only allowed to practice at the level of RN</w:t>
      </w:r>
      <w:r>
        <w:rPr>
          <w:rFonts w:ascii="Times New Roman" w:hAnsi="Times New Roman" w:cs="Times New Roman"/>
          <w:sz w:val="24"/>
          <w:szCs w:val="24"/>
        </w:rPr>
        <w:t xml:space="preserve"> (i.e., CNSs)</w:t>
      </w:r>
      <w:r w:rsidRPr="009A4888">
        <w:rPr>
          <w:rFonts w:ascii="Times New Roman" w:hAnsi="Times New Roman" w:cs="Times New Roman"/>
          <w:sz w:val="24"/>
          <w:szCs w:val="24"/>
        </w:rPr>
        <w:t>. This category was also used when an APRN was not eligible for prescriptive privileges</w:t>
      </w:r>
      <w:r>
        <w:rPr>
          <w:rFonts w:ascii="Times New Roman" w:hAnsi="Times New Roman" w:cs="Times New Roman"/>
          <w:sz w:val="24"/>
          <w:szCs w:val="24"/>
        </w:rPr>
        <w:t xml:space="preserve"> (i.e., CNSs and CRNAs)</w:t>
      </w:r>
      <w:r w:rsidRPr="009A4888">
        <w:rPr>
          <w:rFonts w:ascii="Times New Roman" w:hAnsi="Times New Roman" w:cs="Times New Roman"/>
          <w:sz w:val="24"/>
          <w:szCs w:val="24"/>
        </w:rPr>
        <w:t xml:space="preserve">. </w:t>
      </w:r>
    </w:p>
    <w:p w:rsidR="00EE4C4B" w:rsidRDefault="00EE4C4B" w:rsidP="00EE4C4B">
      <w:pPr>
        <w:ind w:left="1620" w:hanging="1260"/>
        <w:jc w:val="both"/>
        <w:rPr>
          <w:rFonts w:ascii="Times New Roman" w:hAnsi="Times New Roman" w:cs="Times New Roman"/>
          <w:sz w:val="24"/>
          <w:szCs w:val="24"/>
        </w:rPr>
      </w:pPr>
    </w:p>
    <w:p w:rsidR="00EE4C4B" w:rsidRDefault="00EE4C4B" w:rsidP="009C7D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absence of language restricting practice was assigned to the independent category. In some cases, the level of practice and level of prescribing determination was made after review of the </w:t>
      </w:r>
      <w:r w:rsidR="00562642">
        <w:rPr>
          <w:rFonts w:ascii="Times New Roman" w:hAnsi="Times New Roman" w:cs="Times New Roman"/>
          <w:sz w:val="24"/>
          <w:szCs w:val="24"/>
        </w:rPr>
        <w:t>legislative language with</w:t>
      </w:r>
      <w:r>
        <w:rPr>
          <w:rFonts w:ascii="Times New Roman" w:hAnsi="Times New Roman" w:cs="Times New Roman"/>
          <w:sz w:val="24"/>
          <w:szCs w:val="24"/>
        </w:rPr>
        <w:t xml:space="preserve"> further discussion </w:t>
      </w:r>
      <w:r w:rsidR="00562642">
        <w:rPr>
          <w:rFonts w:ascii="Times New Roman" w:hAnsi="Times New Roman" w:cs="Times New Roman"/>
          <w:sz w:val="24"/>
          <w:szCs w:val="24"/>
        </w:rPr>
        <w:t xml:space="preserve">and clarification </w:t>
      </w:r>
      <w:r>
        <w:rPr>
          <w:rFonts w:ascii="Times New Roman" w:hAnsi="Times New Roman" w:cs="Times New Roman"/>
          <w:sz w:val="24"/>
          <w:szCs w:val="24"/>
        </w:rPr>
        <w:t xml:space="preserve">with the Executive Officer from the jurisdiction. </w:t>
      </w:r>
      <w:r w:rsidR="00562642">
        <w:rPr>
          <w:rFonts w:ascii="Times New Roman" w:hAnsi="Times New Roman" w:cs="Times New Roman"/>
          <w:sz w:val="24"/>
          <w:szCs w:val="24"/>
        </w:rPr>
        <w:t xml:space="preserve">When assigning the </w:t>
      </w:r>
      <w:r>
        <w:rPr>
          <w:rFonts w:ascii="Times New Roman" w:hAnsi="Times New Roman" w:cs="Times New Roman"/>
          <w:sz w:val="24"/>
          <w:szCs w:val="24"/>
        </w:rPr>
        <w:t xml:space="preserve">level of prescriptive authority </w:t>
      </w:r>
      <w:r w:rsidR="00562642">
        <w:rPr>
          <w:rFonts w:ascii="Times New Roman" w:hAnsi="Times New Roman" w:cs="Times New Roman"/>
          <w:sz w:val="24"/>
          <w:szCs w:val="24"/>
        </w:rPr>
        <w:t xml:space="preserve">to a state, the level of prescriptive authority </w:t>
      </w:r>
      <w:r>
        <w:rPr>
          <w:rFonts w:ascii="Times New Roman" w:hAnsi="Times New Roman" w:cs="Times New Roman"/>
          <w:sz w:val="24"/>
          <w:szCs w:val="24"/>
        </w:rPr>
        <w:t>could not exceed the level of practice autonomy. For example, if the legislation allowed independent prescribing</w:t>
      </w:r>
      <w:r w:rsidR="00562642">
        <w:rPr>
          <w:rFonts w:ascii="Times New Roman" w:hAnsi="Times New Roman" w:cs="Times New Roman"/>
          <w:sz w:val="24"/>
          <w:szCs w:val="24"/>
        </w:rPr>
        <w:t>,</w:t>
      </w:r>
      <w:r>
        <w:rPr>
          <w:rFonts w:ascii="Times New Roman" w:hAnsi="Times New Roman" w:cs="Times New Roman"/>
          <w:sz w:val="24"/>
          <w:szCs w:val="24"/>
        </w:rPr>
        <w:t xml:space="preserve"> </w:t>
      </w:r>
      <w:r w:rsidR="00562642">
        <w:rPr>
          <w:rFonts w:ascii="Times New Roman" w:hAnsi="Times New Roman" w:cs="Times New Roman"/>
          <w:sz w:val="24"/>
          <w:szCs w:val="24"/>
        </w:rPr>
        <w:t>but</w:t>
      </w:r>
      <w:r>
        <w:rPr>
          <w:rFonts w:ascii="Times New Roman" w:hAnsi="Times New Roman" w:cs="Times New Roman"/>
          <w:sz w:val="24"/>
          <w:szCs w:val="24"/>
        </w:rPr>
        <w:t xml:space="preserve"> </w:t>
      </w:r>
      <w:r w:rsidR="00562642">
        <w:rPr>
          <w:rFonts w:ascii="Times New Roman" w:hAnsi="Times New Roman" w:cs="Times New Roman"/>
          <w:sz w:val="24"/>
          <w:szCs w:val="24"/>
        </w:rPr>
        <w:t xml:space="preserve">APRN’s are required to have </w:t>
      </w:r>
      <w:r>
        <w:rPr>
          <w:rFonts w:ascii="Times New Roman" w:hAnsi="Times New Roman" w:cs="Times New Roman"/>
          <w:sz w:val="24"/>
          <w:szCs w:val="24"/>
        </w:rPr>
        <w:t>a collaborative agreement, that state was assigned the category of collaborative prescribing for purposes of this an</w:t>
      </w:r>
      <w:r w:rsidR="004C148B">
        <w:rPr>
          <w:rFonts w:ascii="Times New Roman" w:hAnsi="Times New Roman" w:cs="Times New Roman"/>
          <w:sz w:val="24"/>
          <w:szCs w:val="24"/>
        </w:rPr>
        <w:t>alysis.</w:t>
      </w:r>
      <w:r>
        <w:rPr>
          <w:rFonts w:ascii="Times New Roman" w:hAnsi="Times New Roman" w:cs="Times New Roman"/>
          <w:sz w:val="24"/>
          <w:szCs w:val="24"/>
        </w:rPr>
        <w:t xml:space="preserve"> </w:t>
      </w:r>
    </w:p>
    <w:p w:rsidR="00070A76" w:rsidRPr="00EE0F69" w:rsidRDefault="004C148B" w:rsidP="00070A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methodology used to investigate the third research question </w:t>
      </w:r>
      <w:r w:rsidR="00EE4C4B">
        <w:rPr>
          <w:rFonts w:ascii="Times New Roman" w:hAnsi="Times New Roman" w:cs="Times New Roman"/>
          <w:sz w:val="24"/>
          <w:szCs w:val="24"/>
        </w:rPr>
        <w:t xml:space="preserve">involved comparing discipline rates of APRNs to physicians. NPDB and HIPDB reports were available for a five month period of time in 2009. A direct comparison of reports against APRNs and reports against physicians was made taking into consideration the </w:t>
      </w:r>
      <w:r w:rsidR="00070A76">
        <w:rPr>
          <w:rFonts w:ascii="Times New Roman" w:hAnsi="Times New Roman" w:cs="Times New Roman"/>
          <w:sz w:val="24"/>
          <w:szCs w:val="24"/>
        </w:rPr>
        <w:t>number of each type of provider.</w:t>
      </w:r>
    </w:p>
    <w:p w:rsidR="00EE4C4B" w:rsidRPr="00EE0F69" w:rsidRDefault="00EE4C4B" w:rsidP="00EE4C4B">
      <w:pPr>
        <w:rPr>
          <w:rFonts w:ascii="Times New Roman" w:hAnsi="Times New Roman" w:cs="Times New Roman"/>
          <w:b/>
          <w:sz w:val="24"/>
          <w:szCs w:val="24"/>
        </w:rPr>
      </w:pPr>
      <w:r w:rsidRPr="00EE0F69">
        <w:rPr>
          <w:rFonts w:ascii="Times New Roman" w:hAnsi="Times New Roman" w:cs="Times New Roman"/>
          <w:b/>
          <w:sz w:val="24"/>
          <w:szCs w:val="24"/>
        </w:rPr>
        <w:t>Participants</w:t>
      </w:r>
    </w:p>
    <w:p w:rsidR="00EE4C4B" w:rsidRPr="00EE0F69" w:rsidRDefault="00EE4C4B" w:rsidP="00EE4C4B">
      <w:pPr>
        <w:rPr>
          <w:rFonts w:ascii="Times New Roman" w:hAnsi="Times New Roman" w:cs="Times New Roman"/>
          <w:sz w:val="24"/>
          <w:szCs w:val="24"/>
        </w:rPr>
      </w:pPr>
    </w:p>
    <w:p w:rsidR="00AA6835" w:rsidRDefault="00EE4C4B" w:rsidP="00070A76">
      <w:pPr>
        <w:spacing w:line="480" w:lineRule="auto"/>
        <w:ind w:firstLine="720"/>
        <w:rPr>
          <w:rFonts w:ascii="Times New Roman" w:hAnsi="Times New Roman" w:cs="Times New Roman"/>
          <w:sz w:val="24"/>
          <w:szCs w:val="24"/>
        </w:rPr>
      </w:pPr>
      <w:r w:rsidRPr="00EE0F69">
        <w:rPr>
          <w:rFonts w:ascii="Times New Roman" w:hAnsi="Times New Roman" w:cs="Times New Roman"/>
          <w:sz w:val="24"/>
          <w:szCs w:val="24"/>
        </w:rPr>
        <w:t>Data from all APRNs disciplined by a BON in participating jurisdictions</w:t>
      </w:r>
      <w:r>
        <w:rPr>
          <w:rFonts w:ascii="Times New Roman" w:hAnsi="Times New Roman" w:cs="Times New Roman"/>
          <w:sz w:val="24"/>
          <w:szCs w:val="24"/>
        </w:rPr>
        <w:t xml:space="preserve"> during 2009 were examined.</w:t>
      </w:r>
      <w:r w:rsidRPr="00EE0F69">
        <w:rPr>
          <w:rFonts w:ascii="Times New Roman" w:hAnsi="Times New Roman" w:cs="Times New Roman"/>
          <w:sz w:val="24"/>
          <w:szCs w:val="24"/>
        </w:rPr>
        <w:t xml:space="preserve"> A jurisdiction was considered a participant only if </w:t>
      </w:r>
      <w:r>
        <w:rPr>
          <w:rFonts w:ascii="Times New Roman" w:hAnsi="Times New Roman" w:cs="Times New Roman"/>
          <w:sz w:val="24"/>
          <w:szCs w:val="24"/>
        </w:rPr>
        <w:t xml:space="preserve">(a) </w:t>
      </w:r>
      <w:r w:rsidRPr="00EE0F69">
        <w:rPr>
          <w:rFonts w:ascii="Times New Roman" w:hAnsi="Times New Roman" w:cs="Times New Roman"/>
          <w:sz w:val="24"/>
          <w:szCs w:val="24"/>
        </w:rPr>
        <w:t xml:space="preserve">the </w:t>
      </w:r>
      <w:r>
        <w:rPr>
          <w:rFonts w:ascii="Times New Roman" w:hAnsi="Times New Roman" w:cs="Times New Roman"/>
          <w:sz w:val="24"/>
          <w:szCs w:val="24"/>
        </w:rPr>
        <w:t xml:space="preserve">total </w:t>
      </w:r>
      <w:r w:rsidRPr="00EE0F69">
        <w:rPr>
          <w:rFonts w:ascii="Times New Roman" w:hAnsi="Times New Roman" w:cs="Times New Roman"/>
          <w:sz w:val="24"/>
          <w:szCs w:val="24"/>
        </w:rPr>
        <w:t xml:space="preserve">number of APRNs </w:t>
      </w:r>
      <w:r>
        <w:rPr>
          <w:rFonts w:ascii="Times New Roman" w:hAnsi="Times New Roman" w:cs="Times New Roman"/>
          <w:sz w:val="24"/>
          <w:szCs w:val="24"/>
        </w:rPr>
        <w:t xml:space="preserve">in the jurisdiction was provided; (b) the number of APRNs </w:t>
      </w:r>
      <w:r w:rsidRPr="00EE0F69">
        <w:rPr>
          <w:rFonts w:ascii="Times New Roman" w:hAnsi="Times New Roman" w:cs="Times New Roman"/>
          <w:sz w:val="24"/>
          <w:szCs w:val="24"/>
        </w:rPr>
        <w:t>disciplined in 2009 was</w:t>
      </w:r>
      <w:r>
        <w:rPr>
          <w:rFonts w:ascii="Times New Roman" w:hAnsi="Times New Roman" w:cs="Times New Roman"/>
          <w:sz w:val="24"/>
          <w:szCs w:val="24"/>
        </w:rPr>
        <w:t xml:space="preserve"> obtain</w:t>
      </w:r>
      <w:r w:rsidRPr="00EE0F69">
        <w:rPr>
          <w:rFonts w:ascii="Times New Roman" w:hAnsi="Times New Roman" w:cs="Times New Roman"/>
          <w:sz w:val="24"/>
          <w:szCs w:val="24"/>
        </w:rPr>
        <w:t>ed</w:t>
      </w:r>
      <w:r>
        <w:rPr>
          <w:rFonts w:ascii="Times New Roman" w:hAnsi="Times New Roman" w:cs="Times New Roman"/>
          <w:sz w:val="24"/>
          <w:szCs w:val="24"/>
        </w:rPr>
        <w:t xml:space="preserve">; </w:t>
      </w:r>
      <w:r w:rsidRPr="00EE0F69">
        <w:rPr>
          <w:rFonts w:ascii="Times New Roman" w:hAnsi="Times New Roman" w:cs="Times New Roman"/>
          <w:sz w:val="24"/>
          <w:szCs w:val="24"/>
        </w:rPr>
        <w:t xml:space="preserve">and </w:t>
      </w:r>
      <w:r>
        <w:rPr>
          <w:rFonts w:ascii="Times New Roman" w:hAnsi="Times New Roman" w:cs="Times New Roman"/>
          <w:sz w:val="24"/>
          <w:szCs w:val="24"/>
        </w:rPr>
        <w:t xml:space="preserve">(c) the </w:t>
      </w:r>
      <w:r w:rsidRPr="00EE0F69">
        <w:rPr>
          <w:rFonts w:ascii="Times New Roman" w:hAnsi="Times New Roman" w:cs="Times New Roman"/>
          <w:sz w:val="24"/>
          <w:szCs w:val="24"/>
        </w:rPr>
        <w:t>disciplinary reco</w:t>
      </w:r>
      <w:r>
        <w:rPr>
          <w:rFonts w:ascii="Times New Roman" w:hAnsi="Times New Roman" w:cs="Times New Roman"/>
          <w:sz w:val="24"/>
          <w:szCs w:val="24"/>
        </w:rPr>
        <w:t>rds were obtained.</w:t>
      </w:r>
      <w:r w:rsidRPr="00EE0F69">
        <w:rPr>
          <w:rFonts w:ascii="Times New Roman" w:hAnsi="Times New Roman" w:cs="Times New Roman"/>
          <w:sz w:val="24"/>
          <w:szCs w:val="24"/>
        </w:rPr>
        <w:t xml:space="preserve"> </w:t>
      </w:r>
      <w:r>
        <w:rPr>
          <w:rFonts w:ascii="Times New Roman" w:hAnsi="Times New Roman" w:cs="Times New Roman"/>
          <w:sz w:val="24"/>
          <w:szCs w:val="24"/>
        </w:rPr>
        <w:t>A</w:t>
      </w:r>
      <w:r w:rsidRPr="00EE0F69">
        <w:rPr>
          <w:rFonts w:ascii="Times New Roman" w:hAnsi="Times New Roman" w:cs="Times New Roman"/>
          <w:sz w:val="24"/>
          <w:szCs w:val="24"/>
        </w:rPr>
        <w:t xml:space="preserve">s a result, 43 (out of 51) jurisdictions </w:t>
      </w:r>
      <w:r w:rsidRPr="00EE0F69">
        <w:rPr>
          <w:rFonts w:ascii="Times New Roman" w:hAnsi="Times New Roman" w:cs="Times New Roman"/>
          <w:sz w:val="24"/>
          <w:szCs w:val="24"/>
        </w:rPr>
        <w:lastRenderedPageBreak/>
        <w:t>were included in the analy</w:t>
      </w:r>
      <w:r>
        <w:rPr>
          <w:rFonts w:ascii="Times New Roman" w:hAnsi="Times New Roman" w:cs="Times New Roman"/>
          <w:sz w:val="24"/>
          <w:szCs w:val="24"/>
        </w:rPr>
        <w:t>ses. In 2009, there were 184,771 APRNs recognized in the 43 jurisdictions studied in this analysis</w:t>
      </w:r>
      <w:r w:rsidRPr="00EE0F69">
        <w:rPr>
          <w:rFonts w:ascii="Times New Roman" w:hAnsi="Times New Roman" w:cs="Times New Roman"/>
          <w:sz w:val="24"/>
          <w:szCs w:val="24"/>
        </w:rPr>
        <w:t xml:space="preserve">. </w:t>
      </w:r>
    </w:p>
    <w:p w:rsidR="00070A76" w:rsidRPr="00396B84" w:rsidRDefault="00070A76" w:rsidP="00070A76">
      <w:pPr>
        <w:jc w:val="center"/>
        <w:rPr>
          <w:rFonts w:ascii="Times New Roman" w:hAnsi="Times New Roman" w:cs="Times New Roman"/>
          <w:b/>
          <w:sz w:val="24"/>
          <w:szCs w:val="24"/>
        </w:rPr>
      </w:pPr>
      <w:r w:rsidRPr="00396B84">
        <w:rPr>
          <w:rFonts w:ascii="Times New Roman" w:hAnsi="Times New Roman" w:cs="Times New Roman"/>
          <w:b/>
          <w:sz w:val="24"/>
          <w:szCs w:val="24"/>
        </w:rPr>
        <w:t>Results</w:t>
      </w:r>
    </w:p>
    <w:p w:rsidR="00070A76" w:rsidRDefault="00070A76" w:rsidP="00AA6835">
      <w:pPr>
        <w:rPr>
          <w:rFonts w:ascii="Times New Roman" w:hAnsi="Times New Roman" w:cs="Times New Roman"/>
          <w:sz w:val="24"/>
          <w:szCs w:val="24"/>
        </w:rPr>
      </w:pPr>
    </w:p>
    <w:p w:rsidR="00070A76" w:rsidRPr="00EE0F69" w:rsidRDefault="00070A76" w:rsidP="00AA6835">
      <w:pPr>
        <w:rPr>
          <w:rFonts w:ascii="Times New Roman" w:hAnsi="Times New Roman" w:cs="Times New Roman"/>
          <w:sz w:val="24"/>
          <w:szCs w:val="24"/>
        </w:rPr>
      </w:pPr>
    </w:p>
    <w:p w:rsidR="00AA6835" w:rsidRPr="00EE0F69" w:rsidRDefault="00AA6835" w:rsidP="00070A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be included in this analysis, only final board actions taken in 2009 were considered. </w:t>
      </w:r>
      <w:r w:rsidRPr="00EE0F69">
        <w:rPr>
          <w:rFonts w:ascii="Times New Roman" w:hAnsi="Times New Roman" w:cs="Times New Roman"/>
          <w:sz w:val="24"/>
          <w:szCs w:val="24"/>
        </w:rPr>
        <w:t xml:space="preserve"> Complaints made to </w:t>
      </w:r>
      <w:r>
        <w:rPr>
          <w:rFonts w:ascii="Times New Roman" w:hAnsi="Times New Roman" w:cs="Times New Roman"/>
          <w:sz w:val="24"/>
          <w:szCs w:val="24"/>
        </w:rPr>
        <w:t xml:space="preserve">the BON </w:t>
      </w:r>
      <w:r w:rsidRPr="00EE0F69">
        <w:rPr>
          <w:rFonts w:ascii="Times New Roman" w:hAnsi="Times New Roman" w:cs="Times New Roman"/>
          <w:sz w:val="24"/>
          <w:szCs w:val="24"/>
        </w:rPr>
        <w:t xml:space="preserve">that were dismissed, </w:t>
      </w:r>
      <w:r>
        <w:rPr>
          <w:rFonts w:ascii="Times New Roman" w:hAnsi="Times New Roman" w:cs="Times New Roman"/>
          <w:sz w:val="24"/>
          <w:szCs w:val="24"/>
        </w:rPr>
        <w:t xml:space="preserve">or were still under investigation, </w:t>
      </w:r>
      <w:r w:rsidRPr="00EE0F69">
        <w:rPr>
          <w:rFonts w:ascii="Times New Roman" w:hAnsi="Times New Roman" w:cs="Times New Roman"/>
          <w:sz w:val="24"/>
          <w:szCs w:val="24"/>
        </w:rPr>
        <w:t xml:space="preserve">or instances where </w:t>
      </w:r>
      <w:r>
        <w:rPr>
          <w:rFonts w:ascii="Times New Roman" w:hAnsi="Times New Roman" w:cs="Times New Roman"/>
          <w:sz w:val="24"/>
          <w:szCs w:val="24"/>
        </w:rPr>
        <w:t>the BON</w:t>
      </w:r>
      <w:r w:rsidRPr="00EE0F69">
        <w:rPr>
          <w:rFonts w:ascii="Times New Roman" w:hAnsi="Times New Roman" w:cs="Times New Roman"/>
          <w:sz w:val="24"/>
          <w:szCs w:val="24"/>
        </w:rPr>
        <w:t xml:space="preserve"> took no action, were not used in the analyses.</w:t>
      </w:r>
      <w:r>
        <w:rPr>
          <w:rFonts w:ascii="Times New Roman" w:hAnsi="Times New Roman" w:cs="Times New Roman"/>
          <w:sz w:val="24"/>
          <w:szCs w:val="24"/>
        </w:rPr>
        <w:t xml:space="preserve"> Also, </w:t>
      </w:r>
      <w:r w:rsidRPr="00EE0F69">
        <w:rPr>
          <w:rFonts w:ascii="Times New Roman" w:hAnsi="Times New Roman" w:cs="Times New Roman"/>
          <w:sz w:val="24"/>
          <w:szCs w:val="24"/>
        </w:rPr>
        <w:t xml:space="preserve">sister state disciplinary actions were excluded to avoid counting the same violation more than once. </w:t>
      </w:r>
      <w:r w:rsidR="00AF46E6">
        <w:rPr>
          <w:rFonts w:ascii="Times New Roman" w:hAnsi="Times New Roman" w:cs="Times New Roman"/>
          <w:sz w:val="24"/>
          <w:szCs w:val="24"/>
        </w:rPr>
        <w:t xml:space="preserve">Sister state discipline occurs when an APRN is </w:t>
      </w:r>
      <w:r>
        <w:rPr>
          <w:rFonts w:ascii="Times New Roman" w:hAnsi="Times New Roman" w:cs="Times New Roman"/>
          <w:sz w:val="24"/>
          <w:szCs w:val="24"/>
        </w:rPr>
        <w:t>license</w:t>
      </w:r>
      <w:r w:rsidR="00AF46E6">
        <w:rPr>
          <w:rFonts w:ascii="Times New Roman" w:hAnsi="Times New Roman" w:cs="Times New Roman"/>
          <w:sz w:val="24"/>
          <w:szCs w:val="24"/>
        </w:rPr>
        <w:t>d, or</w:t>
      </w:r>
      <w:r>
        <w:rPr>
          <w:rFonts w:ascii="Times New Roman" w:hAnsi="Times New Roman" w:cs="Times New Roman"/>
          <w:sz w:val="24"/>
          <w:szCs w:val="24"/>
        </w:rPr>
        <w:t xml:space="preserve"> recognized/registered</w:t>
      </w:r>
      <w:r w:rsidRPr="00910EF3">
        <w:rPr>
          <w:rFonts w:ascii="Times New Roman" w:hAnsi="Times New Roman" w:cs="Times New Roman"/>
          <w:sz w:val="24"/>
          <w:szCs w:val="24"/>
        </w:rPr>
        <w:t xml:space="preserve"> in more than one state</w:t>
      </w:r>
      <w:r>
        <w:rPr>
          <w:rFonts w:ascii="Times New Roman" w:hAnsi="Times New Roman" w:cs="Times New Roman"/>
          <w:sz w:val="24"/>
          <w:szCs w:val="24"/>
        </w:rPr>
        <w:t>,</w:t>
      </w:r>
      <w:r w:rsidRPr="00910EF3">
        <w:rPr>
          <w:rFonts w:ascii="Times New Roman" w:hAnsi="Times New Roman" w:cs="Times New Roman"/>
          <w:sz w:val="24"/>
          <w:szCs w:val="24"/>
        </w:rPr>
        <w:t xml:space="preserve"> </w:t>
      </w:r>
      <w:r>
        <w:rPr>
          <w:rFonts w:ascii="Times New Roman" w:hAnsi="Times New Roman" w:cs="Times New Roman"/>
          <w:sz w:val="24"/>
          <w:szCs w:val="24"/>
        </w:rPr>
        <w:t>where</w:t>
      </w:r>
      <w:r w:rsidRPr="00910EF3">
        <w:rPr>
          <w:rFonts w:ascii="Times New Roman" w:hAnsi="Times New Roman" w:cs="Times New Roman"/>
          <w:sz w:val="24"/>
          <w:szCs w:val="24"/>
        </w:rPr>
        <w:t xml:space="preserve"> one</w:t>
      </w:r>
      <w:r>
        <w:rPr>
          <w:rFonts w:ascii="Times New Roman" w:hAnsi="Times New Roman" w:cs="Times New Roman"/>
          <w:sz w:val="24"/>
          <w:szCs w:val="24"/>
        </w:rPr>
        <w:t xml:space="preserve"> of the</w:t>
      </w:r>
      <w:r w:rsidRPr="00910EF3">
        <w:rPr>
          <w:rFonts w:ascii="Times New Roman" w:hAnsi="Times New Roman" w:cs="Times New Roman"/>
          <w:sz w:val="24"/>
          <w:szCs w:val="24"/>
        </w:rPr>
        <w:t xml:space="preserve"> </w:t>
      </w:r>
      <w:r>
        <w:rPr>
          <w:rFonts w:ascii="Times New Roman" w:hAnsi="Times New Roman" w:cs="Times New Roman"/>
          <w:sz w:val="24"/>
          <w:szCs w:val="24"/>
        </w:rPr>
        <w:t>BON takes disciplinary action. B</w:t>
      </w:r>
      <w:r w:rsidRPr="00910EF3">
        <w:rPr>
          <w:rFonts w:ascii="Times New Roman" w:hAnsi="Times New Roman" w:cs="Times New Roman"/>
          <w:sz w:val="24"/>
          <w:szCs w:val="24"/>
        </w:rPr>
        <w:t>oards in other states in which that APRN holds a license</w:t>
      </w:r>
      <w:r>
        <w:rPr>
          <w:rFonts w:ascii="Times New Roman" w:hAnsi="Times New Roman" w:cs="Times New Roman"/>
          <w:sz w:val="24"/>
          <w:szCs w:val="24"/>
        </w:rPr>
        <w:t>,</w:t>
      </w:r>
      <w:r w:rsidRPr="00910EF3">
        <w:rPr>
          <w:rFonts w:ascii="Times New Roman" w:hAnsi="Times New Roman" w:cs="Times New Roman"/>
          <w:sz w:val="24"/>
          <w:szCs w:val="24"/>
        </w:rPr>
        <w:t xml:space="preserve"> or is registered</w:t>
      </w:r>
      <w:r>
        <w:rPr>
          <w:rFonts w:ascii="Times New Roman" w:hAnsi="Times New Roman" w:cs="Times New Roman"/>
          <w:sz w:val="24"/>
          <w:szCs w:val="24"/>
        </w:rPr>
        <w:t>, may mimic the discipline, or take other action,</w:t>
      </w:r>
      <w:r w:rsidRPr="00910EF3">
        <w:rPr>
          <w:rFonts w:ascii="Times New Roman" w:hAnsi="Times New Roman" w:cs="Times New Roman"/>
          <w:sz w:val="24"/>
          <w:szCs w:val="24"/>
        </w:rPr>
        <w:t xml:space="preserve"> in an effort to provi</w:t>
      </w:r>
      <w:r>
        <w:rPr>
          <w:rFonts w:ascii="Times New Roman" w:hAnsi="Times New Roman" w:cs="Times New Roman"/>
          <w:sz w:val="24"/>
          <w:szCs w:val="24"/>
        </w:rPr>
        <w:t xml:space="preserve">de consistency and discourage </w:t>
      </w:r>
      <w:r w:rsidRPr="00910EF3">
        <w:rPr>
          <w:rFonts w:ascii="Times New Roman" w:hAnsi="Times New Roman" w:cs="Times New Roman"/>
          <w:sz w:val="24"/>
          <w:szCs w:val="24"/>
        </w:rPr>
        <w:t>nurses from moving to other states to avoid discipline.</w:t>
      </w:r>
      <w:r>
        <w:rPr>
          <w:rFonts w:ascii="Times New Roman" w:hAnsi="Times New Roman" w:cs="Times New Roman"/>
          <w:sz w:val="24"/>
          <w:szCs w:val="24"/>
        </w:rPr>
        <w:t xml:space="preserve"> </w:t>
      </w:r>
      <w:r w:rsidRPr="00EE0F69">
        <w:rPr>
          <w:rFonts w:ascii="Times New Roman" w:hAnsi="Times New Roman" w:cs="Times New Roman"/>
          <w:sz w:val="24"/>
          <w:szCs w:val="24"/>
        </w:rPr>
        <w:t>Since the goal of this study was to examine APRN safety related to practice, disciplinary actions taken for issues unrelated to practice (e.g., licensing issues, criminal convictions, and failur</w:t>
      </w:r>
      <w:r>
        <w:rPr>
          <w:rFonts w:ascii="Times New Roman" w:hAnsi="Times New Roman" w:cs="Times New Roman"/>
          <w:sz w:val="24"/>
          <w:szCs w:val="24"/>
        </w:rPr>
        <w:t>e to comply with a board order), are reported, but were not analyzed in relation to practice autonomy.</w:t>
      </w:r>
      <w:r w:rsidRPr="00EE0F69">
        <w:rPr>
          <w:rFonts w:ascii="Times New Roman" w:hAnsi="Times New Roman" w:cs="Times New Roman"/>
          <w:sz w:val="24"/>
          <w:szCs w:val="24"/>
        </w:rPr>
        <w:t xml:space="preserve">  </w:t>
      </w:r>
    </w:p>
    <w:p w:rsidR="00AA6835" w:rsidRPr="001721FD" w:rsidRDefault="00AA6835" w:rsidP="00AA68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43 jurisdictions included in this analysis, there were 184,771 APRNs in 2009. </w:t>
      </w:r>
      <w:r w:rsidRPr="001721FD">
        <w:rPr>
          <w:rFonts w:ascii="Times New Roman" w:hAnsi="Times New Roman" w:cs="Times New Roman"/>
          <w:sz w:val="24"/>
          <w:szCs w:val="24"/>
        </w:rPr>
        <w:t>Applying the</w:t>
      </w:r>
      <w:r>
        <w:rPr>
          <w:rFonts w:ascii="Times New Roman" w:hAnsi="Times New Roman" w:cs="Times New Roman"/>
          <w:sz w:val="24"/>
          <w:szCs w:val="24"/>
        </w:rPr>
        <w:t xml:space="preserve"> definitions described above, APRNs</w:t>
      </w:r>
      <w:r w:rsidRPr="001721FD">
        <w:rPr>
          <w:rFonts w:ascii="Times New Roman" w:hAnsi="Times New Roman" w:cs="Times New Roman"/>
          <w:sz w:val="24"/>
          <w:szCs w:val="24"/>
        </w:rPr>
        <w:t xml:space="preserve"> </w:t>
      </w:r>
      <w:r>
        <w:rPr>
          <w:rFonts w:ascii="Times New Roman" w:hAnsi="Times New Roman" w:cs="Times New Roman"/>
          <w:sz w:val="24"/>
          <w:szCs w:val="24"/>
        </w:rPr>
        <w:t>were assigned to the categories of independent practitioners, collaborative practitioners, and supervised practitioners. Table 1 shows the level of autonomy for each type of APRN. Table 2 depicts the numbers of APRN</w:t>
      </w:r>
      <w:r w:rsidR="00AF46E6">
        <w:rPr>
          <w:rFonts w:ascii="Times New Roman" w:hAnsi="Times New Roman" w:cs="Times New Roman"/>
          <w:sz w:val="24"/>
          <w:szCs w:val="24"/>
        </w:rPr>
        <w:t>s</w:t>
      </w:r>
      <w:r>
        <w:rPr>
          <w:rFonts w:ascii="Times New Roman" w:hAnsi="Times New Roman" w:cs="Times New Roman"/>
          <w:sz w:val="24"/>
          <w:szCs w:val="24"/>
        </w:rPr>
        <w:t xml:space="preserve"> in the independent, collaborative and supervised </w:t>
      </w:r>
      <w:r w:rsidR="00AF46E6">
        <w:rPr>
          <w:rFonts w:ascii="Times New Roman" w:hAnsi="Times New Roman" w:cs="Times New Roman"/>
          <w:sz w:val="24"/>
          <w:szCs w:val="24"/>
        </w:rPr>
        <w:t xml:space="preserve">prescribing </w:t>
      </w:r>
      <w:r>
        <w:rPr>
          <w:rFonts w:ascii="Times New Roman" w:hAnsi="Times New Roman" w:cs="Times New Roman"/>
          <w:sz w:val="24"/>
          <w:szCs w:val="24"/>
        </w:rPr>
        <w:t>categories. APRNs in states where no pr</w:t>
      </w:r>
      <w:r w:rsidR="00AF46E6">
        <w:rPr>
          <w:rFonts w:ascii="Times New Roman" w:hAnsi="Times New Roman" w:cs="Times New Roman"/>
          <w:sz w:val="24"/>
          <w:szCs w:val="24"/>
        </w:rPr>
        <w:t>escriptive authority is allowed</w:t>
      </w:r>
      <w:r>
        <w:rPr>
          <w:rFonts w:ascii="Times New Roman" w:hAnsi="Times New Roman" w:cs="Times New Roman"/>
          <w:sz w:val="24"/>
          <w:szCs w:val="24"/>
        </w:rPr>
        <w:t xml:space="preserve"> were included in the supervised category for the purposes of this analysis.</w:t>
      </w:r>
    </w:p>
    <w:p w:rsidR="00AA6835" w:rsidRDefault="00AA6835" w:rsidP="00AA6835">
      <w:pPr>
        <w:spacing w:line="480" w:lineRule="auto"/>
        <w:rPr>
          <w:rFonts w:ascii="Times New Roman" w:hAnsi="Times New Roman" w:cs="Times New Roman"/>
          <w:color w:val="4F81BD" w:themeColor="accent1"/>
          <w:sz w:val="24"/>
          <w:szCs w:val="24"/>
        </w:rPr>
      </w:pPr>
    </w:p>
    <w:p w:rsidR="009C7D88" w:rsidRDefault="009C7D88" w:rsidP="00AA6835">
      <w:pPr>
        <w:spacing w:line="480" w:lineRule="auto"/>
        <w:rPr>
          <w:rFonts w:ascii="Times New Roman" w:hAnsi="Times New Roman" w:cs="Times New Roman"/>
          <w:color w:val="4F81BD" w:themeColor="accent1"/>
          <w:sz w:val="24"/>
          <w:szCs w:val="24"/>
        </w:rPr>
      </w:pPr>
    </w:p>
    <w:p w:rsidR="00070A76" w:rsidRPr="00864C8C" w:rsidRDefault="00070A76" w:rsidP="00AA6835">
      <w:pPr>
        <w:spacing w:line="480" w:lineRule="auto"/>
        <w:rPr>
          <w:rFonts w:ascii="Times New Roman" w:hAnsi="Times New Roman" w:cs="Times New Roman"/>
          <w:color w:val="4F81BD" w:themeColor="accent1"/>
          <w:sz w:val="24"/>
          <w:szCs w:val="24"/>
        </w:rPr>
      </w:pPr>
    </w:p>
    <w:p w:rsidR="00AA6835" w:rsidRPr="00864C8C" w:rsidRDefault="00AA6835" w:rsidP="00AA6835">
      <w:pPr>
        <w:rPr>
          <w:rFonts w:ascii="Times New Roman" w:hAnsi="Times New Roman" w:cs="Times New Roman"/>
          <w:sz w:val="24"/>
          <w:szCs w:val="24"/>
        </w:rPr>
      </w:pPr>
      <w:proofErr w:type="gramStart"/>
      <w:r w:rsidRPr="00864C8C">
        <w:rPr>
          <w:rFonts w:ascii="Times New Roman" w:hAnsi="Times New Roman" w:cs="Times New Roman"/>
          <w:sz w:val="24"/>
          <w:szCs w:val="24"/>
        </w:rPr>
        <w:lastRenderedPageBreak/>
        <w:t>Table 1.</w:t>
      </w:r>
      <w:proofErr w:type="gramEnd"/>
      <w:r w:rsidRPr="00864C8C">
        <w:rPr>
          <w:rFonts w:ascii="Times New Roman" w:hAnsi="Times New Roman" w:cs="Times New Roman"/>
          <w:sz w:val="24"/>
          <w:szCs w:val="24"/>
        </w:rPr>
        <w:t xml:space="preserve"> Level of practice autonomy by type of APRN*</w:t>
      </w:r>
    </w:p>
    <w:tbl>
      <w:tblPr>
        <w:tblStyle w:val="TableGrid"/>
        <w:tblW w:w="0" w:type="auto"/>
        <w:tblLook w:val="04A0"/>
      </w:tblPr>
      <w:tblGrid>
        <w:gridCol w:w="1870"/>
        <w:gridCol w:w="1210"/>
        <w:gridCol w:w="1210"/>
        <w:gridCol w:w="1210"/>
        <w:gridCol w:w="1210"/>
        <w:gridCol w:w="1210"/>
        <w:gridCol w:w="1211"/>
      </w:tblGrid>
      <w:tr w:rsidR="00AA6835" w:rsidRPr="00864C8C" w:rsidTr="00716C07">
        <w:tc>
          <w:tcPr>
            <w:tcW w:w="1595" w:type="dxa"/>
          </w:tcPr>
          <w:p w:rsidR="00AA6835" w:rsidRPr="00864C8C" w:rsidRDefault="00AA6835" w:rsidP="00716C07">
            <w:pPr>
              <w:rPr>
                <w:rFonts w:ascii="Times New Roman" w:hAnsi="Times New Roman" w:cs="Times New Roman"/>
                <w:sz w:val="24"/>
                <w:szCs w:val="24"/>
              </w:rPr>
            </w:pP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CNM</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CRNA</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CNS</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CNP</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APRN^</w:t>
            </w:r>
          </w:p>
        </w:tc>
        <w:tc>
          <w:tcPr>
            <w:tcW w:w="1211"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Total</w:t>
            </w:r>
          </w:p>
        </w:tc>
      </w:tr>
      <w:tr w:rsidR="00AA6835" w:rsidRPr="00864C8C" w:rsidTr="00716C07">
        <w:tc>
          <w:tcPr>
            <w:tcW w:w="1595" w:type="dxa"/>
          </w:tcPr>
          <w:p w:rsidR="00AA6835" w:rsidRPr="00864C8C" w:rsidRDefault="00AA6835" w:rsidP="00716C07">
            <w:pPr>
              <w:rPr>
                <w:rFonts w:ascii="Times New Roman" w:hAnsi="Times New Roman" w:cs="Times New Roman"/>
                <w:sz w:val="24"/>
                <w:szCs w:val="24"/>
              </w:rPr>
            </w:pPr>
            <w:r w:rsidRPr="00864C8C">
              <w:rPr>
                <w:rFonts w:ascii="Times New Roman" w:hAnsi="Times New Roman" w:cs="Times New Roman"/>
                <w:sz w:val="24"/>
                <w:szCs w:val="24"/>
              </w:rPr>
              <w:t>Independent</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1,780</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6,878</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3,350</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17,354</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1,588</w:t>
            </w:r>
          </w:p>
        </w:tc>
        <w:tc>
          <w:tcPr>
            <w:tcW w:w="1211"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30,950</w:t>
            </w:r>
          </w:p>
        </w:tc>
      </w:tr>
      <w:tr w:rsidR="00AA6835" w:rsidRPr="00864C8C" w:rsidTr="00716C07">
        <w:tc>
          <w:tcPr>
            <w:tcW w:w="1595" w:type="dxa"/>
          </w:tcPr>
          <w:p w:rsidR="00AA6835" w:rsidRPr="00864C8C" w:rsidRDefault="00AA6835" w:rsidP="00716C07">
            <w:pPr>
              <w:rPr>
                <w:rFonts w:ascii="Times New Roman" w:hAnsi="Times New Roman" w:cs="Times New Roman"/>
                <w:sz w:val="24"/>
                <w:szCs w:val="24"/>
              </w:rPr>
            </w:pPr>
            <w:r w:rsidRPr="00864C8C">
              <w:rPr>
                <w:rFonts w:ascii="Times New Roman" w:hAnsi="Times New Roman" w:cs="Times New Roman"/>
                <w:sz w:val="24"/>
                <w:szCs w:val="24"/>
              </w:rPr>
              <w:t>Collaborative</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5,139</w:t>
            </w:r>
          </w:p>
        </w:tc>
        <w:tc>
          <w:tcPr>
            <w:tcW w:w="1210" w:type="dxa"/>
          </w:tcPr>
          <w:p w:rsidR="00AA6835" w:rsidRPr="00864C8C" w:rsidRDefault="00AA6835" w:rsidP="00716C07">
            <w:pPr>
              <w:jc w:val="center"/>
              <w:rPr>
                <w:rFonts w:ascii="Times New Roman" w:hAnsi="Times New Roman" w:cs="Times New Roman"/>
                <w:sz w:val="24"/>
                <w:szCs w:val="24"/>
              </w:rPr>
            </w:pPr>
            <w:r>
              <w:rPr>
                <w:rFonts w:ascii="Times New Roman" w:hAnsi="Times New Roman" w:cs="Times New Roman"/>
                <w:sz w:val="24"/>
                <w:szCs w:val="24"/>
              </w:rPr>
              <w:t>17,790</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7,467</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9</w:t>
            </w:r>
            <w:r>
              <w:rPr>
                <w:rFonts w:ascii="Times New Roman" w:hAnsi="Times New Roman" w:cs="Times New Roman"/>
                <w:sz w:val="24"/>
                <w:szCs w:val="24"/>
              </w:rPr>
              <w:t>2,155</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8,396</w:t>
            </w:r>
          </w:p>
        </w:tc>
        <w:tc>
          <w:tcPr>
            <w:tcW w:w="1211" w:type="dxa"/>
          </w:tcPr>
          <w:p w:rsidR="00AA6835" w:rsidRPr="00864C8C" w:rsidRDefault="00AA6835" w:rsidP="00716C07">
            <w:pPr>
              <w:jc w:val="center"/>
              <w:rPr>
                <w:rFonts w:ascii="Times New Roman" w:hAnsi="Times New Roman" w:cs="Times New Roman"/>
                <w:sz w:val="24"/>
                <w:szCs w:val="24"/>
              </w:rPr>
            </w:pPr>
            <w:r>
              <w:rPr>
                <w:rFonts w:ascii="Times New Roman" w:hAnsi="Times New Roman" w:cs="Times New Roman"/>
                <w:sz w:val="24"/>
                <w:szCs w:val="24"/>
              </w:rPr>
              <w:t>130</w:t>
            </w:r>
            <w:r w:rsidRPr="00864C8C">
              <w:rPr>
                <w:rFonts w:ascii="Times New Roman" w:hAnsi="Times New Roman" w:cs="Times New Roman"/>
                <w:sz w:val="24"/>
                <w:szCs w:val="24"/>
              </w:rPr>
              <w:t>,</w:t>
            </w:r>
            <w:r>
              <w:rPr>
                <w:rFonts w:ascii="Times New Roman" w:hAnsi="Times New Roman" w:cs="Times New Roman"/>
                <w:sz w:val="24"/>
                <w:szCs w:val="24"/>
              </w:rPr>
              <w:t>947</w:t>
            </w:r>
          </w:p>
        </w:tc>
      </w:tr>
      <w:tr w:rsidR="00AA6835" w:rsidRPr="00864C8C" w:rsidTr="00716C07">
        <w:tc>
          <w:tcPr>
            <w:tcW w:w="1595" w:type="dxa"/>
          </w:tcPr>
          <w:p w:rsidR="00AA6835" w:rsidRPr="00864C8C" w:rsidRDefault="00AA6835" w:rsidP="00716C07">
            <w:pPr>
              <w:rPr>
                <w:rFonts w:ascii="Times New Roman" w:hAnsi="Times New Roman" w:cs="Times New Roman"/>
                <w:sz w:val="24"/>
                <w:szCs w:val="24"/>
              </w:rPr>
            </w:pPr>
            <w:r w:rsidRPr="00864C8C">
              <w:rPr>
                <w:rFonts w:ascii="Times New Roman" w:hAnsi="Times New Roman" w:cs="Times New Roman"/>
                <w:sz w:val="24"/>
                <w:szCs w:val="24"/>
              </w:rPr>
              <w:t>Supervised/None</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0</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w:t>
            </w:r>
            <w:r>
              <w:rPr>
                <w:rFonts w:ascii="Times New Roman" w:hAnsi="Times New Roman" w:cs="Times New Roman"/>
                <w:sz w:val="24"/>
                <w:szCs w:val="24"/>
              </w:rPr>
              <w:t>3,438</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3,532</w:t>
            </w:r>
          </w:p>
        </w:tc>
        <w:tc>
          <w:tcPr>
            <w:tcW w:w="1210" w:type="dxa"/>
          </w:tcPr>
          <w:p w:rsidR="00AA6835" w:rsidRPr="00864C8C" w:rsidRDefault="00AA6835" w:rsidP="00716C07">
            <w:pPr>
              <w:jc w:val="center"/>
              <w:rPr>
                <w:rFonts w:ascii="Times New Roman" w:hAnsi="Times New Roman" w:cs="Times New Roman"/>
                <w:sz w:val="24"/>
                <w:szCs w:val="24"/>
              </w:rPr>
            </w:pPr>
            <w:r>
              <w:rPr>
                <w:rFonts w:ascii="Times New Roman" w:hAnsi="Times New Roman" w:cs="Times New Roman"/>
                <w:sz w:val="24"/>
                <w:szCs w:val="24"/>
              </w:rPr>
              <w:t>5,904</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0</w:t>
            </w:r>
          </w:p>
        </w:tc>
        <w:tc>
          <w:tcPr>
            <w:tcW w:w="1211" w:type="dxa"/>
          </w:tcPr>
          <w:p w:rsidR="00AA6835" w:rsidRPr="00864C8C" w:rsidRDefault="00AA6835" w:rsidP="00716C07">
            <w:pPr>
              <w:jc w:val="center"/>
              <w:rPr>
                <w:rFonts w:ascii="Times New Roman" w:hAnsi="Times New Roman" w:cs="Times New Roman"/>
                <w:sz w:val="24"/>
                <w:szCs w:val="24"/>
              </w:rPr>
            </w:pPr>
            <w:r>
              <w:rPr>
                <w:rFonts w:ascii="Times New Roman" w:hAnsi="Times New Roman" w:cs="Times New Roman"/>
                <w:sz w:val="24"/>
                <w:szCs w:val="24"/>
              </w:rPr>
              <w:t>22,874</w:t>
            </w:r>
          </w:p>
        </w:tc>
      </w:tr>
      <w:tr w:rsidR="00AA6835" w:rsidRPr="00864C8C" w:rsidTr="00716C07">
        <w:tc>
          <w:tcPr>
            <w:tcW w:w="1595" w:type="dxa"/>
          </w:tcPr>
          <w:p w:rsidR="00AA6835" w:rsidRPr="00864C8C" w:rsidRDefault="00AA6835" w:rsidP="00716C07">
            <w:pPr>
              <w:jc w:val="right"/>
              <w:rPr>
                <w:rFonts w:ascii="Times New Roman" w:hAnsi="Times New Roman" w:cs="Times New Roman"/>
                <w:sz w:val="24"/>
                <w:szCs w:val="24"/>
              </w:rPr>
            </w:pPr>
            <w:r w:rsidRPr="00864C8C">
              <w:rPr>
                <w:rFonts w:ascii="Times New Roman" w:hAnsi="Times New Roman" w:cs="Times New Roman"/>
                <w:sz w:val="24"/>
                <w:szCs w:val="24"/>
              </w:rPr>
              <w:t>Total</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6,919</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38,106</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14,349</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115,413</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9,984</w:t>
            </w:r>
          </w:p>
        </w:tc>
        <w:tc>
          <w:tcPr>
            <w:tcW w:w="1211"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184,771</w:t>
            </w:r>
          </w:p>
        </w:tc>
      </w:tr>
    </w:tbl>
    <w:p w:rsidR="00AA6835" w:rsidRPr="003852CD" w:rsidRDefault="00070A76" w:rsidP="00AA6835">
      <w:pPr>
        <w:rPr>
          <w:rFonts w:ascii="Times New Roman" w:hAnsi="Times New Roman" w:cs="Times New Roman"/>
          <w:sz w:val="20"/>
          <w:szCs w:val="20"/>
        </w:rPr>
      </w:pPr>
      <w:r w:rsidRPr="00070A76">
        <w:rPr>
          <w:rFonts w:ascii="Times New Roman" w:hAnsi="Times New Roman" w:cs="Times New Roman"/>
          <w:i/>
          <w:sz w:val="20"/>
          <w:szCs w:val="20"/>
        </w:rPr>
        <w:t>Note.</w:t>
      </w:r>
      <w:r>
        <w:rPr>
          <w:rFonts w:ascii="Times New Roman" w:hAnsi="Times New Roman" w:cs="Times New Roman"/>
          <w:sz w:val="24"/>
          <w:szCs w:val="24"/>
        </w:rPr>
        <w:t xml:space="preserve"> </w:t>
      </w:r>
      <w:r w:rsidR="00AA6835" w:rsidRPr="00070A76">
        <w:rPr>
          <w:rFonts w:ascii="Times New Roman" w:hAnsi="Times New Roman" w:cs="Times New Roman"/>
          <w:sz w:val="20"/>
          <w:szCs w:val="20"/>
        </w:rPr>
        <w:t>*T</w:t>
      </w:r>
      <w:r w:rsidR="00AA6835" w:rsidRPr="003852CD">
        <w:rPr>
          <w:rFonts w:ascii="Times New Roman" w:hAnsi="Times New Roman" w:cs="Times New Roman"/>
          <w:sz w:val="20"/>
          <w:szCs w:val="20"/>
        </w:rPr>
        <w:t>able represents 43 jurisdictions who supplied data in 2009 for this analysis.</w:t>
      </w:r>
    </w:p>
    <w:p w:rsidR="00AA6835" w:rsidRPr="003852CD" w:rsidRDefault="00AA6835" w:rsidP="00AA6835">
      <w:pPr>
        <w:rPr>
          <w:rFonts w:ascii="Times New Roman" w:hAnsi="Times New Roman" w:cs="Times New Roman"/>
          <w:sz w:val="20"/>
          <w:szCs w:val="20"/>
        </w:rPr>
      </w:pPr>
      <w:r w:rsidRPr="003852CD">
        <w:rPr>
          <w:rFonts w:ascii="Times New Roman" w:hAnsi="Times New Roman" w:cs="Times New Roman"/>
          <w:sz w:val="20"/>
          <w:szCs w:val="20"/>
        </w:rPr>
        <w:t>^Some jurisdictions classify all advanced practice nurses as APRNs (i.e., they do not specify an APRN as a CNM, CRNA, CNS or CNP).</w:t>
      </w:r>
    </w:p>
    <w:p w:rsidR="00AA6835" w:rsidRDefault="00AA6835" w:rsidP="00AA6835">
      <w:pPr>
        <w:rPr>
          <w:rFonts w:ascii="Times New Roman" w:hAnsi="Times New Roman" w:cs="Times New Roman"/>
          <w:sz w:val="24"/>
          <w:szCs w:val="24"/>
        </w:rPr>
      </w:pPr>
    </w:p>
    <w:p w:rsidR="00AA6835" w:rsidRPr="00864C8C" w:rsidRDefault="00AA6835" w:rsidP="00AA6835">
      <w:pPr>
        <w:rPr>
          <w:rFonts w:ascii="Times New Roman" w:hAnsi="Times New Roman" w:cs="Times New Roman"/>
          <w:sz w:val="24"/>
          <w:szCs w:val="24"/>
        </w:rPr>
      </w:pPr>
    </w:p>
    <w:p w:rsidR="00AA6835" w:rsidRPr="00864C8C" w:rsidRDefault="00AA6835" w:rsidP="00AA6835">
      <w:pPr>
        <w:rPr>
          <w:rFonts w:ascii="Times New Roman" w:hAnsi="Times New Roman" w:cs="Times New Roman"/>
          <w:sz w:val="24"/>
          <w:szCs w:val="24"/>
        </w:rPr>
      </w:pPr>
      <w:proofErr w:type="gramStart"/>
      <w:r w:rsidRPr="00864C8C">
        <w:rPr>
          <w:rFonts w:ascii="Times New Roman" w:hAnsi="Times New Roman" w:cs="Times New Roman"/>
          <w:sz w:val="24"/>
          <w:szCs w:val="24"/>
        </w:rPr>
        <w:t>Table 2.</w:t>
      </w:r>
      <w:proofErr w:type="gramEnd"/>
      <w:r w:rsidRPr="00864C8C">
        <w:rPr>
          <w:rFonts w:ascii="Times New Roman" w:hAnsi="Times New Roman" w:cs="Times New Roman"/>
          <w:sz w:val="24"/>
          <w:szCs w:val="24"/>
        </w:rPr>
        <w:t xml:space="preserve"> Level of prescriptive authority by type of APRN*</w:t>
      </w:r>
    </w:p>
    <w:tbl>
      <w:tblPr>
        <w:tblStyle w:val="TableGrid"/>
        <w:tblW w:w="0" w:type="auto"/>
        <w:tblLook w:val="04A0"/>
      </w:tblPr>
      <w:tblGrid>
        <w:gridCol w:w="1870"/>
        <w:gridCol w:w="1210"/>
        <w:gridCol w:w="1210"/>
        <w:gridCol w:w="1210"/>
        <w:gridCol w:w="1210"/>
        <w:gridCol w:w="1210"/>
        <w:gridCol w:w="1211"/>
      </w:tblGrid>
      <w:tr w:rsidR="00AA6835" w:rsidRPr="00864C8C" w:rsidTr="00716C07">
        <w:tc>
          <w:tcPr>
            <w:tcW w:w="1595" w:type="dxa"/>
          </w:tcPr>
          <w:p w:rsidR="00AA6835" w:rsidRPr="00864C8C" w:rsidRDefault="00AA6835" w:rsidP="00716C07">
            <w:pPr>
              <w:rPr>
                <w:rFonts w:ascii="Times New Roman" w:hAnsi="Times New Roman" w:cs="Times New Roman"/>
                <w:sz w:val="24"/>
                <w:szCs w:val="24"/>
              </w:rPr>
            </w:pP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CNM</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CRNA</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CNS</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CNP</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APRN^</w:t>
            </w:r>
          </w:p>
        </w:tc>
        <w:tc>
          <w:tcPr>
            <w:tcW w:w="1211"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Total</w:t>
            </w:r>
          </w:p>
        </w:tc>
      </w:tr>
      <w:tr w:rsidR="00AA6835" w:rsidRPr="00864C8C" w:rsidTr="00716C07">
        <w:tc>
          <w:tcPr>
            <w:tcW w:w="1595" w:type="dxa"/>
          </w:tcPr>
          <w:p w:rsidR="00AA6835" w:rsidRPr="00864C8C" w:rsidRDefault="00AA6835" w:rsidP="00716C07">
            <w:pPr>
              <w:rPr>
                <w:rFonts w:ascii="Times New Roman" w:hAnsi="Times New Roman" w:cs="Times New Roman"/>
                <w:sz w:val="24"/>
                <w:szCs w:val="24"/>
              </w:rPr>
            </w:pPr>
            <w:r w:rsidRPr="00864C8C">
              <w:rPr>
                <w:rFonts w:ascii="Times New Roman" w:hAnsi="Times New Roman" w:cs="Times New Roman"/>
                <w:sz w:val="24"/>
                <w:szCs w:val="24"/>
              </w:rPr>
              <w:t>Independent</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1,612</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2,384</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1,444</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11,551</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1,409</w:t>
            </w:r>
          </w:p>
        </w:tc>
        <w:tc>
          <w:tcPr>
            <w:tcW w:w="1211"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18,400</w:t>
            </w:r>
          </w:p>
        </w:tc>
      </w:tr>
      <w:tr w:rsidR="00AA6835" w:rsidRPr="00864C8C" w:rsidTr="00716C07">
        <w:tc>
          <w:tcPr>
            <w:tcW w:w="1595" w:type="dxa"/>
          </w:tcPr>
          <w:p w:rsidR="00AA6835" w:rsidRPr="00864C8C" w:rsidRDefault="00AA6835" w:rsidP="00716C07">
            <w:pPr>
              <w:rPr>
                <w:rFonts w:ascii="Times New Roman" w:hAnsi="Times New Roman" w:cs="Times New Roman"/>
                <w:sz w:val="24"/>
                <w:szCs w:val="24"/>
              </w:rPr>
            </w:pPr>
            <w:r w:rsidRPr="00864C8C">
              <w:rPr>
                <w:rFonts w:ascii="Times New Roman" w:hAnsi="Times New Roman" w:cs="Times New Roman"/>
                <w:sz w:val="24"/>
                <w:szCs w:val="24"/>
              </w:rPr>
              <w:t>Collaborative</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5,</w:t>
            </w:r>
            <w:r>
              <w:rPr>
                <w:rFonts w:ascii="Times New Roman" w:hAnsi="Times New Roman" w:cs="Times New Roman"/>
                <w:sz w:val="24"/>
                <w:szCs w:val="24"/>
              </w:rPr>
              <w:t>045</w:t>
            </w:r>
          </w:p>
        </w:tc>
        <w:tc>
          <w:tcPr>
            <w:tcW w:w="1210" w:type="dxa"/>
          </w:tcPr>
          <w:p w:rsidR="00AA6835" w:rsidRPr="00864C8C" w:rsidRDefault="00AA6835" w:rsidP="00716C07">
            <w:pPr>
              <w:jc w:val="center"/>
              <w:rPr>
                <w:rFonts w:ascii="Times New Roman" w:hAnsi="Times New Roman" w:cs="Times New Roman"/>
                <w:sz w:val="24"/>
                <w:szCs w:val="24"/>
              </w:rPr>
            </w:pPr>
            <w:r>
              <w:rPr>
                <w:rFonts w:ascii="Times New Roman" w:hAnsi="Times New Roman" w:cs="Times New Roman"/>
                <w:sz w:val="24"/>
                <w:szCs w:val="24"/>
              </w:rPr>
              <w:t>18</w:t>
            </w:r>
            <w:r w:rsidRPr="00864C8C">
              <w:rPr>
                <w:rFonts w:ascii="Times New Roman" w:hAnsi="Times New Roman" w:cs="Times New Roman"/>
                <w:sz w:val="24"/>
                <w:szCs w:val="24"/>
              </w:rPr>
              <w:t>,</w:t>
            </w:r>
            <w:r>
              <w:rPr>
                <w:rFonts w:ascii="Times New Roman" w:hAnsi="Times New Roman" w:cs="Times New Roman"/>
                <w:sz w:val="24"/>
                <w:szCs w:val="24"/>
              </w:rPr>
              <w:t>170</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7,652</w:t>
            </w:r>
          </w:p>
        </w:tc>
        <w:tc>
          <w:tcPr>
            <w:tcW w:w="1210" w:type="dxa"/>
          </w:tcPr>
          <w:p w:rsidR="00AA6835" w:rsidRPr="00864C8C" w:rsidRDefault="00AA6835" w:rsidP="00716C07">
            <w:pPr>
              <w:jc w:val="center"/>
              <w:rPr>
                <w:rFonts w:ascii="Times New Roman" w:hAnsi="Times New Roman" w:cs="Times New Roman"/>
                <w:sz w:val="24"/>
                <w:szCs w:val="24"/>
              </w:rPr>
            </w:pPr>
            <w:r>
              <w:rPr>
                <w:rFonts w:ascii="Times New Roman" w:hAnsi="Times New Roman" w:cs="Times New Roman"/>
                <w:sz w:val="24"/>
                <w:szCs w:val="24"/>
              </w:rPr>
              <w:t>97,018</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8,575</w:t>
            </w:r>
          </w:p>
        </w:tc>
        <w:tc>
          <w:tcPr>
            <w:tcW w:w="1211"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w:t>
            </w:r>
            <w:r>
              <w:rPr>
                <w:rFonts w:ascii="Times New Roman" w:hAnsi="Times New Roman" w:cs="Times New Roman"/>
                <w:sz w:val="24"/>
                <w:szCs w:val="24"/>
              </w:rPr>
              <w:t>36,460</w:t>
            </w:r>
          </w:p>
        </w:tc>
      </w:tr>
      <w:tr w:rsidR="00AA6835" w:rsidRPr="00864C8C" w:rsidTr="00716C07">
        <w:tc>
          <w:tcPr>
            <w:tcW w:w="1595" w:type="dxa"/>
          </w:tcPr>
          <w:p w:rsidR="00AA6835" w:rsidRPr="00864C8C" w:rsidRDefault="00AA6835" w:rsidP="00716C07">
            <w:pPr>
              <w:rPr>
                <w:rFonts w:ascii="Times New Roman" w:hAnsi="Times New Roman" w:cs="Times New Roman"/>
                <w:sz w:val="24"/>
                <w:szCs w:val="24"/>
              </w:rPr>
            </w:pPr>
            <w:r w:rsidRPr="00864C8C">
              <w:rPr>
                <w:rFonts w:ascii="Times New Roman" w:hAnsi="Times New Roman" w:cs="Times New Roman"/>
                <w:sz w:val="24"/>
                <w:szCs w:val="24"/>
              </w:rPr>
              <w:t>Supervised/None</w:t>
            </w:r>
          </w:p>
        </w:tc>
        <w:tc>
          <w:tcPr>
            <w:tcW w:w="1210" w:type="dxa"/>
          </w:tcPr>
          <w:p w:rsidR="00AA6835" w:rsidRPr="00864C8C" w:rsidRDefault="00AA6835" w:rsidP="00716C07">
            <w:pPr>
              <w:jc w:val="center"/>
              <w:rPr>
                <w:rFonts w:ascii="Times New Roman" w:hAnsi="Times New Roman" w:cs="Times New Roman"/>
                <w:sz w:val="24"/>
                <w:szCs w:val="24"/>
              </w:rPr>
            </w:pPr>
            <w:r>
              <w:rPr>
                <w:rFonts w:ascii="Times New Roman" w:hAnsi="Times New Roman" w:cs="Times New Roman"/>
                <w:sz w:val="24"/>
                <w:szCs w:val="24"/>
              </w:rPr>
              <w:t>262</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w:t>
            </w:r>
            <w:r>
              <w:rPr>
                <w:rFonts w:ascii="Times New Roman" w:hAnsi="Times New Roman" w:cs="Times New Roman"/>
                <w:sz w:val="24"/>
                <w:szCs w:val="24"/>
              </w:rPr>
              <w:t>7,552</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5,253</w:t>
            </w:r>
          </w:p>
        </w:tc>
        <w:tc>
          <w:tcPr>
            <w:tcW w:w="1210" w:type="dxa"/>
          </w:tcPr>
          <w:p w:rsidR="00AA6835" w:rsidRPr="00864C8C" w:rsidRDefault="00AA6835" w:rsidP="00716C07">
            <w:pPr>
              <w:jc w:val="center"/>
              <w:rPr>
                <w:rFonts w:ascii="Times New Roman" w:hAnsi="Times New Roman" w:cs="Times New Roman"/>
                <w:sz w:val="24"/>
                <w:szCs w:val="24"/>
              </w:rPr>
            </w:pPr>
            <w:r>
              <w:rPr>
                <w:rFonts w:ascii="Times New Roman" w:hAnsi="Times New Roman" w:cs="Times New Roman"/>
                <w:sz w:val="24"/>
                <w:szCs w:val="24"/>
              </w:rPr>
              <w:t>6,844</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0</w:t>
            </w:r>
          </w:p>
        </w:tc>
        <w:tc>
          <w:tcPr>
            <w:tcW w:w="1211"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2</w:t>
            </w:r>
            <w:r>
              <w:rPr>
                <w:rFonts w:ascii="Times New Roman" w:hAnsi="Times New Roman" w:cs="Times New Roman"/>
                <w:sz w:val="24"/>
                <w:szCs w:val="24"/>
              </w:rPr>
              <w:t>9,911</w:t>
            </w:r>
          </w:p>
        </w:tc>
      </w:tr>
      <w:tr w:rsidR="00AA6835" w:rsidRPr="00864C8C" w:rsidTr="00716C07">
        <w:tc>
          <w:tcPr>
            <w:tcW w:w="1595" w:type="dxa"/>
          </w:tcPr>
          <w:p w:rsidR="00AA6835" w:rsidRPr="00864C8C" w:rsidRDefault="00AA6835" w:rsidP="00716C07">
            <w:pPr>
              <w:jc w:val="right"/>
              <w:rPr>
                <w:rFonts w:ascii="Times New Roman" w:hAnsi="Times New Roman" w:cs="Times New Roman"/>
                <w:sz w:val="24"/>
                <w:szCs w:val="24"/>
              </w:rPr>
            </w:pPr>
            <w:r w:rsidRPr="00864C8C">
              <w:rPr>
                <w:rFonts w:ascii="Times New Roman" w:hAnsi="Times New Roman" w:cs="Times New Roman"/>
                <w:sz w:val="24"/>
                <w:szCs w:val="24"/>
              </w:rPr>
              <w:t>Total</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6,919</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38,106</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14,349</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115,413</w:t>
            </w:r>
          </w:p>
        </w:tc>
        <w:tc>
          <w:tcPr>
            <w:tcW w:w="1210"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9,984</w:t>
            </w:r>
          </w:p>
        </w:tc>
        <w:tc>
          <w:tcPr>
            <w:tcW w:w="1211" w:type="dxa"/>
          </w:tcPr>
          <w:p w:rsidR="00AA6835" w:rsidRPr="00864C8C" w:rsidRDefault="00AA6835" w:rsidP="00716C07">
            <w:pPr>
              <w:jc w:val="center"/>
              <w:rPr>
                <w:rFonts w:ascii="Times New Roman" w:hAnsi="Times New Roman" w:cs="Times New Roman"/>
                <w:sz w:val="24"/>
                <w:szCs w:val="24"/>
              </w:rPr>
            </w:pPr>
            <w:r w:rsidRPr="00864C8C">
              <w:rPr>
                <w:rFonts w:ascii="Times New Roman" w:hAnsi="Times New Roman" w:cs="Times New Roman"/>
                <w:sz w:val="24"/>
                <w:szCs w:val="24"/>
              </w:rPr>
              <w:t>184,771</w:t>
            </w:r>
          </w:p>
        </w:tc>
      </w:tr>
    </w:tbl>
    <w:p w:rsidR="00AA6835" w:rsidRPr="003852CD" w:rsidRDefault="00070A76" w:rsidP="00AA6835">
      <w:pPr>
        <w:rPr>
          <w:rFonts w:ascii="Times New Roman" w:hAnsi="Times New Roman" w:cs="Times New Roman"/>
          <w:sz w:val="20"/>
          <w:szCs w:val="20"/>
        </w:rPr>
      </w:pPr>
      <w:r w:rsidRPr="00070A76">
        <w:rPr>
          <w:rFonts w:ascii="Times New Roman" w:hAnsi="Times New Roman" w:cs="Times New Roman"/>
          <w:i/>
          <w:sz w:val="20"/>
          <w:szCs w:val="20"/>
        </w:rPr>
        <w:t>Note.</w:t>
      </w:r>
      <w:r>
        <w:rPr>
          <w:rFonts w:ascii="Times New Roman" w:hAnsi="Times New Roman" w:cs="Times New Roman"/>
          <w:sz w:val="20"/>
          <w:szCs w:val="20"/>
        </w:rPr>
        <w:t xml:space="preserve"> </w:t>
      </w:r>
      <w:r w:rsidR="00AA6835" w:rsidRPr="003852CD">
        <w:rPr>
          <w:rFonts w:ascii="Times New Roman" w:hAnsi="Times New Roman" w:cs="Times New Roman"/>
          <w:sz w:val="20"/>
          <w:szCs w:val="20"/>
        </w:rPr>
        <w:t>*Table represents 43 jurisdictions who supplied data in 2009 for this analysis.</w:t>
      </w:r>
    </w:p>
    <w:p w:rsidR="00AA6835" w:rsidRPr="003852CD" w:rsidRDefault="00AA6835" w:rsidP="00AA6835">
      <w:pPr>
        <w:rPr>
          <w:rFonts w:ascii="Times New Roman" w:hAnsi="Times New Roman" w:cs="Times New Roman"/>
          <w:sz w:val="20"/>
          <w:szCs w:val="20"/>
        </w:rPr>
      </w:pPr>
      <w:r w:rsidRPr="003852CD">
        <w:rPr>
          <w:rFonts w:ascii="Times New Roman" w:hAnsi="Times New Roman" w:cs="Times New Roman"/>
          <w:sz w:val="20"/>
          <w:szCs w:val="20"/>
        </w:rPr>
        <w:t>^Some jurisdictions classify all advanced practice nurses as APRNs (i.e., they do not specify an APRN as a CNM, CRNA, CNS or CNP).</w:t>
      </w:r>
    </w:p>
    <w:p w:rsidR="00AA6835" w:rsidRDefault="00AA6835" w:rsidP="00575F2E">
      <w:pPr>
        <w:spacing w:line="480" w:lineRule="auto"/>
        <w:rPr>
          <w:rFonts w:ascii="Times New Roman" w:hAnsi="Times New Roman" w:cs="Times New Roman"/>
          <w:color w:val="4F81BD" w:themeColor="accent1"/>
          <w:sz w:val="24"/>
          <w:szCs w:val="24"/>
        </w:rPr>
      </w:pPr>
    </w:p>
    <w:p w:rsidR="00575F2E" w:rsidRDefault="00AA6835" w:rsidP="009C7D88">
      <w:pPr>
        <w:spacing w:line="480" w:lineRule="auto"/>
        <w:ind w:firstLine="720"/>
        <w:rPr>
          <w:rFonts w:ascii="Times New Roman" w:hAnsi="Times New Roman" w:cs="Times New Roman"/>
          <w:sz w:val="24"/>
          <w:szCs w:val="24"/>
        </w:rPr>
      </w:pPr>
      <w:r w:rsidRPr="00864C8C">
        <w:rPr>
          <w:rFonts w:ascii="Times New Roman" w:hAnsi="Times New Roman" w:cs="Times New Roman"/>
          <w:sz w:val="24"/>
          <w:szCs w:val="24"/>
        </w:rPr>
        <w:t xml:space="preserve">There were 260 out of 184,771 APRNs identified as having disciplinary action in 2009, or rather study data indicated that 0.14% of all APRNs were disciplined in 2009. These 260 APRNs were categorized into one of the following groups: CNM, CRNA, CNS, or CNP (see Table 3). </w:t>
      </w:r>
    </w:p>
    <w:p w:rsidR="00070A76" w:rsidRDefault="00070A76" w:rsidP="009C7D88">
      <w:pPr>
        <w:spacing w:line="480" w:lineRule="auto"/>
        <w:ind w:firstLine="720"/>
        <w:rPr>
          <w:rFonts w:ascii="Times New Roman" w:hAnsi="Times New Roman" w:cs="Times New Roman"/>
          <w:sz w:val="24"/>
          <w:szCs w:val="24"/>
        </w:rPr>
      </w:pPr>
    </w:p>
    <w:p w:rsidR="00AA6835" w:rsidRPr="00864C8C" w:rsidRDefault="00AA6835" w:rsidP="00070A76">
      <w:pPr>
        <w:rPr>
          <w:rFonts w:ascii="Times New Roman" w:hAnsi="Times New Roman" w:cs="Times New Roman"/>
          <w:sz w:val="24"/>
          <w:szCs w:val="24"/>
        </w:rPr>
      </w:pPr>
      <w:proofErr w:type="gramStart"/>
      <w:r w:rsidRPr="00864C8C">
        <w:rPr>
          <w:rFonts w:ascii="Times New Roman" w:hAnsi="Times New Roman" w:cs="Times New Roman"/>
          <w:sz w:val="24"/>
          <w:szCs w:val="24"/>
        </w:rPr>
        <w:t>Table 3.</w:t>
      </w:r>
      <w:proofErr w:type="gramEnd"/>
      <w:r w:rsidRPr="00864C8C">
        <w:rPr>
          <w:rFonts w:ascii="Times New Roman" w:hAnsi="Times New Roman" w:cs="Times New Roman"/>
          <w:sz w:val="24"/>
          <w:szCs w:val="24"/>
        </w:rPr>
        <w:t xml:space="preserve"> APRNs disciplined in 2009</w:t>
      </w:r>
    </w:p>
    <w:tbl>
      <w:tblPr>
        <w:tblStyle w:val="TableGrid"/>
        <w:tblW w:w="0" w:type="auto"/>
        <w:tblLook w:val="04A0"/>
      </w:tblPr>
      <w:tblGrid>
        <w:gridCol w:w="1530"/>
        <w:gridCol w:w="4608"/>
      </w:tblGrid>
      <w:tr w:rsidR="00AA6835" w:rsidRPr="00864C8C" w:rsidTr="00070A76">
        <w:tc>
          <w:tcPr>
            <w:tcW w:w="1530" w:type="dxa"/>
          </w:tcPr>
          <w:p w:rsidR="00AA6835" w:rsidRPr="00864C8C" w:rsidRDefault="00AA6835" w:rsidP="00070A76">
            <w:pPr>
              <w:rPr>
                <w:rFonts w:ascii="Times New Roman" w:hAnsi="Times New Roman" w:cs="Times New Roman"/>
                <w:sz w:val="24"/>
                <w:szCs w:val="24"/>
              </w:rPr>
            </w:pPr>
          </w:p>
        </w:tc>
        <w:tc>
          <w:tcPr>
            <w:tcW w:w="4608" w:type="dxa"/>
          </w:tcPr>
          <w:p w:rsidR="00AA6835" w:rsidRPr="00864C8C" w:rsidRDefault="00AA6835" w:rsidP="00070A76">
            <w:pPr>
              <w:jc w:val="center"/>
              <w:rPr>
                <w:rFonts w:ascii="Times New Roman" w:hAnsi="Times New Roman" w:cs="Times New Roman"/>
                <w:sz w:val="24"/>
                <w:szCs w:val="24"/>
              </w:rPr>
            </w:pPr>
            <w:r w:rsidRPr="00864C8C">
              <w:rPr>
                <w:rFonts w:ascii="Times New Roman" w:hAnsi="Times New Roman" w:cs="Times New Roman"/>
                <w:sz w:val="24"/>
                <w:szCs w:val="24"/>
              </w:rPr>
              <w:t>Number of APRNs disciplined</w:t>
            </w:r>
          </w:p>
        </w:tc>
      </w:tr>
      <w:tr w:rsidR="00AA6835" w:rsidRPr="00864C8C" w:rsidTr="00070A76">
        <w:trPr>
          <w:trHeight w:val="332"/>
        </w:trPr>
        <w:tc>
          <w:tcPr>
            <w:tcW w:w="1530" w:type="dxa"/>
            <w:vAlign w:val="center"/>
          </w:tcPr>
          <w:p w:rsidR="00AA6835" w:rsidRPr="00864C8C" w:rsidRDefault="00AA6835" w:rsidP="00070A76">
            <w:pPr>
              <w:rPr>
                <w:rFonts w:ascii="Times New Roman" w:hAnsi="Times New Roman" w:cs="Times New Roman"/>
                <w:sz w:val="24"/>
                <w:szCs w:val="24"/>
              </w:rPr>
            </w:pPr>
            <w:r w:rsidRPr="00864C8C">
              <w:rPr>
                <w:rFonts w:ascii="Times New Roman" w:hAnsi="Times New Roman" w:cs="Times New Roman"/>
                <w:sz w:val="24"/>
                <w:szCs w:val="24"/>
              </w:rPr>
              <w:t xml:space="preserve">    CNM</w:t>
            </w:r>
          </w:p>
        </w:tc>
        <w:tc>
          <w:tcPr>
            <w:tcW w:w="4608" w:type="dxa"/>
            <w:vAlign w:val="center"/>
          </w:tcPr>
          <w:p w:rsidR="00AA6835" w:rsidRPr="00864C8C" w:rsidRDefault="00AA6835" w:rsidP="00070A76">
            <w:pPr>
              <w:jc w:val="center"/>
              <w:rPr>
                <w:rFonts w:ascii="Times New Roman" w:hAnsi="Times New Roman" w:cs="Times New Roman"/>
                <w:sz w:val="24"/>
                <w:szCs w:val="24"/>
              </w:rPr>
            </w:pPr>
            <w:r w:rsidRPr="00864C8C">
              <w:rPr>
                <w:rFonts w:ascii="Times New Roman" w:hAnsi="Times New Roman" w:cs="Times New Roman"/>
                <w:sz w:val="24"/>
                <w:szCs w:val="24"/>
              </w:rPr>
              <w:t>9</w:t>
            </w:r>
          </w:p>
        </w:tc>
      </w:tr>
      <w:tr w:rsidR="00AA6835" w:rsidRPr="00864C8C" w:rsidTr="00070A76">
        <w:trPr>
          <w:trHeight w:val="350"/>
        </w:trPr>
        <w:tc>
          <w:tcPr>
            <w:tcW w:w="1530" w:type="dxa"/>
            <w:vAlign w:val="center"/>
          </w:tcPr>
          <w:p w:rsidR="00AA6835" w:rsidRPr="00864C8C" w:rsidRDefault="00AA6835" w:rsidP="00070A76">
            <w:pPr>
              <w:rPr>
                <w:rFonts w:ascii="Times New Roman" w:hAnsi="Times New Roman" w:cs="Times New Roman"/>
                <w:sz w:val="24"/>
                <w:szCs w:val="24"/>
              </w:rPr>
            </w:pPr>
            <w:r w:rsidRPr="00864C8C">
              <w:rPr>
                <w:rFonts w:ascii="Times New Roman" w:hAnsi="Times New Roman" w:cs="Times New Roman"/>
                <w:sz w:val="24"/>
                <w:szCs w:val="24"/>
              </w:rPr>
              <w:t xml:space="preserve">    CRNA</w:t>
            </w:r>
          </w:p>
        </w:tc>
        <w:tc>
          <w:tcPr>
            <w:tcW w:w="4608" w:type="dxa"/>
            <w:vAlign w:val="center"/>
          </w:tcPr>
          <w:p w:rsidR="00AA6835" w:rsidRPr="00864C8C" w:rsidRDefault="00AA6835" w:rsidP="00070A76">
            <w:pPr>
              <w:jc w:val="center"/>
              <w:rPr>
                <w:rFonts w:ascii="Times New Roman" w:hAnsi="Times New Roman" w:cs="Times New Roman"/>
                <w:sz w:val="24"/>
                <w:szCs w:val="24"/>
              </w:rPr>
            </w:pPr>
            <w:r w:rsidRPr="00864C8C">
              <w:rPr>
                <w:rFonts w:ascii="Times New Roman" w:hAnsi="Times New Roman" w:cs="Times New Roman"/>
                <w:sz w:val="24"/>
                <w:szCs w:val="24"/>
              </w:rPr>
              <w:t>71</w:t>
            </w:r>
          </w:p>
        </w:tc>
      </w:tr>
      <w:tr w:rsidR="00AA6835" w:rsidRPr="00864C8C" w:rsidTr="00070A76">
        <w:trPr>
          <w:trHeight w:val="350"/>
        </w:trPr>
        <w:tc>
          <w:tcPr>
            <w:tcW w:w="1530" w:type="dxa"/>
            <w:vAlign w:val="center"/>
          </w:tcPr>
          <w:p w:rsidR="00AA6835" w:rsidRPr="00864C8C" w:rsidRDefault="00AA6835" w:rsidP="00070A76">
            <w:pPr>
              <w:rPr>
                <w:rFonts w:ascii="Times New Roman" w:hAnsi="Times New Roman" w:cs="Times New Roman"/>
                <w:sz w:val="24"/>
                <w:szCs w:val="24"/>
              </w:rPr>
            </w:pPr>
            <w:r w:rsidRPr="00864C8C">
              <w:rPr>
                <w:rFonts w:ascii="Times New Roman" w:hAnsi="Times New Roman" w:cs="Times New Roman"/>
                <w:sz w:val="24"/>
                <w:szCs w:val="24"/>
              </w:rPr>
              <w:t xml:space="preserve">    CNS</w:t>
            </w:r>
          </w:p>
        </w:tc>
        <w:tc>
          <w:tcPr>
            <w:tcW w:w="4608" w:type="dxa"/>
            <w:vAlign w:val="center"/>
          </w:tcPr>
          <w:p w:rsidR="00AA6835" w:rsidRPr="00864C8C" w:rsidRDefault="00AA6835" w:rsidP="00070A76">
            <w:pPr>
              <w:jc w:val="center"/>
              <w:rPr>
                <w:rFonts w:ascii="Times New Roman" w:hAnsi="Times New Roman" w:cs="Times New Roman"/>
                <w:sz w:val="24"/>
                <w:szCs w:val="24"/>
              </w:rPr>
            </w:pPr>
            <w:r w:rsidRPr="00864C8C">
              <w:rPr>
                <w:rFonts w:ascii="Times New Roman" w:hAnsi="Times New Roman" w:cs="Times New Roman"/>
                <w:sz w:val="24"/>
                <w:szCs w:val="24"/>
              </w:rPr>
              <w:t>8</w:t>
            </w:r>
          </w:p>
        </w:tc>
      </w:tr>
      <w:tr w:rsidR="00AA6835" w:rsidRPr="00864C8C" w:rsidTr="00070A76">
        <w:trPr>
          <w:trHeight w:val="341"/>
        </w:trPr>
        <w:tc>
          <w:tcPr>
            <w:tcW w:w="1530" w:type="dxa"/>
            <w:vAlign w:val="center"/>
          </w:tcPr>
          <w:p w:rsidR="00AA6835" w:rsidRPr="00864C8C" w:rsidRDefault="00AA6835" w:rsidP="00070A76">
            <w:pPr>
              <w:rPr>
                <w:rFonts w:ascii="Times New Roman" w:hAnsi="Times New Roman" w:cs="Times New Roman"/>
                <w:sz w:val="24"/>
                <w:szCs w:val="24"/>
              </w:rPr>
            </w:pPr>
            <w:r w:rsidRPr="00864C8C">
              <w:rPr>
                <w:rFonts w:ascii="Times New Roman" w:hAnsi="Times New Roman" w:cs="Times New Roman"/>
                <w:sz w:val="24"/>
                <w:szCs w:val="24"/>
              </w:rPr>
              <w:t xml:space="preserve">    CNP</w:t>
            </w:r>
          </w:p>
        </w:tc>
        <w:tc>
          <w:tcPr>
            <w:tcW w:w="4608" w:type="dxa"/>
            <w:vAlign w:val="center"/>
          </w:tcPr>
          <w:p w:rsidR="00AA6835" w:rsidRPr="00864C8C" w:rsidRDefault="00AA6835" w:rsidP="00070A76">
            <w:pPr>
              <w:jc w:val="center"/>
              <w:rPr>
                <w:rFonts w:ascii="Times New Roman" w:hAnsi="Times New Roman" w:cs="Times New Roman"/>
                <w:sz w:val="24"/>
                <w:szCs w:val="24"/>
              </w:rPr>
            </w:pPr>
            <w:r w:rsidRPr="00864C8C">
              <w:rPr>
                <w:rFonts w:ascii="Times New Roman" w:hAnsi="Times New Roman" w:cs="Times New Roman"/>
                <w:sz w:val="24"/>
                <w:szCs w:val="24"/>
              </w:rPr>
              <w:t>150</w:t>
            </w:r>
          </w:p>
        </w:tc>
      </w:tr>
      <w:tr w:rsidR="00AA6835" w:rsidRPr="00864C8C" w:rsidTr="00070A76">
        <w:trPr>
          <w:trHeight w:val="359"/>
        </w:trPr>
        <w:tc>
          <w:tcPr>
            <w:tcW w:w="1530" w:type="dxa"/>
            <w:vAlign w:val="center"/>
          </w:tcPr>
          <w:p w:rsidR="00AA6835" w:rsidRPr="00864C8C" w:rsidRDefault="00AA6835" w:rsidP="00070A76">
            <w:pPr>
              <w:rPr>
                <w:rFonts w:ascii="Times New Roman" w:hAnsi="Times New Roman" w:cs="Times New Roman"/>
                <w:sz w:val="24"/>
                <w:szCs w:val="24"/>
              </w:rPr>
            </w:pPr>
            <w:r w:rsidRPr="00864C8C">
              <w:rPr>
                <w:rFonts w:ascii="Times New Roman" w:hAnsi="Times New Roman" w:cs="Times New Roman"/>
                <w:sz w:val="24"/>
                <w:szCs w:val="24"/>
              </w:rPr>
              <w:t xml:space="preserve">    APRN^</w:t>
            </w:r>
          </w:p>
        </w:tc>
        <w:tc>
          <w:tcPr>
            <w:tcW w:w="4608" w:type="dxa"/>
            <w:vAlign w:val="center"/>
          </w:tcPr>
          <w:p w:rsidR="00AA6835" w:rsidRPr="00864C8C" w:rsidRDefault="00AA6835" w:rsidP="00070A76">
            <w:pPr>
              <w:jc w:val="center"/>
              <w:rPr>
                <w:rFonts w:ascii="Times New Roman" w:hAnsi="Times New Roman" w:cs="Times New Roman"/>
                <w:sz w:val="24"/>
                <w:szCs w:val="24"/>
              </w:rPr>
            </w:pPr>
            <w:r w:rsidRPr="00864C8C">
              <w:rPr>
                <w:rFonts w:ascii="Times New Roman" w:hAnsi="Times New Roman" w:cs="Times New Roman"/>
                <w:sz w:val="24"/>
                <w:szCs w:val="24"/>
              </w:rPr>
              <w:t>22</w:t>
            </w:r>
          </w:p>
        </w:tc>
      </w:tr>
      <w:tr w:rsidR="00AA6835" w:rsidRPr="00864C8C" w:rsidTr="00070A76">
        <w:trPr>
          <w:trHeight w:val="350"/>
        </w:trPr>
        <w:tc>
          <w:tcPr>
            <w:tcW w:w="1530" w:type="dxa"/>
            <w:vAlign w:val="center"/>
          </w:tcPr>
          <w:p w:rsidR="00AA6835" w:rsidRPr="00864C8C" w:rsidRDefault="00AA6835" w:rsidP="00070A76">
            <w:pPr>
              <w:jc w:val="right"/>
              <w:rPr>
                <w:rFonts w:ascii="Times New Roman" w:hAnsi="Times New Roman" w:cs="Times New Roman"/>
                <w:sz w:val="24"/>
                <w:szCs w:val="24"/>
              </w:rPr>
            </w:pPr>
            <w:r w:rsidRPr="00864C8C">
              <w:rPr>
                <w:rFonts w:ascii="Times New Roman" w:hAnsi="Times New Roman" w:cs="Times New Roman"/>
                <w:sz w:val="24"/>
                <w:szCs w:val="24"/>
              </w:rPr>
              <w:t>Total</w:t>
            </w:r>
          </w:p>
        </w:tc>
        <w:tc>
          <w:tcPr>
            <w:tcW w:w="4608" w:type="dxa"/>
            <w:vAlign w:val="center"/>
          </w:tcPr>
          <w:p w:rsidR="00AA6835" w:rsidRPr="00864C8C" w:rsidRDefault="00AA6835" w:rsidP="00070A76">
            <w:pPr>
              <w:jc w:val="center"/>
              <w:rPr>
                <w:rFonts w:ascii="Times New Roman" w:hAnsi="Times New Roman" w:cs="Times New Roman"/>
                <w:sz w:val="24"/>
                <w:szCs w:val="24"/>
              </w:rPr>
            </w:pPr>
            <w:r w:rsidRPr="00864C8C">
              <w:rPr>
                <w:rFonts w:ascii="Times New Roman" w:hAnsi="Times New Roman" w:cs="Times New Roman"/>
                <w:sz w:val="24"/>
                <w:szCs w:val="24"/>
              </w:rPr>
              <w:t>260</w:t>
            </w:r>
          </w:p>
        </w:tc>
      </w:tr>
      <w:tr w:rsidR="00AA6835" w:rsidRPr="00864C8C" w:rsidTr="00070A76">
        <w:trPr>
          <w:trHeight w:val="665"/>
        </w:trPr>
        <w:tc>
          <w:tcPr>
            <w:tcW w:w="6138" w:type="dxa"/>
            <w:gridSpan w:val="2"/>
            <w:vAlign w:val="center"/>
          </w:tcPr>
          <w:p w:rsidR="00AA6835" w:rsidRPr="00864C8C" w:rsidRDefault="00AA6835" w:rsidP="00070A76">
            <w:pPr>
              <w:jc w:val="center"/>
              <w:rPr>
                <w:rFonts w:ascii="Times New Roman" w:hAnsi="Times New Roman" w:cs="Times New Roman"/>
                <w:sz w:val="24"/>
                <w:szCs w:val="24"/>
              </w:rPr>
            </w:pPr>
            <w:r w:rsidRPr="00864C8C">
              <w:rPr>
                <w:rFonts w:ascii="Times New Roman" w:hAnsi="Times New Roman" w:cs="Times New Roman"/>
                <w:sz w:val="24"/>
                <w:szCs w:val="24"/>
              </w:rPr>
              <w:t xml:space="preserve">260 disciplined APRNs </w:t>
            </w:r>
            <w:r>
              <w:rPr>
                <w:rFonts w:ascii="Times New Roman" w:hAnsi="Times New Roman" w:cs="Times New Roman"/>
                <w:sz w:val="24"/>
                <w:szCs w:val="24"/>
              </w:rPr>
              <w:t>out of 184,771 total APRNs = 0.</w:t>
            </w:r>
            <w:r w:rsidRPr="00864C8C">
              <w:rPr>
                <w:rFonts w:ascii="Times New Roman" w:hAnsi="Times New Roman" w:cs="Times New Roman"/>
                <w:sz w:val="24"/>
                <w:szCs w:val="24"/>
              </w:rPr>
              <w:t>14% overall discipline rate</w:t>
            </w:r>
          </w:p>
        </w:tc>
      </w:tr>
    </w:tbl>
    <w:p w:rsidR="00AA6835" w:rsidRPr="00534238" w:rsidRDefault="00070A76" w:rsidP="00070A76">
      <w:pPr>
        <w:rPr>
          <w:rFonts w:ascii="Times New Roman" w:hAnsi="Times New Roman" w:cs="Times New Roman"/>
          <w:sz w:val="20"/>
          <w:szCs w:val="20"/>
        </w:rPr>
      </w:pPr>
      <w:r w:rsidRPr="00070A76">
        <w:rPr>
          <w:rFonts w:ascii="Times New Roman" w:hAnsi="Times New Roman" w:cs="Times New Roman"/>
          <w:i/>
          <w:sz w:val="20"/>
          <w:szCs w:val="20"/>
        </w:rPr>
        <w:t>Note.</w:t>
      </w:r>
      <w:r>
        <w:rPr>
          <w:rFonts w:ascii="Times New Roman" w:hAnsi="Times New Roman" w:cs="Times New Roman"/>
          <w:sz w:val="20"/>
          <w:szCs w:val="20"/>
        </w:rPr>
        <w:t xml:space="preserve"> </w:t>
      </w:r>
      <w:r w:rsidR="00AA6835" w:rsidRPr="00534238">
        <w:rPr>
          <w:rFonts w:ascii="Times New Roman" w:hAnsi="Times New Roman" w:cs="Times New Roman"/>
          <w:sz w:val="20"/>
          <w:szCs w:val="20"/>
        </w:rPr>
        <w:t>^Some jurisdictions classify all advanced practice nurses as APRNs</w:t>
      </w:r>
    </w:p>
    <w:p w:rsidR="00AA6835" w:rsidRPr="00534238" w:rsidRDefault="00AA6835" w:rsidP="00070A76">
      <w:pPr>
        <w:rPr>
          <w:rFonts w:ascii="Times New Roman" w:hAnsi="Times New Roman" w:cs="Times New Roman"/>
          <w:sz w:val="20"/>
          <w:szCs w:val="20"/>
        </w:rPr>
      </w:pPr>
      <w:r w:rsidRPr="00534238">
        <w:rPr>
          <w:rFonts w:ascii="Times New Roman" w:hAnsi="Times New Roman" w:cs="Times New Roman"/>
          <w:sz w:val="20"/>
          <w:szCs w:val="20"/>
        </w:rPr>
        <w:t xml:space="preserve"> (i.e., they do not specify an APRN as a CNM, CRNA, CNS or CNP).</w:t>
      </w:r>
    </w:p>
    <w:p w:rsidR="00AA6835" w:rsidRPr="00864C8C" w:rsidRDefault="00AA6835" w:rsidP="00AA6835">
      <w:pPr>
        <w:spacing w:line="480" w:lineRule="auto"/>
        <w:ind w:firstLine="720"/>
        <w:rPr>
          <w:rFonts w:ascii="Times New Roman" w:hAnsi="Times New Roman" w:cs="Times New Roman"/>
          <w:sz w:val="24"/>
          <w:szCs w:val="24"/>
        </w:rPr>
      </w:pPr>
    </w:p>
    <w:p w:rsidR="00AA6835" w:rsidRPr="005C6883" w:rsidRDefault="00AA6835" w:rsidP="00AA6835">
      <w:pPr>
        <w:spacing w:line="480" w:lineRule="auto"/>
        <w:ind w:firstLine="720"/>
        <w:rPr>
          <w:rFonts w:ascii="Times New Roman" w:hAnsi="Times New Roman" w:cs="Times New Roman"/>
          <w:sz w:val="24"/>
          <w:szCs w:val="24"/>
        </w:rPr>
      </w:pPr>
      <w:r w:rsidRPr="005C6883">
        <w:rPr>
          <w:rFonts w:ascii="Times New Roman" w:hAnsi="Times New Roman" w:cs="Times New Roman"/>
          <w:sz w:val="24"/>
          <w:szCs w:val="24"/>
        </w:rPr>
        <w:lastRenderedPageBreak/>
        <w:t>In order to better understand the reasons and frequency of discipline, each discipline c</w:t>
      </w:r>
      <w:r w:rsidR="003408D0">
        <w:rPr>
          <w:rFonts w:ascii="Times New Roman" w:hAnsi="Times New Roman" w:cs="Times New Roman"/>
          <w:sz w:val="24"/>
          <w:szCs w:val="24"/>
        </w:rPr>
        <w:t>ase was placed into one of seven</w:t>
      </w:r>
      <w:r w:rsidRPr="005C6883">
        <w:rPr>
          <w:rFonts w:ascii="Times New Roman" w:hAnsi="Times New Roman" w:cs="Times New Roman"/>
          <w:sz w:val="24"/>
          <w:szCs w:val="24"/>
        </w:rPr>
        <w:t xml:space="preserve"> categories (i.e., practice issues, prescribing issues, licensing issues, criminal conviction – no contest or guilty plea, chemical dependency, failure to comply with b</w:t>
      </w:r>
      <w:r w:rsidR="003408D0">
        <w:rPr>
          <w:rFonts w:ascii="Times New Roman" w:hAnsi="Times New Roman" w:cs="Times New Roman"/>
          <w:sz w:val="24"/>
          <w:szCs w:val="24"/>
        </w:rPr>
        <w:t>oard order,</w:t>
      </w:r>
      <w:r w:rsidRPr="005C6883">
        <w:rPr>
          <w:rFonts w:ascii="Times New Roman" w:hAnsi="Times New Roman" w:cs="Times New Roman"/>
          <w:sz w:val="24"/>
          <w:szCs w:val="24"/>
        </w:rPr>
        <w:t xml:space="preserve"> or other</w:t>
      </w:r>
      <w:r w:rsidR="003408D0">
        <w:rPr>
          <w:rFonts w:ascii="Times New Roman" w:hAnsi="Times New Roman" w:cs="Times New Roman"/>
          <w:sz w:val="24"/>
          <w:szCs w:val="24"/>
        </w:rPr>
        <w:t>/unknown</w:t>
      </w:r>
      <w:r w:rsidRPr="005C6883">
        <w:rPr>
          <w:rFonts w:ascii="Times New Roman" w:hAnsi="Times New Roman" w:cs="Times New Roman"/>
          <w:sz w:val="24"/>
          <w:szCs w:val="24"/>
        </w:rPr>
        <w:t xml:space="preserve">) (see Table 4). Please refer to the Appendix for definitions of each of these categories. Practice related issues, licensing related issues, and prescribing related issues were the most frequent reasons APRNs were disciplined in 2009. </w:t>
      </w:r>
    </w:p>
    <w:p w:rsidR="00AA6835" w:rsidRPr="005C6883" w:rsidRDefault="00AA6835" w:rsidP="00AA6835">
      <w:pPr>
        <w:rPr>
          <w:rFonts w:ascii="Times New Roman" w:hAnsi="Times New Roman" w:cs="Times New Roman"/>
          <w:sz w:val="24"/>
          <w:szCs w:val="24"/>
        </w:rPr>
      </w:pPr>
    </w:p>
    <w:p w:rsidR="00AA6835" w:rsidRPr="005C6883" w:rsidRDefault="00AA6835" w:rsidP="00AA6835">
      <w:pPr>
        <w:rPr>
          <w:rFonts w:ascii="Times New Roman" w:hAnsi="Times New Roman" w:cs="Times New Roman"/>
          <w:sz w:val="24"/>
          <w:szCs w:val="24"/>
        </w:rPr>
      </w:pPr>
      <w:proofErr w:type="gramStart"/>
      <w:r w:rsidRPr="005C6883">
        <w:rPr>
          <w:rFonts w:ascii="Times New Roman" w:hAnsi="Times New Roman" w:cs="Times New Roman"/>
          <w:sz w:val="24"/>
          <w:szCs w:val="24"/>
        </w:rPr>
        <w:t>Table 4.</w:t>
      </w:r>
      <w:proofErr w:type="gramEnd"/>
      <w:r w:rsidRPr="005C6883">
        <w:rPr>
          <w:rFonts w:ascii="Times New Roman" w:hAnsi="Times New Roman" w:cs="Times New Roman"/>
          <w:sz w:val="24"/>
          <w:szCs w:val="24"/>
        </w:rPr>
        <w:t xml:space="preserve"> Reasons for APRN discipline </w:t>
      </w:r>
    </w:p>
    <w:tbl>
      <w:tblPr>
        <w:tblStyle w:val="TableGrid"/>
        <w:tblW w:w="0" w:type="auto"/>
        <w:tblLook w:val="04A0"/>
      </w:tblPr>
      <w:tblGrid>
        <w:gridCol w:w="4428"/>
        <w:gridCol w:w="3330"/>
      </w:tblGrid>
      <w:tr w:rsidR="00AA6835" w:rsidRPr="005C6883" w:rsidTr="00070A76">
        <w:tc>
          <w:tcPr>
            <w:tcW w:w="4428" w:type="dxa"/>
          </w:tcPr>
          <w:p w:rsidR="00AA6835" w:rsidRPr="005C6883" w:rsidRDefault="00AA6835" w:rsidP="00716C07">
            <w:pPr>
              <w:rPr>
                <w:rFonts w:ascii="Times New Roman" w:hAnsi="Times New Roman" w:cs="Times New Roman"/>
                <w:sz w:val="24"/>
                <w:szCs w:val="24"/>
              </w:rPr>
            </w:pPr>
          </w:p>
        </w:tc>
        <w:tc>
          <w:tcPr>
            <w:tcW w:w="3330" w:type="dxa"/>
          </w:tcPr>
          <w:p w:rsidR="00AA6835" w:rsidRPr="005C6883" w:rsidRDefault="00AA6835" w:rsidP="00716C07">
            <w:pPr>
              <w:jc w:val="center"/>
              <w:rPr>
                <w:rFonts w:ascii="Times New Roman" w:hAnsi="Times New Roman" w:cs="Times New Roman"/>
                <w:sz w:val="24"/>
                <w:szCs w:val="24"/>
              </w:rPr>
            </w:pPr>
            <w:r w:rsidRPr="005C6883">
              <w:rPr>
                <w:rFonts w:ascii="Times New Roman" w:hAnsi="Times New Roman" w:cs="Times New Roman"/>
                <w:sz w:val="24"/>
                <w:szCs w:val="24"/>
              </w:rPr>
              <w:t>Number of APRNs disciplined</w:t>
            </w:r>
          </w:p>
          <w:p w:rsidR="00AA6835" w:rsidRPr="005C6883" w:rsidRDefault="00AA6835" w:rsidP="00716C07">
            <w:pPr>
              <w:jc w:val="center"/>
              <w:rPr>
                <w:rFonts w:ascii="Times New Roman" w:hAnsi="Times New Roman" w:cs="Times New Roman"/>
                <w:sz w:val="24"/>
                <w:szCs w:val="24"/>
              </w:rPr>
            </w:pPr>
            <w:r w:rsidRPr="005C6883">
              <w:rPr>
                <w:rFonts w:ascii="Times New Roman" w:hAnsi="Times New Roman" w:cs="Times New Roman"/>
                <w:sz w:val="24"/>
                <w:szCs w:val="24"/>
              </w:rPr>
              <w:t>(% of all 2009 disciplines)*</w:t>
            </w:r>
          </w:p>
          <w:p w:rsidR="00AA6835" w:rsidRPr="005C6883" w:rsidRDefault="00AA6835" w:rsidP="00716C07">
            <w:pPr>
              <w:rPr>
                <w:rFonts w:ascii="Times New Roman" w:hAnsi="Times New Roman" w:cs="Times New Roman"/>
                <w:sz w:val="24"/>
                <w:szCs w:val="24"/>
              </w:rPr>
            </w:pPr>
          </w:p>
        </w:tc>
      </w:tr>
      <w:tr w:rsidR="00AA6835" w:rsidRPr="005C6883" w:rsidTr="00070A76">
        <w:tc>
          <w:tcPr>
            <w:tcW w:w="4428" w:type="dxa"/>
          </w:tcPr>
          <w:p w:rsidR="00AA6835" w:rsidRPr="005C6883" w:rsidRDefault="00AA6835" w:rsidP="00716C07">
            <w:pPr>
              <w:rPr>
                <w:rFonts w:ascii="Times New Roman" w:hAnsi="Times New Roman" w:cs="Times New Roman"/>
                <w:sz w:val="24"/>
                <w:szCs w:val="24"/>
              </w:rPr>
            </w:pPr>
            <w:r w:rsidRPr="005C6883">
              <w:rPr>
                <w:rFonts w:ascii="Times New Roman" w:hAnsi="Times New Roman" w:cs="Times New Roman"/>
                <w:sz w:val="24"/>
                <w:szCs w:val="24"/>
              </w:rPr>
              <w:t>Practice related issues</w:t>
            </w:r>
          </w:p>
        </w:tc>
        <w:tc>
          <w:tcPr>
            <w:tcW w:w="3330" w:type="dxa"/>
          </w:tcPr>
          <w:p w:rsidR="00AA6835" w:rsidRPr="005C6883" w:rsidRDefault="00507E14" w:rsidP="00716C07">
            <w:pPr>
              <w:jc w:val="center"/>
              <w:rPr>
                <w:rFonts w:ascii="Times New Roman" w:hAnsi="Times New Roman" w:cs="Times New Roman"/>
                <w:sz w:val="24"/>
                <w:szCs w:val="24"/>
              </w:rPr>
            </w:pPr>
            <w:r>
              <w:rPr>
                <w:rFonts w:ascii="Times New Roman" w:hAnsi="Times New Roman" w:cs="Times New Roman"/>
                <w:sz w:val="24"/>
                <w:szCs w:val="24"/>
              </w:rPr>
              <w:t xml:space="preserve">67 </w:t>
            </w:r>
            <w:r w:rsidR="00AA6835" w:rsidRPr="005C6883">
              <w:rPr>
                <w:rFonts w:ascii="Times New Roman" w:hAnsi="Times New Roman" w:cs="Times New Roman"/>
                <w:sz w:val="24"/>
                <w:szCs w:val="24"/>
              </w:rPr>
              <w:t>(26%)</w:t>
            </w:r>
          </w:p>
        </w:tc>
      </w:tr>
      <w:tr w:rsidR="00AA6835" w:rsidRPr="005C6883" w:rsidTr="00070A76">
        <w:tc>
          <w:tcPr>
            <w:tcW w:w="4428" w:type="dxa"/>
          </w:tcPr>
          <w:p w:rsidR="00AA6835" w:rsidRPr="005C6883" w:rsidRDefault="00AA6835" w:rsidP="00716C07">
            <w:pPr>
              <w:rPr>
                <w:rFonts w:ascii="Times New Roman" w:hAnsi="Times New Roman" w:cs="Times New Roman"/>
                <w:sz w:val="24"/>
                <w:szCs w:val="24"/>
              </w:rPr>
            </w:pPr>
            <w:r w:rsidRPr="005C6883">
              <w:rPr>
                <w:rFonts w:ascii="Times New Roman" w:hAnsi="Times New Roman" w:cs="Times New Roman"/>
                <w:sz w:val="24"/>
                <w:szCs w:val="24"/>
              </w:rPr>
              <w:t>Licensing related issues</w:t>
            </w:r>
          </w:p>
        </w:tc>
        <w:tc>
          <w:tcPr>
            <w:tcW w:w="3330" w:type="dxa"/>
          </w:tcPr>
          <w:p w:rsidR="00AA6835" w:rsidRPr="005C6883" w:rsidRDefault="00507E14" w:rsidP="00716C07">
            <w:pPr>
              <w:jc w:val="center"/>
              <w:rPr>
                <w:rFonts w:ascii="Times New Roman" w:hAnsi="Times New Roman" w:cs="Times New Roman"/>
                <w:sz w:val="24"/>
                <w:szCs w:val="24"/>
              </w:rPr>
            </w:pPr>
            <w:r>
              <w:rPr>
                <w:rFonts w:ascii="Times New Roman" w:hAnsi="Times New Roman" w:cs="Times New Roman"/>
                <w:sz w:val="24"/>
                <w:szCs w:val="24"/>
              </w:rPr>
              <w:t xml:space="preserve">65 </w:t>
            </w:r>
            <w:r w:rsidR="00AA6835" w:rsidRPr="005C6883">
              <w:rPr>
                <w:rFonts w:ascii="Times New Roman" w:hAnsi="Times New Roman" w:cs="Times New Roman"/>
                <w:sz w:val="24"/>
                <w:szCs w:val="24"/>
              </w:rPr>
              <w:t>(25%)</w:t>
            </w:r>
          </w:p>
        </w:tc>
      </w:tr>
      <w:tr w:rsidR="00AA6835" w:rsidRPr="005C6883" w:rsidTr="00070A76">
        <w:tc>
          <w:tcPr>
            <w:tcW w:w="4428" w:type="dxa"/>
          </w:tcPr>
          <w:p w:rsidR="00AA6835" w:rsidRPr="005C6883" w:rsidRDefault="00AA6835" w:rsidP="00716C07">
            <w:pPr>
              <w:rPr>
                <w:rFonts w:ascii="Times New Roman" w:hAnsi="Times New Roman" w:cs="Times New Roman"/>
                <w:sz w:val="24"/>
                <w:szCs w:val="24"/>
              </w:rPr>
            </w:pPr>
            <w:r w:rsidRPr="005C6883">
              <w:rPr>
                <w:rFonts w:ascii="Times New Roman" w:hAnsi="Times New Roman" w:cs="Times New Roman"/>
                <w:sz w:val="24"/>
                <w:szCs w:val="24"/>
              </w:rPr>
              <w:t>Prescribing related issues</w:t>
            </w:r>
          </w:p>
        </w:tc>
        <w:tc>
          <w:tcPr>
            <w:tcW w:w="3330" w:type="dxa"/>
          </w:tcPr>
          <w:p w:rsidR="00AA6835" w:rsidRPr="005C6883" w:rsidRDefault="00507E14" w:rsidP="00716C07">
            <w:pPr>
              <w:jc w:val="center"/>
              <w:rPr>
                <w:rFonts w:ascii="Times New Roman" w:hAnsi="Times New Roman" w:cs="Times New Roman"/>
                <w:sz w:val="24"/>
                <w:szCs w:val="24"/>
              </w:rPr>
            </w:pPr>
            <w:r>
              <w:rPr>
                <w:rFonts w:ascii="Times New Roman" w:hAnsi="Times New Roman" w:cs="Times New Roman"/>
                <w:sz w:val="24"/>
                <w:szCs w:val="24"/>
              </w:rPr>
              <w:t>63</w:t>
            </w:r>
            <w:r w:rsidR="00AA6835" w:rsidRPr="005C6883">
              <w:rPr>
                <w:rFonts w:ascii="Times New Roman" w:hAnsi="Times New Roman" w:cs="Times New Roman"/>
                <w:sz w:val="24"/>
                <w:szCs w:val="24"/>
              </w:rPr>
              <w:t xml:space="preserve"> (24%)</w:t>
            </w:r>
          </w:p>
        </w:tc>
      </w:tr>
      <w:tr w:rsidR="00AA6835" w:rsidRPr="005C6883" w:rsidTr="00070A76">
        <w:tc>
          <w:tcPr>
            <w:tcW w:w="4428" w:type="dxa"/>
          </w:tcPr>
          <w:p w:rsidR="00AA6835" w:rsidRPr="005C6883" w:rsidRDefault="00AA6835" w:rsidP="00716C07">
            <w:pPr>
              <w:rPr>
                <w:rFonts w:ascii="Times New Roman" w:hAnsi="Times New Roman" w:cs="Times New Roman"/>
                <w:sz w:val="24"/>
                <w:szCs w:val="24"/>
              </w:rPr>
            </w:pPr>
            <w:r w:rsidRPr="005C6883">
              <w:rPr>
                <w:rFonts w:ascii="Times New Roman" w:hAnsi="Times New Roman" w:cs="Times New Roman"/>
                <w:sz w:val="24"/>
                <w:szCs w:val="24"/>
              </w:rPr>
              <w:t>Criminal conviction, no contest, guilty plea</w:t>
            </w:r>
          </w:p>
        </w:tc>
        <w:tc>
          <w:tcPr>
            <w:tcW w:w="3330" w:type="dxa"/>
          </w:tcPr>
          <w:p w:rsidR="00AA6835" w:rsidRPr="005C6883" w:rsidRDefault="00507E14" w:rsidP="00716C07">
            <w:pPr>
              <w:jc w:val="center"/>
              <w:rPr>
                <w:rFonts w:ascii="Times New Roman" w:hAnsi="Times New Roman" w:cs="Times New Roman"/>
                <w:sz w:val="24"/>
                <w:szCs w:val="24"/>
              </w:rPr>
            </w:pPr>
            <w:r>
              <w:rPr>
                <w:rFonts w:ascii="Times New Roman" w:hAnsi="Times New Roman" w:cs="Times New Roman"/>
                <w:sz w:val="24"/>
                <w:szCs w:val="24"/>
              </w:rPr>
              <w:t xml:space="preserve">39 </w:t>
            </w:r>
            <w:r w:rsidR="003408D0">
              <w:rPr>
                <w:rFonts w:ascii="Times New Roman" w:hAnsi="Times New Roman" w:cs="Times New Roman"/>
                <w:sz w:val="24"/>
                <w:szCs w:val="24"/>
              </w:rPr>
              <w:t>(15</w:t>
            </w:r>
            <w:r w:rsidR="00AA6835" w:rsidRPr="005C6883">
              <w:rPr>
                <w:rFonts w:ascii="Times New Roman" w:hAnsi="Times New Roman" w:cs="Times New Roman"/>
                <w:sz w:val="24"/>
                <w:szCs w:val="24"/>
              </w:rPr>
              <w:t>%)</w:t>
            </w:r>
          </w:p>
        </w:tc>
      </w:tr>
      <w:tr w:rsidR="00AA6835" w:rsidRPr="005C6883" w:rsidTr="00070A76">
        <w:tc>
          <w:tcPr>
            <w:tcW w:w="4428" w:type="dxa"/>
          </w:tcPr>
          <w:p w:rsidR="00AA6835" w:rsidRPr="005C6883" w:rsidRDefault="00AA6835" w:rsidP="00716C07">
            <w:pPr>
              <w:rPr>
                <w:rFonts w:ascii="Times New Roman" w:hAnsi="Times New Roman" w:cs="Times New Roman"/>
                <w:sz w:val="24"/>
                <w:szCs w:val="24"/>
              </w:rPr>
            </w:pPr>
            <w:r w:rsidRPr="005C6883">
              <w:rPr>
                <w:rFonts w:ascii="Times New Roman" w:hAnsi="Times New Roman" w:cs="Times New Roman"/>
                <w:sz w:val="24"/>
                <w:szCs w:val="24"/>
              </w:rPr>
              <w:t>Chemical dependency</w:t>
            </w:r>
          </w:p>
        </w:tc>
        <w:tc>
          <w:tcPr>
            <w:tcW w:w="3330" w:type="dxa"/>
          </w:tcPr>
          <w:p w:rsidR="00AA6835" w:rsidRPr="005C6883" w:rsidRDefault="00507E14" w:rsidP="00716C07">
            <w:pPr>
              <w:jc w:val="center"/>
              <w:rPr>
                <w:rFonts w:ascii="Times New Roman" w:hAnsi="Times New Roman" w:cs="Times New Roman"/>
                <w:sz w:val="24"/>
                <w:szCs w:val="24"/>
              </w:rPr>
            </w:pPr>
            <w:r>
              <w:rPr>
                <w:rFonts w:ascii="Times New Roman" w:hAnsi="Times New Roman" w:cs="Times New Roman"/>
                <w:sz w:val="24"/>
                <w:szCs w:val="24"/>
              </w:rPr>
              <w:t xml:space="preserve">30 </w:t>
            </w:r>
            <w:r w:rsidR="003408D0">
              <w:rPr>
                <w:rFonts w:ascii="Times New Roman" w:hAnsi="Times New Roman" w:cs="Times New Roman"/>
                <w:sz w:val="24"/>
                <w:szCs w:val="24"/>
              </w:rPr>
              <w:t>(12</w:t>
            </w:r>
            <w:r w:rsidR="00AA6835" w:rsidRPr="005C6883">
              <w:rPr>
                <w:rFonts w:ascii="Times New Roman" w:hAnsi="Times New Roman" w:cs="Times New Roman"/>
                <w:sz w:val="24"/>
                <w:szCs w:val="24"/>
              </w:rPr>
              <w:t>%)</w:t>
            </w:r>
          </w:p>
        </w:tc>
      </w:tr>
      <w:tr w:rsidR="00AA6835" w:rsidRPr="005C6883" w:rsidTr="00070A76">
        <w:tc>
          <w:tcPr>
            <w:tcW w:w="4428" w:type="dxa"/>
          </w:tcPr>
          <w:p w:rsidR="00AA6835" w:rsidRPr="005C6883" w:rsidRDefault="00AA6835" w:rsidP="00716C07">
            <w:pPr>
              <w:rPr>
                <w:rFonts w:ascii="Times New Roman" w:hAnsi="Times New Roman" w:cs="Times New Roman"/>
                <w:sz w:val="24"/>
                <w:szCs w:val="24"/>
              </w:rPr>
            </w:pPr>
            <w:r w:rsidRPr="005C6883">
              <w:rPr>
                <w:rFonts w:ascii="Times New Roman" w:hAnsi="Times New Roman" w:cs="Times New Roman"/>
                <w:sz w:val="24"/>
                <w:szCs w:val="24"/>
              </w:rPr>
              <w:t>Failure to comply with a board order</w:t>
            </w:r>
          </w:p>
        </w:tc>
        <w:tc>
          <w:tcPr>
            <w:tcW w:w="3330" w:type="dxa"/>
          </w:tcPr>
          <w:p w:rsidR="00AA6835" w:rsidRPr="005C6883" w:rsidRDefault="00507E14" w:rsidP="00716C07">
            <w:pPr>
              <w:jc w:val="center"/>
              <w:rPr>
                <w:rFonts w:ascii="Times New Roman" w:hAnsi="Times New Roman" w:cs="Times New Roman"/>
                <w:sz w:val="24"/>
                <w:szCs w:val="24"/>
              </w:rPr>
            </w:pPr>
            <w:r>
              <w:rPr>
                <w:rFonts w:ascii="Times New Roman" w:hAnsi="Times New Roman" w:cs="Times New Roman"/>
                <w:sz w:val="24"/>
                <w:szCs w:val="24"/>
              </w:rPr>
              <w:t xml:space="preserve">21 </w:t>
            </w:r>
            <w:r w:rsidR="00AA6835" w:rsidRPr="005C6883">
              <w:rPr>
                <w:rFonts w:ascii="Times New Roman" w:hAnsi="Times New Roman" w:cs="Times New Roman"/>
                <w:sz w:val="24"/>
                <w:szCs w:val="24"/>
              </w:rPr>
              <w:t>(8%)</w:t>
            </w:r>
          </w:p>
        </w:tc>
      </w:tr>
      <w:tr w:rsidR="00AA6835" w:rsidRPr="005C6883" w:rsidTr="00070A76">
        <w:tc>
          <w:tcPr>
            <w:tcW w:w="4428" w:type="dxa"/>
          </w:tcPr>
          <w:p w:rsidR="00AA6835" w:rsidRPr="005C6883" w:rsidRDefault="00AA6835" w:rsidP="00716C07">
            <w:pPr>
              <w:rPr>
                <w:rFonts w:ascii="Times New Roman" w:hAnsi="Times New Roman" w:cs="Times New Roman"/>
                <w:sz w:val="24"/>
                <w:szCs w:val="24"/>
              </w:rPr>
            </w:pPr>
            <w:r w:rsidRPr="005C6883">
              <w:rPr>
                <w:rFonts w:ascii="Times New Roman" w:hAnsi="Times New Roman" w:cs="Times New Roman"/>
                <w:sz w:val="24"/>
                <w:szCs w:val="24"/>
              </w:rPr>
              <w:t>Other</w:t>
            </w:r>
            <w:r w:rsidR="003408D0">
              <w:rPr>
                <w:rFonts w:ascii="Times New Roman" w:hAnsi="Times New Roman" w:cs="Times New Roman"/>
                <w:sz w:val="24"/>
                <w:szCs w:val="24"/>
              </w:rPr>
              <w:t>/Unknown</w:t>
            </w:r>
          </w:p>
        </w:tc>
        <w:tc>
          <w:tcPr>
            <w:tcW w:w="3330" w:type="dxa"/>
          </w:tcPr>
          <w:p w:rsidR="00AA6835" w:rsidRPr="005C6883" w:rsidRDefault="003408D0" w:rsidP="00716C07">
            <w:pPr>
              <w:jc w:val="center"/>
              <w:rPr>
                <w:rFonts w:ascii="Times New Roman" w:hAnsi="Times New Roman" w:cs="Times New Roman"/>
                <w:sz w:val="24"/>
                <w:szCs w:val="24"/>
              </w:rPr>
            </w:pPr>
            <w:r>
              <w:rPr>
                <w:rFonts w:ascii="Times New Roman" w:hAnsi="Times New Roman" w:cs="Times New Roman"/>
                <w:sz w:val="24"/>
                <w:szCs w:val="24"/>
              </w:rPr>
              <w:t>34</w:t>
            </w:r>
            <w:r w:rsidR="00507E14">
              <w:rPr>
                <w:rFonts w:ascii="Times New Roman" w:hAnsi="Times New Roman" w:cs="Times New Roman"/>
                <w:sz w:val="24"/>
                <w:szCs w:val="24"/>
              </w:rPr>
              <w:t xml:space="preserve"> </w:t>
            </w:r>
            <w:r>
              <w:rPr>
                <w:rFonts w:ascii="Times New Roman" w:hAnsi="Times New Roman" w:cs="Times New Roman"/>
                <w:sz w:val="24"/>
                <w:szCs w:val="24"/>
              </w:rPr>
              <w:t>(13</w:t>
            </w:r>
            <w:r w:rsidR="00AA6835" w:rsidRPr="005C6883">
              <w:rPr>
                <w:rFonts w:ascii="Times New Roman" w:hAnsi="Times New Roman" w:cs="Times New Roman"/>
                <w:sz w:val="24"/>
                <w:szCs w:val="24"/>
              </w:rPr>
              <w:t>%)</w:t>
            </w:r>
          </w:p>
        </w:tc>
      </w:tr>
    </w:tbl>
    <w:p w:rsidR="00AA6835" w:rsidRPr="00534238" w:rsidRDefault="00070A76" w:rsidP="00AA6835">
      <w:pPr>
        <w:rPr>
          <w:rFonts w:ascii="Times New Roman" w:hAnsi="Times New Roman" w:cs="Times New Roman"/>
          <w:sz w:val="20"/>
          <w:szCs w:val="20"/>
        </w:rPr>
      </w:pPr>
      <w:r w:rsidRPr="00070A76">
        <w:rPr>
          <w:rFonts w:ascii="Times New Roman" w:hAnsi="Times New Roman" w:cs="Times New Roman"/>
          <w:i/>
          <w:sz w:val="20"/>
          <w:szCs w:val="20"/>
        </w:rPr>
        <w:t>Note.</w:t>
      </w:r>
      <w:r>
        <w:rPr>
          <w:rFonts w:ascii="Times New Roman" w:hAnsi="Times New Roman" w:cs="Times New Roman"/>
          <w:sz w:val="20"/>
          <w:szCs w:val="20"/>
        </w:rPr>
        <w:t xml:space="preserve"> </w:t>
      </w:r>
      <w:r w:rsidR="00AA6835" w:rsidRPr="00534238">
        <w:rPr>
          <w:rFonts w:ascii="Times New Roman" w:hAnsi="Times New Roman" w:cs="Times New Roman"/>
          <w:sz w:val="20"/>
          <w:szCs w:val="20"/>
        </w:rPr>
        <w:t>*Percentages total more than 100% due to APRNs being disciplined for more than one reason.</w:t>
      </w:r>
    </w:p>
    <w:p w:rsidR="00AA6835" w:rsidRPr="004B4344" w:rsidRDefault="00AA6835" w:rsidP="00AA6835">
      <w:pPr>
        <w:rPr>
          <w:rFonts w:ascii="Times New Roman" w:hAnsi="Times New Roman" w:cs="Times New Roman"/>
          <w:b/>
          <w:color w:val="4F81BD" w:themeColor="accent1"/>
          <w:sz w:val="24"/>
          <w:szCs w:val="24"/>
        </w:rPr>
      </w:pPr>
    </w:p>
    <w:p w:rsidR="00507E14" w:rsidRDefault="00507E14" w:rsidP="00507E14">
      <w:pPr>
        <w:spacing w:line="480" w:lineRule="auto"/>
        <w:rPr>
          <w:rFonts w:ascii="Times New Roman" w:hAnsi="Times New Roman" w:cs="Times New Roman"/>
          <w:sz w:val="24"/>
          <w:szCs w:val="24"/>
        </w:rPr>
      </w:pPr>
    </w:p>
    <w:p w:rsidR="00507E14" w:rsidRPr="00507E14" w:rsidRDefault="00507E14" w:rsidP="00507E14">
      <w:pPr>
        <w:spacing w:line="480" w:lineRule="auto"/>
        <w:rPr>
          <w:rFonts w:ascii="Times New Roman" w:hAnsi="Times New Roman" w:cs="Times New Roman"/>
          <w:b/>
          <w:sz w:val="24"/>
          <w:szCs w:val="24"/>
        </w:rPr>
      </w:pPr>
      <w:r w:rsidRPr="00507E14">
        <w:rPr>
          <w:rFonts w:ascii="Times New Roman" w:hAnsi="Times New Roman" w:cs="Times New Roman"/>
          <w:b/>
          <w:sz w:val="24"/>
          <w:szCs w:val="24"/>
        </w:rPr>
        <w:t>Prac</w:t>
      </w:r>
      <w:r>
        <w:rPr>
          <w:rFonts w:ascii="Times New Roman" w:hAnsi="Times New Roman" w:cs="Times New Roman"/>
          <w:b/>
          <w:sz w:val="24"/>
          <w:szCs w:val="24"/>
        </w:rPr>
        <w:t>tice-related Discipline</w:t>
      </w:r>
      <w:r w:rsidRPr="00507E14">
        <w:rPr>
          <w:rFonts w:ascii="Times New Roman" w:hAnsi="Times New Roman" w:cs="Times New Roman"/>
          <w:b/>
          <w:sz w:val="24"/>
          <w:szCs w:val="24"/>
        </w:rPr>
        <w:t xml:space="preserve"> </w:t>
      </w:r>
    </w:p>
    <w:p w:rsidR="00AA6835" w:rsidRDefault="00AA6835" w:rsidP="00AA6835">
      <w:pPr>
        <w:spacing w:line="480" w:lineRule="auto"/>
        <w:ind w:firstLine="720"/>
        <w:rPr>
          <w:rFonts w:ascii="Times New Roman" w:hAnsi="Times New Roman" w:cs="Times New Roman"/>
          <w:sz w:val="24"/>
          <w:szCs w:val="24"/>
        </w:rPr>
      </w:pPr>
      <w:r w:rsidRPr="008A495F">
        <w:rPr>
          <w:rFonts w:ascii="Times New Roman" w:hAnsi="Times New Roman" w:cs="Times New Roman"/>
          <w:sz w:val="24"/>
          <w:szCs w:val="24"/>
        </w:rPr>
        <w:t xml:space="preserve">A total of 67 APRNs were disciplined for practice-related reasons in the 43 participating jurisdictions in 2009. Table 5 illustrates the number of APRNs disciplined according to their level of practice autonomy. The overall rate of APRN discipline for practice related issues is </w:t>
      </w:r>
      <w:r w:rsidRPr="006B57A3">
        <w:rPr>
          <w:rFonts w:ascii="Times New Roman" w:hAnsi="Times New Roman" w:cs="Times New Roman"/>
          <w:sz w:val="24"/>
          <w:szCs w:val="24"/>
        </w:rPr>
        <w:t>0.036%, a very</w:t>
      </w:r>
      <w:r w:rsidRPr="008A495F">
        <w:rPr>
          <w:rFonts w:ascii="Times New Roman" w:hAnsi="Times New Roman" w:cs="Times New Roman"/>
          <w:sz w:val="24"/>
          <w:szCs w:val="24"/>
        </w:rPr>
        <w:t xml:space="preserve"> small percentage, indicating APRNs provide safe care. While all three autonomy levels of APRNs had a discipline rate of less than a tenth of a percent over the year, independent practitioners were disciplined more frequently than their collaborative or supervised count</w:t>
      </w:r>
      <w:r>
        <w:rPr>
          <w:rFonts w:ascii="Times New Roman" w:hAnsi="Times New Roman" w:cs="Times New Roman"/>
          <w:sz w:val="24"/>
          <w:szCs w:val="24"/>
        </w:rPr>
        <w:t>erparts</w:t>
      </w:r>
      <w:r w:rsidRPr="008A495F">
        <w:rPr>
          <w:rFonts w:ascii="Times New Roman" w:hAnsi="Times New Roman" w:cs="Times New Roman"/>
          <w:sz w:val="24"/>
          <w:szCs w:val="24"/>
        </w:rPr>
        <w:t xml:space="preserve"> </w:t>
      </w:r>
      <w:r w:rsidRPr="006F7D3A">
        <w:rPr>
          <w:rFonts w:ascii="Times New Roman" w:hAnsi="Times New Roman" w:cs="Times New Roman"/>
          <w:sz w:val="24"/>
          <w:szCs w:val="24"/>
        </w:rPr>
        <w:t>(0.068%, 0.029%</w:t>
      </w:r>
      <w:r w:rsidR="00507E14">
        <w:rPr>
          <w:rFonts w:ascii="Times New Roman" w:hAnsi="Times New Roman" w:cs="Times New Roman"/>
          <w:sz w:val="24"/>
          <w:szCs w:val="24"/>
        </w:rPr>
        <w:t>,</w:t>
      </w:r>
      <w:r w:rsidRPr="006F7D3A">
        <w:rPr>
          <w:rFonts w:ascii="Times New Roman" w:hAnsi="Times New Roman" w:cs="Times New Roman"/>
          <w:sz w:val="24"/>
          <w:szCs w:val="24"/>
        </w:rPr>
        <w:t xml:space="preserve"> and 0.035% respectively).</w:t>
      </w:r>
      <w:r>
        <w:rPr>
          <w:rFonts w:ascii="Times New Roman" w:hAnsi="Times New Roman" w:cs="Times New Roman"/>
          <w:sz w:val="24"/>
          <w:szCs w:val="24"/>
        </w:rPr>
        <w:t xml:space="preserve"> </w:t>
      </w:r>
    </w:p>
    <w:p w:rsidR="00AA6835" w:rsidRDefault="00AA6835" w:rsidP="00AA6835">
      <w:pPr>
        <w:rPr>
          <w:rFonts w:ascii="Times New Roman" w:hAnsi="Times New Roman" w:cs="Times New Roman"/>
          <w:sz w:val="24"/>
          <w:szCs w:val="24"/>
        </w:rPr>
      </w:pPr>
    </w:p>
    <w:p w:rsidR="00507E14" w:rsidRDefault="00507E14" w:rsidP="00507E14">
      <w:pPr>
        <w:rPr>
          <w:rFonts w:ascii="Times New Roman" w:hAnsi="Times New Roman" w:cs="Times New Roman"/>
          <w:sz w:val="24"/>
          <w:szCs w:val="24"/>
        </w:rPr>
      </w:pPr>
    </w:p>
    <w:p w:rsidR="00AA6835" w:rsidRPr="001C3AB1" w:rsidRDefault="00AA6835" w:rsidP="00507E14">
      <w:pPr>
        <w:rPr>
          <w:rFonts w:ascii="Times New Roman" w:hAnsi="Times New Roman" w:cs="Times New Roman"/>
          <w:sz w:val="24"/>
          <w:szCs w:val="24"/>
        </w:rPr>
      </w:pPr>
      <w:proofErr w:type="gramStart"/>
      <w:r w:rsidRPr="001C3AB1">
        <w:rPr>
          <w:rFonts w:ascii="Times New Roman" w:hAnsi="Times New Roman" w:cs="Times New Roman"/>
          <w:sz w:val="24"/>
          <w:szCs w:val="24"/>
        </w:rPr>
        <w:lastRenderedPageBreak/>
        <w:t>Table 5.</w:t>
      </w:r>
      <w:proofErr w:type="gramEnd"/>
      <w:r w:rsidRPr="001C3AB1">
        <w:rPr>
          <w:rFonts w:ascii="Times New Roman" w:hAnsi="Times New Roman" w:cs="Times New Roman"/>
          <w:sz w:val="24"/>
          <w:szCs w:val="24"/>
        </w:rPr>
        <w:t xml:space="preserve"> APRNs disciplined for </w:t>
      </w:r>
      <w:r w:rsidRPr="001C3AB1">
        <w:rPr>
          <w:rFonts w:ascii="Times New Roman" w:hAnsi="Times New Roman" w:cs="Times New Roman"/>
          <w:i/>
          <w:sz w:val="24"/>
          <w:szCs w:val="24"/>
        </w:rPr>
        <w:t>practice</w:t>
      </w:r>
      <w:r w:rsidRPr="001C3AB1">
        <w:rPr>
          <w:rFonts w:ascii="Times New Roman" w:hAnsi="Times New Roman" w:cs="Times New Roman"/>
          <w:sz w:val="24"/>
          <w:szCs w:val="24"/>
        </w:rPr>
        <w:t xml:space="preserve"> related reasons</w:t>
      </w:r>
    </w:p>
    <w:tbl>
      <w:tblPr>
        <w:tblStyle w:val="TableGrid"/>
        <w:tblW w:w="0" w:type="auto"/>
        <w:tblLook w:val="04A0"/>
      </w:tblPr>
      <w:tblGrid>
        <w:gridCol w:w="1638"/>
        <w:gridCol w:w="2790"/>
        <w:gridCol w:w="2214"/>
        <w:gridCol w:w="2214"/>
      </w:tblGrid>
      <w:tr w:rsidR="00AA6835" w:rsidRPr="001C3AB1" w:rsidTr="00507E14">
        <w:tc>
          <w:tcPr>
            <w:tcW w:w="1638" w:type="dxa"/>
          </w:tcPr>
          <w:p w:rsidR="00AA6835" w:rsidRPr="001C3AB1" w:rsidRDefault="00AA6835" w:rsidP="00507E14">
            <w:pPr>
              <w:jc w:val="center"/>
              <w:rPr>
                <w:rFonts w:ascii="Times New Roman" w:hAnsi="Times New Roman" w:cs="Times New Roman"/>
                <w:sz w:val="24"/>
                <w:szCs w:val="24"/>
              </w:rPr>
            </w:pPr>
          </w:p>
        </w:tc>
        <w:tc>
          <w:tcPr>
            <w:tcW w:w="2790" w:type="dxa"/>
          </w:tcPr>
          <w:p w:rsidR="00AA6835" w:rsidRPr="001C3AB1" w:rsidRDefault="00AA6835" w:rsidP="00507E14">
            <w:pPr>
              <w:jc w:val="center"/>
              <w:rPr>
                <w:rFonts w:ascii="Times New Roman" w:hAnsi="Times New Roman" w:cs="Times New Roman"/>
                <w:sz w:val="24"/>
                <w:szCs w:val="24"/>
              </w:rPr>
            </w:pPr>
            <w:r w:rsidRPr="001C3AB1">
              <w:rPr>
                <w:rFonts w:ascii="Times New Roman" w:hAnsi="Times New Roman" w:cs="Times New Roman"/>
                <w:sz w:val="24"/>
                <w:szCs w:val="24"/>
              </w:rPr>
              <w:t>Number of APRNs disciplined</w:t>
            </w:r>
          </w:p>
        </w:tc>
        <w:tc>
          <w:tcPr>
            <w:tcW w:w="2214" w:type="dxa"/>
          </w:tcPr>
          <w:p w:rsidR="00AA6835" w:rsidRPr="001C3AB1" w:rsidRDefault="00AA6835" w:rsidP="00507E14">
            <w:pPr>
              <w:jc w:val="center"/>
              <w:rPr>
                <w:rFonts w:ascii="Times New Roman" w:hAnsi="Times New Roman" w:cs="Times New Roman"/>
                <w:sz w:val="24"/>
                <w:szCs w:val="24"/>
              </w:rPr>
            </w:pPr>
            <w:r w:rsidRPr="001C3AB1">
              <w:rPr>
                <w:rFonts w:ascii="Times New Roman" w:hAnsi="Times New Roman" w:cs="Times New Roman"/>
                <w:sz w:val="24"/>
                <w:szCs w:val="24"/>
              </w:rPr>
              <w:t>Total number of APRNs</w:t>
            </w:r>
          </w:p>
        </w:tc>
        <w:tc>
          <w:tcPr>
            <w:tcW w:w="2214" w:type="dxa"/>
          </w:tcPr>
          <w:p w:rsidR="00AA6835" w:rsidRPr="001C3AB1" w:rsidRDefault="00AA6835" w:rsidP="00507E14">
            <w:pPr>
              <w:jc w:val="center"/>
              <w:rPr>
                <w:rFonts w:ascii="Times New Roman" w:hAnsi="Times New Roman" w:cs="Times New Roman"/>
                <w:sz w:val="24"/>
                <w:szCs w:val="24"/>
              </w:rPr>
            </w:pPr>
            <w:r w:rsidRPr="001C3AB1">
              <w:rPr>
                <w:rFonts w:ascii="Times New Roman" w:hAnsi="Times New Roman" w:cs="Times New Roman"/>
                <w:sz w:val="24"/>
                <w:szCs w:val="24"/>
              </w:rPr>
              <w:t>Rate of discipline</w:t>
            </w:r>
          </w:p>
        </w:tc>
      </w:tr>
      <w:tr w:rsidR="00AA6835" w:rsidRPr="001C3AB1" w:rsidTr="00507E14">
        <w:tc>
          <w:tcPr>
            <w:tcW w:w="1638" w:type="dxa"/>
          </w:tcPr>
          <w:p w:rsidR="00AA6835" w:rsidRPr="001C3AB1" w:rsidRDefault="00AA6835" w:rsidP="00507E14">
            <w:pPr>
              <w:rPr>
                <w:rFonts w:ascii="Times New Roman" w:hAnsi="Times New Roman" w:cs="Times New Roman"/>
                <w:sz w:val="24"/>
                <w:szCs w:val="24"/>
              </w:rPr>
            </w:pPr>
            <w:r w:rsidRPr="001C3AB1">
              <w:rPr>
                <w:rFonts w:ascii="Times New Roman" w:hAnsi="Times New Roman" w:cs="Times New Roman"/>
                <w:sz w:val="24"/>
                <w:szCs w:val="24"/>
              </w:rPr>
              <w:t>Independent</w:t>
            </w:r>
          </w:p>
        </w:tc>
        <w:tc>
          <w:tcPr>
            <w:tcW w:w="2790" w:type="dxa"/>
          </w:tcPr>
          <w:p w:rsidR="00AA6835" w:rsidRPr="001C3AB1" w:rsidRDefault="00AA6835" w:rsidP="00507E14">
            <w:pPr>
              <w:jc w:val="center"/>
              <w:rPr>
                <w:rFonts w:ascii="Times New Roman" w:hAnsi="Times New Roman" w:cs="Times New Roman"/>
                <w:sz w:val="24"/>
                <w:szCs w:val="24"/>
              </w:rPr>
            </w:pPr>
            <w:r w:rsidRPr="001C3AB1">
              <w:rPr>
                <w:rFonts w:ascii="Times New Roman" w:hAnsi="Times New Roman" w:cs="Times New Roman"/>
                <w:sz w:val="24"/>
                <w:szCs w:val="24"/>
              </w:rPr>
              <w:t>21</w:t>
            </w:r>
          </w:p>
        </w:tc>
        <w:tc>
          <w:tcPr>
            <w:tcW w:w="2214" w:type="dxa"/>
          </w:tcPr>
          <w:p w:rsidR="00AA6835" w:rsidRPr="001C3AB1" w:rsidRDefault="00AA6835" w:rsidP="00507E14">
            <w:pPr>
              <w:jc w:val="center"/>
              <w:rPr>
                <w:rFonts w:ascii="Times New Roman" w:hAnsi="Times New Roman" w:cs="Times New Roman"/>
                <w:sz w:val="24"/>
                <w:szCs w:val="24"/>
              </w:rPr>
            </w:pPr>
            <w:r w:rsidRPr="001C3AB1">
              <w:rPr>
                <w:rFonts w:ascii="Times New Roman" w:hAnsi="Times New Roman" w:cs="Times New Roman"/>
                <w:sz w:val="24"/>
                <w:szCs w:val="24"/>
              </w:rPr>
              <w:t>30,950</w:t>
            </w:r>
          </w:p>
        </w:tc>
        <w:tc>
          <w:tcPr>
            <w:tcW w:w="2214" w:type="dxa"/>
          </w:tcPr>
          <w:p w:rsidR="00AA6835" w:rsidRPr="001C3AB1" w:rsidRDefault="00AA6835" w:rsidP="00507E14">
            <w:pPr>
              <w:jc w:val="center"/>
              <w:rPr>
                <w:rFonts w:ascii="Times New Roman" w:hAnsi="Times New Roman" w:cs="Times New Roman"/>
                <w:sz w:val="24"/>
                <w:szCs w:val="24"/>
              </w:rPr>
            </w:pPr>
            <w:r w:rsidRPr="001C3AB1">
              <w:rPr>
                <w:rFonts w:ascii="Times New Roman" w:hAnsi="Times New Roman" w:cs="Times New Roman"/>
                <w:sz w:val="24"/>
                <w:szCs w:val="24"/>
              </w:rPr>
              <w:t>0.068%</w:t>
            </w:r>
          </w:p>
        </w:tc>
      </w:tr>
      <w:tr w:rsidR="00AA6835" w:rsidRPr="001C3AB1" w:rsidTr="00507E14">
        <w:tc>
          <w:tcPr>
            <w:tcW w:w="1638" w:type="dxa"/>
          </w:tcPr>
          <w:p w:rsidR="00AA6835" w:rsidRPr="001C3AB1" w:rsidRDefault="00AA6835" w:rsidP="00507E14">
            <w:pPr>
              <w:rPr>
                <w:rFonts w:ascii="Times New Roman" w:hAnsi="Times New Roman" w:cs="Times New Roman"/>
                <w:sz w:val="24"/>
                <w:szCs w:val="24"/>
              </w:rPr>
            </w:pPr>
            <w:r w:rsidRPr="001C3AB1">
              <w:rPr>
                <w:rFonts w:ascii="Times New Roman" w:hAnsi="Times New Roman" w:cs="Times New Roman"/>
                <w:sz w:val="24"/>
                <w:szCs w:val="24"/>
              </w:rPr>
              <w:t>Collaborative</w:t>
            </w:r>
          </w:p>
        </w:tc>
        <w:tc>
          <w:tcPr>
            <w:tcW w:w="2790" w:type="dxa"/>
          </w:tcPr>
          <w:p w:rsidR="00AA6835" w:rsidRPr="001C3AB1" w:rsidRDefault="00AA6835" w:rsidP="00507E14">
            <w:pPr>
              <w:jc w:val="center"/>
              <w:rPr>
                <w:rFonts w:ascii="Times New Roman" w:hAnsi="Times New Roman" w:cs="Times New Roman"/>
                <w:sz w:val="24"/>
                <w:szCs w:val="24"/>
              </w:rPr>
            </w:pPr>
            <w:r>
              <w:rPr>
                <w:rFonts w:ascii="Times New Roman" w:hAnsi="Times New Roman" w:cs="Times New Roman"/>
                <w:sz w:val="24"/>
                <w:szCs w:val="24"/>
              </w:rPr>
              <w:t>38</w:t>
            </w:r>
          </w:p>
        </w:tc>
        <w:tc>
          <w:tcPr>
            <w:tcW w:w="2214" w:type="dxa"/>
          </w:tcPr>
          <w:p w:rsidR="00AA6835" w:rsidRPr="001C3AB1" w:rsidRDefault="00AA6835" w:rsidP="00507E14">
            <w:pPr>
              <w:jc w:val="center"/>
              <w:rPr>
                <w:rFonts w:ascii="Times New Roman" w:hAnsi="Times New Roman" w:cs="Times New Roman"/>
                <w:sz w:val="24"/>
                <w:szCs w:val="24"/>
              </w:rPr>
            </w:pPr>
            <w:r w:rsidRPr="001C3AB1">
              <w:rPr>
                <w:rFonts w:ascii="Times New Roman" w:hAnsi="Times New Roman" w:cs="Times New Roman"/>
                <w:sz w:val="24"/>
                <w:szCs w:val="24"/>
              </w:rPr>
              <w:t>13</w:t>
            </w:r>
            <w:r>
              <w:rPr>
                <w:rFonts w:ascii="Times New Roman" w:hAnsi="Times New Roman" w:cs="Times New Roman"/>
                <w:sz w:val="24"/>
                <w:szCs w:val="24"/>
              </w:rPr>
              <w:t>0,947</w:t>
            </w:r>
          </w:p>
        </w:tc>
        <w:tc>
          <w:tcPr>
            <w:tcW w:w="2214" w:type="dxa"/>
          </w:tcPr>
          <w:p w:rsidR="00AA6835" w:rsidRPr="001C3AB1" w:rsidRDefault="00AA6835" w:rsidP="00507E14">
            <w:pPr>
              <w:jc w:val="center"/>
              <w:rPr>
                <w:rFonts w:ascii="Times New Roman" w:hAnsi="Times New Roman" w:cs="Times New Roman"/>
                <w:sz w:val="24"/>
                <w:szCs w:val="24"/>
              </w:rPr>
            </w:pPr>
            <w:r>
              <w:rPr>
                <w:rFonts w:ascii="Times New Roman" w:hAnsi="Times New Roman" w:cs="Times New Roman"/>
                <w:sz w:val="24"/>
                <w:szCs w:val="24"/>
              </w:rPr>
              <w:t>0.029</w:t>
            </w:r>
            <w:r w:rsidRPr="001C3AB1">
              <w:rPr>
                <w:rFonts w:ascii="Times New Roman" w:hAnsi="Times New Roman" w:cs="Times New Roman"/>
                <w:sz w:val="24"/>
                <w:szCs w:val="24"/>
              </w:rPr>
              <w:t>%</w:t>
            </w:r>
          </w:p>
        </w:tc>
      </w:tr>
      <w:tr w:rsidR="00AA6835" w:rsidRPr="001C3AB1" w:rsidTr="00507E14">
        <w:tc>
          <w:tcPr>
            <w:tcW w:w="1638" w:type="dxa"/>
          </w:tcPr>
          <w:p w:rsidR="00AA6835" w:rsidRPr="001C3AB1" w:rsidRDefault="00AA6835" w:rsidP="00507E14">
            <w:pPr>
              <w:rPr>
                <w:rFonts w:ascii="Times New Roman" w:hAnsi="Times New Roman" w:cs="Times New Roman"/>
                <w:sz w:val="24"/>
                <w:szCs w:val="24"/>
              </w:rPr>
            </w:pPr>
            <w:r w:rsidRPr="001C3AB1">
              <w:rPr>
                <w:rFonts w:ascii="Times New Roman" w:hAnsi="Times New Roman" w:cs="Times New Roman"/>
                <w:sz w:val="24"/>
                <w:szCs w:val="24"/>
              </w:rPr>
              <w:t>Supervised</w:t>
            </w:r>
          </w:p>
        </w:tc>
        <w:tc>
          <w:tcPr>
            <w:tcW w:w="2790" w:type="dxa"/>
          </w:tcPr>
          <w:p w:rsidR="00AA6835" w:rsidRPr="001C3AB1" w:rsidRDefault="00AA6835" w:rsidP="00507E14">
            <w:pPr>
              <w:jc w:val="center"/>
              <w:rPr>
                <w:rFonts w:ascii="Times New Roman" w:hAnsi="Times New Roman" w:cs="Times New Roman"/>
                <w:sz w:val="24"/>
                <w:szCs w:val="24"/>
              </w:rPr>
            </w:pPr>
            <w:r>
              <w:rPr>
                <w:rFonts w:ascii="Times New Roman" w:hAnsi="Times New Roman" w:cs="Times New Roman"/>
                <w:sz w:val="24"/>
                <w:szCs w:val="24"/>
              </w:rPr>
              <w:t>8</w:t>
            </w:r>
          </w:p>
        </w:tc>
        <w:tc>
          <w:tcPr>
            <w:tcW w:w="2214" w:type="dxa"/>
          </w:tcPr>
          <w:p w:rsidR="00AA6835" w:rsidRPr="001C3AB1" w:rsidRDefault="00AA6835" w:rsidP="00507E14">
            <w:pPr>
              <w:jc w:val="center"/>
              <w:rPr>
                <w:rFonts w:ascii="Times New Roman" w:hAnsi="Times New Roman" w:cs="Times New Roman"/>
                <w:sz w:val="24"/>
                <w:szCs w:val="24"/>
              </w:rPr>
            </w:pPr>
            <w:r>
              <w:rPr>
                <w:rFonts w:ascii="Times New Roman" w:hAnsi="Times New Roman" w:cs="Times New Roman"/>
                <w:sz w:val="24"/>
                <w:szCs w:val="24"/>
              </w:rPr>
              <w:t>22,874</w:t>
            </w:r>
          </w:p>
        </w:tc>
        <w:tc>
          <w:tcPr>
            <w:tcW w:w="2214" w:type="dxa"/>
          </w:tcPr>
          <w:p w:rsidR="00AA6835" w:rsidRPr="001C3AB1" w:rsidRDefault="00AA6835" w:rsidP="00507E14">
            <w:pPr>
              <w:jc w:val="center"/>
              <w:rPr>
                <w:rFonts w:ascii="Times New Roman" w:hAnsi="Times New Roman" w:cs="Times New Roman"/>
                <w:sz w:val="24"/>
                <w:szCs w:val="24"/>
              </w:rPr>
            </w:pPr>
            <w:r>
              <w:rPr>
                <w:rFonts w:ascii="Times New Roman" w:hAnsi="Times New Roman" w:cs="Times New Roman"/>
                <w:sz w:val="24"/>
                <w:szCs w:val="24"/>
              </w:rPr>
              <w:t>0.035</w:t>
            </w:r>
            <w:r w:rsidRPr="001C3AB1">
              <w:rPr>
                <w:rFonts w:ascii="Times New Roman" w:hAnsi="Times New Roman" w:cs="Times New Roman"/>
                <w:sz w:val="24"/>
                <w:szCs w:val="24"/>
              </w:rPr>
              <w:t>%</w:t>
            </w:r>
          </w:p>
        </w:tc>
      </w:tr>
      <w:tr w:rsidR="00AA6835" w:rsidRPr="00507E14" w:rsidTr="00507E14">
        <w:tc>
          <w:tcPr>
            <w:tcW w:w="1638" w:type="dxa"/>
          </w:tcPr>
          <w:p w:rsidR="00AA6835" w:rsidRPr="00507E14" w:rsidRDefault="00AA6835" w:rsidP="00507E14">
            <w:pPr>
              <w:jc w:val="right"/>
              <w:rPr>
                <w:rFonts w:ascii="Times New Roman" w:hAnsi="Times New Roman" w:cs="Times New Roman"/>
                <w:b/>
                <w:sz w:val="24"/>
                <w:szCs w:val="24"/>
              </w:rPr>
            </w:pPr>
            <w:r w:rsidRPr="00507E14">
              <w:rPr>
                <w:rFonts w:ascii="Times New Roman" w:hAnsi="Times New Roman" w:cs="Times New Roman"/>
                <w:b/>
                <w:sz w:val="24"/>
                <w:szCs w:val="24"/>
              </w:rPr>
              <w:t>Total</w:t>
            </w:r>
          </w:p>
        </w:tc>
        <w:tc>
          <w:tcPr>
            <w:tcW w:w="2790" w:type="dxa"/>
          </w:tcPr>
          <w:p w:rsidR="00AA6835" w:rsidRPr="00507E14" w:rsidRDefault="00AA6835" w:rsidP="00507E14">
            <w:pPr>
              <w:jc w:val="center"/>
              <w:rPr>
                <w:rFonts w:ascii="Times New Roman" w:hAnsi="Times New Roman" w:cs="Times New Roman"/>
                <w:b/>
                <w:sz w:val="24"/>
                <w:szCs w:val="24"/>
              </w:rPr>
            </w:pPr>
            <w:r w:rsidRPr="00507E14">
              <w:rPr>
                <w:rFonts w:ascii="Times New Roman" w:hAnsi="Times New Roman" w:cs="Times New Roman"/>
                <w:b/>
                <w:sz w:val="24"/>
                <w:szCs w:val="24"/>
              </w:rPr>
              <w:t>67</w:t>
            </w:r>
          </w:p>
        </w:tc>
        <w:tc>
          <w:tcPr>
            <w:tcW w:w="2214" w:type="dxa"/>
          </w:tcPr>
          <w:p w:rsidR="00AA6835" w:rsidRPr="00507E14" w:rsidRDefault="00AA6835" w:rsidP="00507E14">
            <w:pPr>
              <w:jc w:val="center"/>
              <w:rPr>
                <w:rFonts w:ascii="Times New Roman" w:hAnsi="Times New Roman" w:cs="Times New Roman"/>
                <w:b/>
                <w:sz w:val="24"/>
                <w:szCs w:val="24"/>
              </w:rPr>
            </w:pPr>
            <w:r w:rsidRPr="00507E14">
              <w:rPr>
                <w:rFonts w:ascii="Times New Roman" w:hAnsi="Times New Roman" w:cs="Times New Roman"/>
                <w:b/>
                <w:sz w:val="24"/>
                <w:szCs w:val="24"/>
              </w:rPr>
              <w:t>184,771</w:t>
            </w:r>
          </w:p>
        </w:tc>
        <w:tc>
          <w:tcPr>
            <w:tcW w:w="2214" w:type="dxa"/>
          </w:tcPr>
          <w:p w:rsidR="00AA6835" w:rsidRPr="00507E14" w:rsidRDefault="00AA6835" w:rsidP="00507E14">
            <w:pPr>
              <w:jc w:val="center"/>
              <w:rPr>
                <w:rFonts w:ascii="Times New Roman" w:hAnsi="Times New Roman" w:cs="Times New Roman"/>
                <w:b/>
                <w:sz w:val="24"/>
                <w:szCs w:val="24"/>
              </w:rPr>
            </w:pPr>
            <w:r w:rsidRPr="00507E14">
              <w:rPr>
                <w:rFonts w:ascii="Times New Roman" w:hAnsi="Times New Roman" w:cs="Times New Roman"/>
                <w:b/>
                <w:sz w:val="24"/>
                <w:szCs w:val="24"/>
              </w:rPr>
              <w:t>0.036%</w:t>
            </w:r>
          </w:p>
        </w:tc>
      </w:tr>
    </w:tbl>
    <w:p w:rsidR="004033FD" w:rsidRPr="00507E14" w:rsidRDefault="00507E14" w:rsidP="00507E14">
      <w:pPr>
        <w:spacing w:line="480" w:lineRule="auto"/>
        <w:rPr>
          <w:rFonts w:ascii="Times New Roman" w:hAnsi="Times New Roman" w:cs="Times New Roman"/>
          <w:sz w:val="20"/>
          <w:szCs w:val="20"/>
        </w:rPr>
      </w:pPr>
      <w:r w:rsidRPr="00507E14">
        <w:rPr>
          <w:rFonts w:ascii="Times New Roman" w:hAnsi="Times New Roman" w:cs="Times New Roman"/>
          <w:i/>
          <w:sz w:val="20"/>
          <w:szCs w:val="20"/>
        </w:rPr>
        <w:t>Note.</w:t>
      </w:r>
      <w:r>
        <w:rPr>
          <w:rFonts w:ascii="Times New Roman" w:hAnsi="Times New Roman" w:cs="Times New Roman"/>
          <w:sz w:val="20"/>
          <w:szCs w:val="20"/>
        </w:rPr>
        <w:t xml:space="preserve"> 67 of 184,771 (0.036%) APRNs were disciplined for practice-related reasons.</w:t>
      </w:r>
    </w:p>
    <w:p w:rsidR="00507E14" w:rsidRDefault="00507E14" w:rsidP="00EF09FE">
      <w:pPr>
        <w:spacing w:line="480" w:lineRule="auto"/>
        <w:ind w:firstLine="720"/>
        <w:rPr>
          <w:rFonts w:ascii="Times New Roman" w:hAnsi="Times New Roman" w:cs="Times New Roman"/>
          <w:sz w:val="24"/>
          <w:szCs w:val="24"/>
        </w:rPr>
      </w:pPr>
    </w:p>
    <w:p w:rsidR="00E77EF6" w:rsidRPr="00EF09FE" w:rsidRDefault="00BE2BCC" w:rsidP="00EF09FE">
      <w:pPr>
        <w:spacing w:line="480" w:lineRule="auto"/>
        <w:ind w:firstLine="720"/>
        <w:rPr>
          <w:rFonts w:ascii="Times New Roman" w:hAnsi="Times New Roman" w:cs="Times New Roman"/>
          <w:sz w:val="24"/>
          <w:szCs w:val="24"/>
        </w:rPr>
      </w:pPr>
      <w:r w:rsidRPr="00EF09FE">
        <w:rPr>
          <w:rFonts w:ascii="Times New Roman" w:hAnsi="Times New Roman" w:cs="Times New Roman"/>
          <w:sz w:val="24"/>
          <w:szCs w:val="24"/>
        </w:rPr>
        <w:t xml:space="preserve">Logistic regression with dummy coding was used to investigate the effects of level of practice autonomy (i.e., independent, collaborative, and supervised) on </w:t>
      </w:r>
      <w:r w:rsidR="005C2595" w:rsidRPr="00EF09FE">
        <w:rPr>
          <w:rFonts w:ascii="Times New Roman" w:hAnsi="Times New Roman" w:cs="Times New Roman"/>
          <w:sz w:val="24"/>
          <w:szCs w:val="24"/>
        </w:rPr>
        <w:t xml:space="preserve">practice-related </w:t>
      </w:r>
      <w:r w:rsidRPr="00EF09FE">
        <w:rPr>
          <w:rFonts w:ascii="Times New Roman" w:hAnsi="Times New Roman" w:cs="Times New Roman"/>
          <w:sz w:val="24"/>
          <w:szCs w:val="24"/>
        </w:rPr>
        <w:t xml:space="preserve">discipline (i.e., </w:t>
      </w:r>
      <w:r w:rsidR="00C15CF9" w:rsidRPr="00EF09FE">
        <w:rPr>
          <w:rFonts w:ascii="Times New Roman" w:hAnsi="Times New Roman" w:cs="Times New Roman"/>
          <w:sz w:val="24"/>
          <w:szCs w:val="24"/>
        </w:rPr>
        <w:t>disciplined or not disciplined), where collaborative was the reference group.</w:t>
      </w:r>
      <w:r w:rsidRPr="00EF09FE">
        <w:rPr>
          <w:rFonts w:ascii="Times New Roman" w:hAnsi="Times New Roman" w:cs="Times New Roman"/>
          <w:sz w:val="24"/>
          <w:szCs w:val="24"/>
        </w:rPr>
        <w:t xml:space="preserve"> Given high sample size, non-random assignment to groups, and extremely low overall discipline rates, results should be interpreted with caution. Table </w:t>
      </w:r>
      <w:r w:rsidR="009C7D88" w:rsidRPr="00EF09FE">
        <w:rPr>
          <w:rFonts w:ascii="Times New Roman" w:hAnsi="Times New Roman" w:cs="Times New Roman"/>
          <w:sz w:val="24"/>
          <w:szCs w:val="24"/>
        </w:rPr>
        <w:t>6</w:t>
      </w:r>
      <w:r w:rsidRPr="00EF09FE">
        <w:rPr>
          <w:rFonts w:ascii="Times New Roman" w:hAnsi="Times New Roman" w:cs="Times New Roman"/>
          <w:sz w:val="24"/>
          <w:szCs w:val="24"/>
        </w:rPr>
        <w:t xml:space="preserve"> presents the results which indicated that level of practice autonomy reliably distinguished whether practitioners were disciplined or not, </w:t>
      </w:r>
      <w:r w:rsidRPr="00EF09FE">
        <w:rPr>
          <w:rFonts w:ascii="Times New Roman" w:hAnsi="Times New Roman" w:cs="Times New Roman"/>
          <w:sz w:val="24"/>
          <w:szCs w:val="24"/>
        </w:rPr>
        <w:sym w:font="Symbol" w:char="F063"/>
      </w:r>
      <w:r w:rsidRPr="00EF09FE">
        <w:rPr>
          <w:rFonts w:ascii="Times New Roman" w:hAnsi="Times New Roman" w:cs="Times New Roman"/>
          <w:sz w:val="24"/>
          <w:szCs w:val="24"/>
          <w:vertAlign w:val="superscript"/>
        </w:rPr>
        <w:t xml:space="preserve">2 </w:t>
      </w:r>
      <w:r w:rsidRPr="00EF09FE">
        <w:rPr>
          <w:rFonts w:ascii="Times New Roman" w:hAnsi="Times New Roman" w:cs="Times New Roman"/>
          <w:sz w:val="24"/>
          <w:szCs w:val="24"/>
        </w:rPr>
        <w:t xml:space="preserve">(2, </w:t>
      </w:r>
      <w:r w:rsidRPr="00EF09FE">
        <w:rPr>
          <w:rFonts w:ascii="Times New Roman" w:hAnsi="Times New Roman" w:cs="Times New Roman"/>
          <w:i/>
          <w:sz w:val="24"/>
          <w:szCs w:val="24"/>
        </w:rPr>
        <w:t>N</w:t>
      </w:r>
      <w:r w:rsidRPr="00EF09FE">
        <w:rPr>
          <w:rFonts w:ascii="Times New Roman" w:hAnsi="Times New Roman" w:cs="Times New Roman"/>
          <w:sz w:val="24"/>
          <w:szCs w:val="24"/>
        </w:rPr>
        <w:t xml:space="preserve"> = 184,771) = </w:t>
      </w:r>
      <w:r w:rsidR="00507E14">
        <w:rPr>
          <w:rFonts w:ascii="Times New Roman" w:hAnsi="Times New Roman" w:cs="Times New Roman"/>
          <w:sz w:val="24"/>
          <w:szCs w:val="24"/>
        </w:rPr>
        <w:t>9.87</w:t>
      </w:r>
      <w:r w:rsidRPr="00EF09FE">
        <w:rPr>
          <w:rFonts w:ascii="Times New Roman" w:hAnsi="Times New Roman" w:cs="Times New Roman"/>
          <w:sz w:val="24"/>
          <w:szCs w:val="24"/>
        </w:rPr>
        <w:t xml:space="preserve">, </w:t>
      </w:r>
      <w:r w:rsidRPr="00EF09FE">
        <w:rPr>
          <w:rFonts w:ascii="Times New Roman" w:hAnsi="Times New Roman" w:cs="Times New Roman"/>
          <w:i/>
          <w:sz w:val="24"/>
          <w:szCs w:val="24"/>
        </w:rPr>
        <w:t>p</w:t>
      </w:r>
      <w:r w:rsidR="00507E14">
        <w:rPr>
          <w:rFonts w:ascii="Times New Roman" w:hAnsi="Times New Roman" w:cs="Times New Roman"/>
          <w:sz w:val="24"/>
          <w:szCs w:val="24"/>
        </w:rPr>
        <w:t xml:space="preserve"> = .007</w:t>
      </w:r>
      <w:r w:rsidRPr="00EF09FE">
        <w:rPr>
          <w:rFonts w:ascii="Times New Roman" w:hAnsi="Times New Roman" w:cs="Times New Roman"/>
          <w:sz w:val="24"/>
          <w:szCs w:val="24"/>
        </w:rPr>
        <w:t xml:space="preserve">. Specifically, independent </w:t>
      </w:r>
      <w:proofErr w:type="spellStart"/>
      <w:r w:rsidRPr="00EF09FE">
        <w:rPr>
          <w:rFonts w:ascii="Times New Roman" w:hAnsi="Times New Roman" w:cs="Times New Roman"/>
          <w:sz w:val="24"/>
          <w:szCs w:val="24"/>
        </w:rPr>
        <w:t>practioners</w:t>
      </w:r>
      <w:proofErr w:type="spellEnd"/>
      <w:r w:rsidRPr="00EF09FE">
        <w:rPr>
          <w:rFonts w:ascii="Times New Roman" w:hAnsi="Times New Roman" w:cs="Times New Roman"/>
          <w:sz w:val="24"/>
          <w:szCs w:val="24"/>
        </w:rPr>
        <w:t xml:space="preserve"> were significantly more likely to be disciplined versus </w:t>
      </w:r>
      <w:r w:rsidR="00BF55BD" w:rsidRPr="00EF09FE">
        <w:rPr>
          <w:rFonts w:ascii="Times New Roman" w:hAnsi="Times New Roman" w:cs="Times New Roman"/>
          <w:sz w:val="24"/>
          <w:szCs w:val="24"/>
        </w:rPr>
        <w:t xml:space="preserve">collaborative </w:t>
      </w:r>
      <w:r w:rsidRPr="00EF09FE">
        <w:rPr>
          <w:rFonts w:ascii="Times New Roman" w:hAnsi="Times New Roman" w:cs="Times New Roman"/>
          <w:sz w:val="24"/>
          <w:szCs w:val="24"/>
        </w:rPr>
        <w:t>practitioners (</w:t>
      </w:r>
      <w:r w:rsidRPr="00EF09FE">
        <w:rPr>
          <w:rFonts w:ascii="Times New Roman" w:hAnsi="Times New Roman" w:cs="Times New Roman"/>
          <w:i/>
          <w:sz w:val="24"/>
          <w:szCs w:val="24"/>
        </w:rPr>
        <w:t>B</w:t>
      </w:r>
      <w:r w:rsidRPr="00EF09FE">
        <w:rPr>
          <w:rFonts w:ascii="Times New Roman" w:hAnsi="Times New Roman" w:cs="Times New Roman"/>
          <w:sz w:val="24"/>
          <w:szCs w:val="24"/>
        </w:rPr>
        <w:t xml:space="preserve"> = .</w:t>
      </w:r>
      <w:r w:rsidR="00BF55BD" w:rsidRPr="00EF09FE">
        <w:rPr>
          <w:rFonts w:ascii="Times New Roman" w:hAnsi="Times New Roman" w:cs="Times New Roman"/>
          <w:sz w:val="24"/>
          <w:szCs w:val="24"/>
        </w:rPr>
        <w:t>85</w:t>
      </w:r>
      <w:r w:rsidRPr="00EF09FE">
        <w:rPr>
          <w:rFonts w:ascii="Times New Roman" w:hAnsi="Times New Roman" w:cs="Times New Roman"/>
          <w:sz w:val="24"/>
          <w:szCs w:val="24"/>
        </w:rPr>
        <w:t xml:space="preserve">, </w:t>
      </w:r>
      <w:r w:rsidRPr="00EF09FE">
        <w:rPr>
          <w:rFonts w:ascii="Times New Roman" w:hAnsi="Times New Roman" w:cs="Times New Roman"/>
          <w:i/>
          <w:sz w:val="24"/>
          <w:szCs w:val="24"/>
        </w:rPr>
        <w:t>SE</w:t>
      </w:r>
      <w:r w:rsidRPr="00EF09FE">
        <w:rPr>
          <w:rFonts w:ascii="Times New Roman" w:hAnsi="Times New Roman" w:cs="Times New Roman"/>
          <w:sz w:val="24"/>
          <w:szCs w:val="24"/>
        </w:rPr>
        <w:t xml:space="preserve"> = .</w:t>
      </w:r>
      <w:r w:rsidR="00BF55BD" w:rsidRPr="00EF09FE">
        <w:rPr>
          <w:rFonts w:ascii="Times New Roman" w:hAnsi="Times New Roman" w:cs="Times New Roman"/>
          <w:sz w:val="24"/>
          <w:szCs w:val="24"/>
        </w:rPr>
        <w:t>27</w:t>
      </w:r>
      <w:r w:rsidRPr="00EF09FE">
        <w:rPr>
          <w:rFonts w:ascii="Times New Roman" w:hAnsi="Times New Roman" w:cs="Times New Roman"/>
          <w:sz w:val="24"/>
          <w:szCs w:val="24"/>
        </w:rPr>
        <w:t>) (odds ratio, 2.</w:t>
      </w:r>
      <w:r w:rsidR="00BF55BD" w:rsidRPr="00EF09FE">
        <w:rPr>
          <w:rFonts w:ascii="Times New Roman" w:hAnsi="Times New Roman" w:cs="Times New Roman"/>
          <w:sz w:val="24"/>
          <w:szCs w:val="24"/>
        </w:rPr>
        <w:t>34</w:t>
      </w:r>
      <w:r w:rsidRPr="00EF09FE">
        <w:rPr>
          <w:rFonts w:ascii="Times New Roman" w:hAnsi="Times New Roman" w:cs="Times New Roman"/>
          <w:sz w:val="24"/>
          <w:szCs w:val="24"/>
        </w:rPr>
        <w:t>); where independent practitioners were 2.</w:t>
      </w:r>
      <w:r w:rsidR="00BF55BD" w:rsidRPr="00EF09FE">
        <w:rPr>
          <w:rFonts w:ascii="Times New Roman" w:hAnsi="Times New Roman" w:cs="Times New Roman"/>
          <w:sz w:val="24"/>
          <w:szCs w:val="24"/>
        </w:rPr>
        <w:t>34</w:t>
      </w:r>
      <w:r w:rsidRPr="00EF09FE">
        <w:rPr>
          <w:rFonts w:ascii="Times New Roman" w:hAnsi="Times New Roman" w:cs="Times New Roman"/>
          <w:sz w:val="24"/>
          <w:szCs w:val="24"/>
        </w:rPr>
        <w:t xml:space="preserve"> times more likely to be disciplined versus </w:t>
      </w:r>
      <w:r w:rsidR="00BF55BD" w:rsidRPr="00EF09FE">
        <w:rPr>
          <w:rFonts w:ascii="Times New Roman" w:hAnsi="Times New Roman" w:cs="Times New Roman"/>
          <w:sz w:val="24"/>
          <w:szCs w:val="24"/>
        </w:rPr>
        <w:t>collaborative</w:t>
      </w:r>
      <w:r w:rsidRPr="00EF09FE">
        <w:rPr>
          <w:rFonts w:ascii="Times New Roman" w:hAnsi="Times New Roman" w:cs="Times New Roman"/>
          <w:sz w:val="24"/>
          <w:szCs w:val="24"/>
        </w:rPr>
        <w:t xml:space="preserve"> practitioners. There was no significant difference between collaborative practitioners and supervised practitioners (</w:t>
      </w:r>
      <w:r w:rsidRPr="00EF09FE">
        <w:rPr>
          <w:rFonts w:ascii="Times New Roman" w:hAnsi="Times New Roman" w:cs="Times New Roman"/>
          <w:i/>
          <w:sz w:val="24"/>
          <w:szCs w:val="24"/>
        </w:rPr>
        <w:t>B</w:t>
      </w:r>
      <w:r w:rsidRPr="00EF09FE">
        <w:rPr>
          <w:rFonts w:ascii="Times New Roman" w:hAnsi="Times New Roman" w:cs="Times New Roman"/>
          <w:sz w:val="24"/>
          <w:szCs w:val="24"/>
        </w:rPr>
        <w:t xml:space="preserve"> = </w:t>
      </w:r>
      <w:r w:rsidR="00BF55BD" w:rsidRPr="00EF09FE">
        <w:rPr>
          <w:rFonts w:ascii="Times New Roman" w:hAnsi="Times New Roman" w:cs="Times New Roman"/>
          <w:sz w:val="24"/>
          <w:szCs w:val="24"/>
        </w:rPr>
        <w:t>.19</w:t>
      </w:r>
      <w:r w:rsidRPr="00EF09FE">
        <w:rPr>
          <w:rFonts w:ascii="Times New Roman" w:hAnsi="Times New Roman" w:cs="Times New Roman"/>
          <w:sz w:val="24"/>
          <w:szCs w:val="24"/>
        </w:rPr>
        <w:t xml:space="preserve">, </w:t>
      </w:r>
      <w:r w:rsidRPr="00EF09FE">
        <w:rPr>
          <w:rFonts w:ascii="Times New Roman" w:hAnsi="Times New Roman" w:cs="Times New Roman"/>
          <w:i/>
          <w:sz w:val="24"/>
          <w:szCs w:val="24"/>
        </w:rPr>
        <w:t>SE</w:t>
      </w:r>
      <w:r w:rsidRPr="00EF09FE">
        <w:rPr>
          <w:rFonts w:ascii="Times New Roman" w:hAnsi="Times New Roman" w:cs="Times New Roman"/>
          <w:sz w:val="24"/>
          <w:szCs w:val="24"/>
        </w:rPr>
        <w:t xml:space="preserve"> = </w:t>
      </w:r>
      <w:r w:rsidR="00BF55BD" w:rsidRPr="00EF09FE">
        <w:rPr>
          <w:rFonts w:ascii="Times New Roman" w:hAnsi="Times New Roman" w:cs="Times New Roman"/>
          <w:sz w:val="24"/>
          <w:szCs w:val="24"/>
        </w:rPr>
        <w:t>.39</w:t>
      </w:r>
      <w:r w:rsidRPr="00EF09FE">
        <w:rPr>
          <w:rFonts w:ascii="Times New Roman" w:hAnsi="Times New Roman" w:cs="Times New Roman"/>
          <w:sz w:val="24"/>
          <w:szCs w:val="24"/>
        </w:rPr>
        <w:t>) (odds ratio</w:t>
      </w:r>
      <w:r w:rsidR="00094BC2" w:rsidRPr="00EF09FE">
        <w:rPr>
          <w:rFonts w:ascii="Times New Roman" w:hAnsi="Times New Roman" w:cs="Times New Roman"/>
          <w:sz w:val="24"/>
          <w:szCs w:val="24"/>
        </w:rPr>
        <w:t>,</w:t>
      </w:r>
      <w:r w:rsidRPr="00EF09FE">
        <w:rPr>
          <w:rFonts w:ascii="Times New Roman" w:hAnsi="Times New Roman" w:cs="Times New Roman"/>
          <w:sz w:val="24"/>
          <w:szCs w:val="24"/>
        </w:rPr>
        <w:t xml:space="preserve"> </w:t>
      </w:r>
      <w:r w:rsidR="00BF55BD" w:rsidRPr="00EF09FE">
        <w:rPr>
          <w:rFonts w:ascii="Times New Roman" w:hAnsi="Times New Roman" w:cs="Times New Roman"/>
          <w:sz w:val="24"/>
          <w:szCs w:val="24"/>
        </w:rPr>
        <w:t>1.21</w:t>
      </w:r>
      <w:r w:rsidRPr="00EF09FE">
        <w:rPr>
          <w:rFonts w:ascii="Times New Roman" w:hAnsi="Times New Roman" w:cs="Times New Roman"/>
          <w:sz w:val="24"/>
          <w:szCs w:val="24"/>
        </w:rPr>
        <w:t xml:space="preserve">).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068"/>
        <w:gridCol w:w="918"/>
        <w:gridCol w:w="918"/>
        <w:gridCol w:w="918"/>
        <w:gridCol w:w="918"/>
        <w:gridCol w:w="918"/>
        <w:gridCol w:w="918"/>
      </w:tblGrid>
      <w:tr w:rsidR="00BE2BCC" w:rsidRPr="00EF09FE" w:rsidTr="004033FD">
        <w:trPr>
          <w:trHeight w:val="360"/>
        </w:trPr>
        <w:tc>
          <w:tcPr>
            <w:tcW w:w="9576" w:type="dxa"/>
            <w:gridSpan w:val="7"/>
            <w:tcBorders>
              <w:top w:val="nil"/>
              <w:left w:val="nil"/>
              <w:bottom w:val="nil"/>
              <w:right w:val="nil"/>
            </w:tcBorders>
            <w:vAlign w:val="center"/>
          </w:tcPr>
          <w:p w:rsidR="00BE2BCC" w:rsidRPr="00EF09FE" w:rsidRDefault="00BE2BCC" w:rsidP="004033FD">
            <w:pPr>
              <w:rPr>
                <w:rFonts w:ascii="Times New Roman" w:eastAsia="Calibri" w:hAnsi="Times New Roman" w:cs="Times New Roman"/>
                <w:sz w:val="20"/>
                <w:szCs w:val="20"/>
              </w:rPr>
            </w:pPr>
            <w:r w:rsidRPr="00EF09FE">
              <w:rPr>
                <w:rFonts w:ascii="Times New Roman" w:eastAsia="Calibri" w:hAnsi="Times New Roman" w:cs="Times New Roman"/>
                <w:sz w:val="20"/>
                <w:szCs w:val="20"/>
              </w:rPr>
              <w:t xml:space="preserve">Table </w:t>
            </w:r>
            <w:r w:rsidR="009C7D88" w:rsidRPr="00EF09FE">
              <w:rPr>
                <w:rFonts w:ascii="Times New Roman" w:hAnsi="Times New Roman" w:cs="Times New Roman"/>
                <w:sz w:val="20"/>
                <w:szCs w:val="20"/>
              </w:rPr>
              <w:t>6</w:t>
            </w:r>
          </w:p>
        </w:tc>
      </w:tr>
      <w:tr w:rsidR="00BE2BCC" w:rsidRPr="00EF09FE" w:rsidTr="004033FD">
        <w:trPr>
          <w:trHeight w:val="360"/>
        </w:trPr>
        <w:tc>
          <w:tcPr>
            <w:tcW w:w="9576" w:type="dxa"/>
            <w:gridSpan w:val="7"/>
            <w:tcBorders>
              <w:top w:val="nil"/>
              <w:left w:val="nil"/>
              <w:bottom w:val="single" w:sz="4" w:space="0" w:color="auto"/>
              <w:right w:val="nil"/>
            </w:tcBorders>
            <w:vAlign w:val="center"/>
          </w:tcPr>
          <w:p w:rsidR="00BE2BCC" w:rsidRPr="00EF09FE" w:rsidRDefault="00BE2BCC" w:rsidP="004033FD">
            <w:pPr>
              <w:rPr>
                <w:rFonts w:ascii="Times New Roman" w:eastAsia="Calibri" w:hAnsi="Times New Roman" w:cs="Times New Roman"/>
                <w:i/>
                <w:sz w:val="20"/>
                <w:szCs w:val="20"/>
              </w:rPr>
            </w:pPr>
            <w:r w:rsidRPr="00EF09FE">
              <w:rPr>
                <w:rFonts w:ascii="Times New Roman" w:eastAsia="Calibri" w:hAnsi="Times New Roman" w:cs="Times New Roman"/>
                <w:i/>
                <w:sz w:val="20"/>
                <w:szCs w:val="20"/>
              </w:rPr>
              <w:t xml:space="preserve">Summary of Logistic Regression Analysis for </w:t>
            </w:r>
            <w:r w:rsidRPr="00EF09FE">
              <w:rPr>
                <w:rFonts w:ascii="Times New Roman" w:hAnsi="Times New Roman" w:cs="Times New Roman"/>
                <w:i/>
                <w:sz w:val="20"/>
                <w:szCs w:val="20"/>
              </w:rPr>
              <w:t>Level of Practice Autonomy</w:t>
            </w:r>
            <w:r w:rsidRPr="00EF09FE">
              <w:rPr>
                <w:rFonts w:ascii="Times New Roman" w:eastAsia="Calibri" w:hAnsi="Times New Roman" w:cs="Times New Roman"/>
                <w:i/>
                <w:sz w:val="20"/>
                <w:szCs w:val="20"/>
              </w:rPr>
              <w:t xml:space="preserve"> Predicting </w:t>
            </w:r>
            <w:r w:rsidR="005C2595" w:rsidRPr="00EF09FE">
              <w:rPr>
                <w:rFonts w:ascii="Times New Roman" w:eastAsia="Calibri" w:hAnsi="Times New Roman" w:cs="Times New Roman"/>
                <w:i/>
                <w:sz w:val="20"/>
                <w:szCs w:val="20"/>
              </w:rPr>
              <w:t xml:space="preserve">Practice-related </w:t>
            </w:r>
            <w:r w:rsidRPr="00EF09FE">
              <w:rPr>
                <w:rFonts w:ascii="Times New Roman" w:hAnsi="Times New Roman" w:cs="Times New Roman"/>
                <w:i/>
                <w:sz w:val="20"/>
                <w:szCs w:val="20"/>
              </w:rPr>
              <w:t>Discipline</w:t>
            </w:r>
            <w:r w:rsidRPr="00EF09FE">
              <w:rPr>
                <w:rFonts w:ascii="Times New Roman" w:eastAsia="Calibri" w:hAnsi="Times New Roman" w:cs="Times New Roman"/>
                <w:i/>
                <w:sz w:val="20"/>
                <w:szCs w:val="20"/>
              </w:rPr>
              <w:t xml:space="preserve"> </w:t>
            </w:r>
          </w:p>
        </w:tc>
      </w:tr>
      <w:tr w:rsidR="00BE2BCC" w:rsidRPr="00EF09FE" w:rsidTr="004033FD">
        <w:trPr>
          <w:trHeight w:val="590"/>
        </w:trPr>
        <w:tc>
          <w:tcPr>
            <w:tcW w:w="4068" w:type="dxa"/>
            <w:tcBorders>
              <w:left w:val="nil"/>
              <w:bottom w:val="single" w:sz="4" w:space="0" w:color="auto"/>
              <w:right w:val="nil"/>
            </w:tcBorders>
            <w:vAlign w:val="center"/>
          </w:tcPr>
          <w:p w:rsidR="00BE2BCC" w:rsidRPr="00EF09FE" w:rsidRDefault="00BE2BCC" w:rsidP="004033FD">
            <w:pPr>
              <w:rPr>
                <w:rFonts w:ascii="Times New Roman" w:eastAsia="Calibri" w:hAnsi="Times New Roman" w:cs="Times New Roman"/>
                <w:sz w:val="20"/>
                <w:szCs w:val="20"/>
              </w:rPr>
            </w:pPr>
            <w:r w:rsidRPr="00EF09FE">
              <w:rPr>
                <w:rFonts w:ascii="Times New Roman" w:eastAsia="Calibri" w:hAnsi="Times New Roman" w:cs="Times New Roman"/>
                <w:sz w:val="20"/>
                <w:szCs w:val="20"/>
              </w:rPr>
              <w:t>Predictor</w:t>
            </w:r>
          </w:p>
        </w:tc>
        <w:tc>
          <w:tcPr>
            <w:tcW w:w="918" w:type="dxa"/>
            <w:tcBorders>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i/>
                <w:sz w:val="20"/>
                <w:szCs w:val="20"/>
              </w:rPr>
            </w:pPr>
            <w:r w:rsidRPr="00EF09FE">
              <w:rPr>
                <w:rFonts w:ascii="Times New Roman" w:eastAsia="Calibri" w:hAnsi="Times New Roman" w:cs="Times New Roman"/>
                <w:i/>
                <w:sz w:val="20"/>
                <w:szCs w:val="20"/>
              </w:rPr>
              <w:t>B</w:t>
            </w:r>
          </w:p>
        </w:tc>
        <w:tc>
          <w:tcPr>
            <w:tcW w:w="918" w:type="dxa"/>
            <w:tcBorders>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i/>
                <w:sz w:val="20"/>
                <w:szCs w:val="20"/>
              </w:rPr>
            </w:pPr>
            <w:r w:rsidRPr="00EF09FE">
              <w:rPr>
                <w:rFonts w:ascii="Times New Roman" w:eastAsia="Calibri" w:hAnsi="Times New Roman" w:cs="Times New Roman"/>
                <w:i/>
                <w:sz w:val="20"/>
                <w:szCs w:val="20"/>
              </w:rPr>
              <w:t>SE B</w:t>
            </w:r>
          </w:p>
        </w:tc>
        <w:tc>
          <w:tcPr>
            <w:tcW w:w="918" w:type="dxa"/>
            <w:tcBorders>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 xml:space="preserve">Wald’s </w:t>
            </w:r>
          </w:p>
          <w:p w:rsidR="00BE2BCC" w:rsidRPr="00EF09FE" w:rsidRDefault="00BE2BCC" w:rsidP="004033FD">
            <w:pPr>
              <w:jc w:val="center"/>
              <w:rPr>
                <w:rFonts w:ascii="Times New Roman" w:eastAsia="Calibri" w:hAnsi="Times New Roman" w:cs="Times New Roman"/>
                <w:i/>
                <w:sz w:val="20"/>
                <w:szCs w:val="20"/>
              </w:rPr>
            </w:pPr>
            <w:r w:rsidRPr="00EF09FE">
              <w:rPr>
                <w:rFonts w:ascii="Times New Roman" w:eastAsia="Calibri" w:hAnsi="Times New Roman" w:cs="Times New Roman"/>
                <w:i/>
                <w:szCs w:val="20"/>
              </w:rPr>
              <w:sym w:font="Symbol" w:char="F063"/>
            </w:r>
            <w:r w:rsidRPr="00EF09FE">
              <w:rPr>
                <w:rFonts w:ascii="Times New Roman" w:eastAsia="Calibri" w:hAnsi="Times New Roman" w:cs="Times New Roman"/>
                <w:i/>
                <w:szCs w:val="20"/>
                <w:vertAlign w:val="superscript"/>
              </w:rPr>
              <w:t>2</w:t>
            </w:r>
          </w:p>
        </w:tc>
        <w:tc>
          <w:tcPr>
            <w:tcW w:w="918" w:type="dxa"/>
            <w:tcBorders>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i/>
                <w:sz w:val="20"/>
                <w:szCs w:val="20"/>
              </w:rPr>
            </w:pPr>
            <w:proofErr w:type="spellStart"/>
            <w:r w:rsidRPr="00EF09FE">
              <w:rPr>
                <w:rFonts w:ascii="Times New Roman" w:eastAsia="Calibri" w:hAnsi="Times New Roman" w:cs="Times New Roman"/>
                <w:i/>
                <w:sz w:val="20"/>
                <w:szCs w:val="20"/>
              </w:rPr>
              <w:t>df</w:t>
            </w:r>
            <w:proofErr w:type="spellEnd"/>
          </w:p>
        </w:tc>
        <w:tc>
          <w:tcPr>
            <w:tcW w:w="918" w:type="dxa"/>
            <w:tcBorders>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i/>
                <w:sz w:val="20"/>
                <w:szCs w:val="20"/>
              </w:rPr>
            </w:pPr>
            <w:r w:rsidRPr="00EF09FE">
              <w:rPr>
                <w:rFonts w:ascii="Times New Roman" w:eastAsia="Calibri" w:hAnsi="Times New Roman" w:cs="Times New Roman"/>
                <w:i/>
                <w:sz w:val="20"/>
                <w:szCs w:val="20"/>
              </w:rPr>
              <w:t>p</w:t>
            </w:r>
          </w:p>
        </w:tc>
        <w:tc>
          <w:tcPr>
            <w:tcW w:w="918" w:type="dxa"/>
            <w:tcBorders>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i/>
                <w:sz w:val="20"/>
                <w:szCs w:val="20"/>
                <w:vertAlign w:val="superscript"/>
              </w:rPr>
            </w:pPr>
            <w:proofErr w:type="spellStart"/>
            <w:r w:rsidRPr="00EF09FE">
              <w:rPr>
                <w:rFonts w:ascii="Times New Roman" w:eastAsia="Calibri" w:hAnsi="Times New Roman" w:cs="Times New Roman"/>
                <w:i/>
                <w:sz w:val="20"/>
                <w:szCs w:val="20"/>
              </w:rPr>
              <w:t>e</w:t>
            </w:r>
            <w:r w:rsidRPr="00EF09FE">
              <w:rPr>
                <w:rFonts w:ascii="Times New Roman" w:eastAsia="Calibri" w:hAnsi="Times New Roman" w:cs="Times New Roman"/>
                <w:i/>
                <w:sz w:val="20"/>
                <w:szCs w:val="20"/>
                <w:vertAlign w:val="superscript"/>
              </w:rPr>
              <w:t>B</w:t>
            </w:r>
            <w:proofErr w:type="spellEnd"/>
            <w:r w:rsidRPr="00EF09FE">
              <w:rPr>
                <w:rFonts w:ascii="Times New Roman" w:eastAsia="Calibri" w:hAnsi="Times New Roman" w:cs="Times New Roman"/>
                <w:i/>
                <w:sz w:val="20"/>
                <w:szCs w:val="20"/>
                <w:vertAlign w:val="superscript"/>
              </w:rPr>
              <w:t xml:space="preserve"> </w:t>
            </w:r>
          </w:p>
          <w:p w:rsidR="00BE2BCC" w:rsidRPr="00EF09FE" w:rsidRDefault="00BE2BCC" w:rsidP="004033FD">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(odds ratio)</w:t>
            </w:r>
          </w:p>
        </w:tc>
      </w:tr>
      <w:tr w:rsidR="00BE2BCC" w:rsidRPr="00EF09FE" w:rsidTr="004033FD">
        <w:trPr>
          <w:trHeight w:val="360"/>
        </w:trPr>
        <w:tc>
          <w:tcPr>
            <w:tcW w:w="4068" w:type="dxa"/>
            <w:tcBorders>
              <w:left w:val="nil"/>
              <w:bottom w:val="nil"/>
              <w:right w:val="nil"/>
            </w:tcBorders>
            <w:vAlign w:val="center"/>
          </w:tcPr>
          <w:p w:rsidR="00BE2BCC" w:rsidRPr="00EF09FE" w:rsidRDefault="00BE2BCC" w:rsidP="004033FD">
            <w:pPr>
              <w:rPr>
                <w:rFonts w:ascii="Times New Roman" w:eastAsia="Calibri" w:hAnsi="Times New Roman" w:cs="Times New Roman"/>
                <w:sz w:val="20"/>
                <w:szCs w:val="20"/>
              </w:rPr>
            </w:pPr>
            <w:r w:rsidRPr="00EF09FE">
              <w:rPr>
                <w:rFonts w:ascii="Times New Roman" w:eastAsia="Calibri" w:hAnsi="Times New Roman" w:cs="Times New Roman"/>
                <w:sz w:val="20"/>
                <w:szCs w:val="20"/>
              </w:rPr>
              <w:t>Constant</w:t>
            </w:r>
          </w:p>
        </w:tc>
        <w:tc>
          <w:tcPr>
            <w:tcW w:w="918" w:type="dxa"/>
            <w:tcBorders>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7.1</w:t>
            </w:r>
            <w:r w:rsidR="00A47487" w:rsidRPr="00EF09FE">
              <w:rPr>
                <w:rFonts w:ascii="Times New Roman" w:hAnsi="Times New Roman" w:cs="Times New Roman"/>
                <w:sz w:val="20"/>
                <w:szCs w:val="20"/>
              </w:rPr>
              <w:t>1</w:t>
            </w:r>
          </w:p>
        </w:tc>
        <w:tc>
          <w:tcPr>
            <w:tcW w:w="918" w:type="dxa"/>
            <w:tcBorders>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w:t>
            </w:r>
            <w:r w:rsidR="00A47487" w:rsidRPr="00EF09FE">
              <w:rPr>
                <w:rFonts w:ascii="Times New Roman" w:hAnsi="Times New Roman" w:cs="Times New Roman"/>
                <w:sz w:val="20"/>
                <w:szCs w:val="20"/>
              </w:rPr>
              <w:t>45</w:t>
            </w:r>
          </w:p>
        </w:tc>
        <w:tc>
          <w:tcPr>
            <w:tcW w:w="918" w:type="dxa"/>
            <w:tcBorders>
              <w:left w:val="nil"/>
              <w:bottom w:val="nil"/>
              <w:right w:val="nil"/>
            </w:tcBorders>
            <w:vAlign w:val="center"/>
          </w:tcPr>
          <w:p w:rsidR="00BE2BCC" w:rsidRPr="00EF09FE" w:rsidRDefault="00A47487"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253.88</w:t>
            </w:r>
          </w:p>
        </w:tc>
        <w:tc>
          <w:tcPr>
            <w:tcW w:w="918" w:type="dxa"/>
            <w:tcBorders>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1</w:t>
            </w:r>
          </w:p>
        </w:tc>
        <w:tc>
          <w:tcPr>
            <w:tcW w:w="918" w:type="dxa"/>
            <w:tcBorders>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.000</w:t>
            </w:r>
          </w:p>
        </w:tc>
        <w:tc>
          <w:tcPr>
            <w:tcW w:w="918" w:type="dxa"/>
            <w:tcBorders>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p>
        </w:tc>
      </w:tr>
      <w:tr w:rsidR="00BE2BCC" w:rsidRPr="00EF09FE" w:rsidTr="004033FD">
        <w:trPr>
          <w:trHeight w:val="360"/>
        </w:trPr>
        <w:tc>
          <w:tcPr>
            <w:tcW w:w="4068" w:type="dxa"/>
            <w:tcBorders>
              <w:top w:val="nil"/>
              <w:left w:val="nil"/>
              <w:bottom w:val="nil"/>
              <w:right w:val="nil"/>
            </w:tcBorders>
            <w:vAlign w:val="center"/>
          </w:tcPr>
          <w:p w:rsidR="00BE2BCC" w:rsidRPr="00EF09FE" w:rsidRDefault="00BE2BCC" w:rsidP="004033FD">
            <w:pPr>
              <w:rPr>
                <w:rFonts w:ascii="Times New Roman" w:eastAsia="Calibri" w:hAnsi="Times New Roman" w:cs="Times New Roman"/>
                <w:sz w:val="20"/>
                <w:szCs w:val="20"/>
              </w:rPr>
            </w:pPr>
            <w:r w:rsidRPr="00EF09FE">
              <w:rPr>
                <w:rFonts w:ascii="Times New Roman" w:hAnsi="Times New Roman" w:cs="Times New Roman"/>
                <w:sz w:val="20"/>
                <w:szCs w:val="20"/>
              </w:rPr>
              <w:t>Level of practice autonomy</w:t>
            </w:r>
          </w:p>
        </w:tc>
        <w:tc>
          <w:tcPr>
            <w:tcW w:w="918" w:type="dxa"/>
            <w:tcBorders>
              <w:top w:val="nil"/>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p>
        </w:tc>
        <w:tc>
          <w:tcPr>
            <w:tcW w:w="918" w:type="dxa"/>
            <w:tcBorders>
              <w:top w:val="nil"/>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p>
        </w:tc>
        <w:tc>
          <w:tcPr>
            <w:tcW w:w="918" w:type="dxa"/>
            <w:tcBorders>
              <w:top w:val="nil"/>
              <w:left w:val="nil"/>
              <w:bottom w:val="nil"/>
              <w:right w:val="nil"/>
            </w:tcBorders>
            <w:vAlign w:val="center"/>
          </w:tcPr>
          <w:p w:rsidR="00BE2BCC" w:rsidRPr="00EF09FE" w:rsidRDefault="00A47487"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9.87</w:t>
            </w:r>
          </w:p>
        </w:tc>
        <w:tc>
          <w:tcPr>
            <w:tcW w:w="918" w:type="dxa"/>
            <w:tcBorders>
              <w:top w:val="nil"/>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2</w:t>
            </w:r>
          </w:p>
        </w:tc>
        <w:tc>
          <w:tcPr>
            <w:tcW w:w="918" w:type="dxa"/>
            <w:tcBorders>
              <w:top w:val="nil"/>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.00</w:t>
            </w:r>
            <w:r w:rsidR="00A47487" w:rsidRPr="00EF09FE">
              <w:rPr>
                <w:rFonts w:ascii="Times New Roman" w:hAnsi="Times New Roman" w:cs="Times New Roman"/>
                <w:sz w:val="20"/>
                <w:szCs w:val="20"/>
              </w:rPr>
              <w:t>7</w:t>
            </w:r>
          </w:p>
        </w:tc>
        <w:tc>
          <w:tcPr>
            <w:tcW w:w="918" w:type="dxa"/>
            <w:tcBorders>
              <w:top w:val="nil"/>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p>
        </w:tc>
      </w:tr>
      <w:tr w:rsidR="00BE2BCC" w:rsidRPr="00EF09FE" w:rsidTr="004033FD">
        <w:trPr>
          <w:trHeight w:val="360"/>
        </w:trPr>
        <w:tc>
          <w:tcPr>
            <w:tcW w:w="4068" w:type="dxa"/>
            <w:tcBorders>
              <w:top w:val="nil"/>
              <w:left w:val="nil"/>
              <w:bottom w:val="nil"/>
              <w:right w:val="nil"/>
            </w:tcBorders>
            <w:vAlign w:val="center"/>
          </w:tcPr>
          <w:p w:rsidR="00BE2BCC" w:rsidRPr="00EF09FE" w:rsidRDefault="00BE2BCC" w:rsidP="00A47487">
            <w:pPr>
              <w:ind w:left="180"/>
              <w:rPr>
                <w:rFonts w:ascii="Times New Roman" w:eastAsia="Calibri" w:hAnsi="Times New Roman" w:cs="Times New Roman"/>
                <w:sz w:val="20"/>
                <w:szCs w:val="20"/>
              </w:rPr>
            </w:pPr>
            <w:r w:rsidRPr="00EF09FE">
              <w:rPr>
                <w:rFonts w:ascii="Times New Roman" w:hAnsi="Times New Roman" w:cs="Times New Roman"/>
                <w:sz w:val="20"/>
                <w:szCs w:val="20"/>
              </w:rPr>
              <w:t xml:space="preserve">Independent  vs. </w:t>
            </w:r>
            <w:r w:rsidR="00A47487" w:rsidRPr="00EF09FE">
              <w:rPr>
                <w:rFonts w:ascii="Times New Roman" w:hAnsi="Times New Roman" w:cs="Times New Roman"/>
                <w:sz w:val="20"/>
                <w:szCs w:val="20"/>
              </w:rPr>
              <w:t>collaborative</w:t>
            </w:r>
          </w:p>
        </w:tc>
        <w:tc>
          <w:tcPr>
            <w:tcW w:w="918" w:type="dxa"/>
            <w:tcBorders>
              <w:top w:val="nil"/>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w:t>
            </w:r>
            <w:r w:rsidR="00A47487" w:rsidRPr="00EF09FE">
              <w:rPr>
                <w:rFonts w:ascii="Times New Roman" w:hAnsi="Times New Roman" w:cs="Times New Roman"/>
                <w:sz w:val="20"/>
                <w:szCs w:val="20"/>
              </w:rPr>
              <w:t>85</w:t>
            </w:r>
          </w:p>
        </w:tc>
        <w:tc>
          <w:tcPr>
            <w:tcW w:w="918" w:type="dxa"/>
            <w:tcBorders>
              <w:top w:val="nil"/>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w:t>
            </w:r>
            <w:r w:rsidR="00A47487" w:rsidRPr="00EF09FE">
              <w:rPr>
                <w:rFonts w:ascii="Times New Roman" w:hAnsi="Times New Roman" w:cs="Times New Roman"/>
                <w:sz w:val="20"/>
                <w:szCs w:val="20"/>
              </w:rPr>
              <w:t>27</w:t>
            </w:r>
          </w:p>
        </w:tc>
        <w:tc>
          <w:tcPr>
            <w:tcW w:w="918" w:type="dxa"/>
            <w:tcBorders>
              <w:top w:val="nil"/>
              <w:left w:val="nil"/>
              <w:bottom w:val="nil"/>
              <w:right w:val="nil"/>
            </w:tcBorders>
            <w:vAlign w:val="center"/>
          </w:tcPr>
          <w:p w:rsidR="00BE2BCC" w:rsidRPr="00EF09FE" w:rsidRDefault="00A47487"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9.77</w:t>
            </w:r>
          </w:p>
        </w:tc>
        <w:tc>
          <w:tcPr>
            <w:tcW w:w="918" w:type="dxa"/>
            <w:tcBorders>
              <w:top w:val="nil"/>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1</w:t>
            </w:r>
          </w:p>
        </w:tc>
        <w:tc>
          <w:tcPr>
            <w:tcW w:w="918" w:type="dxa"/>
            <w:tcBorders>
              <w:top w:val="nil"/>
              <w:left w:val="nil"/>
              <w:bottom w:val="nil"/>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w:t>
            </w:r>
            <w:r w:rsidR="00A47487" w:rsidRPr="00EF09FE">
              <w:rPr>
                <w:rFonts w:ascii="Times New Roman" w:hAnsi="Times New Roman" w:cs="Times New Roman"/>
                <w:sz w:val="20"/>
                <w:szCs w:val="20"/>
              </w:rPr>
              <w:t>002</w:t>
            </w:r>
          </w:p>
        </w:tc>
        <w:tc>
          <w:tcPr>
            <w:tcW w:w="918" w:type="dxa"/>
            <w:tcBorders>
              <w:top w:val="nil"/>
              <w:left w:val="nil"/>
              <w:bottom w:val="nil"/>
              <w:right w:val="nil"/>
            </w:tcBorders>
            <w:vAlign w:val="center"/>
          </w:tcPr>
          <w:p w:rsidR="00BE2BCC" w:rsidRPr="00EF09FE" w:rsidRDefault="00BE2BCC" w:rsidP="00A47487">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2.</w:t>
            </w:r>
            <w:r w:rsidR="00A47487" w:rsidRPr="00EF09FE">
              <w:rPr>
                <w:rFonts w:ascii="Times New Roman" w:eastAsia="Calibri" w:hAnsi="Times New Roman" w:cs="Times New Roman"/>
                <w:sz w:val="20"/>
                <w:szCs w:val="20"/>
              </w:rPr>
              <w:t>34</w:t>
            </w:r>
          </w:p>
        </w:tc>
      </w:tr>
      <w:tr w:rsidR="00BE2BCC" w:rsidRPr="00EF09FE" w:rsidTr="004033FD">
        <w:trPr>
          <w:trHeight w:val="360"/>
        </w:trPr>
        <w:tc>
          <w:tcPr>
            <w:tcW w:w="4068" w:type="dxa"/>
            <w:tcBorders>
              <w:top w:val="nil"/>
              <w:left w:val="nil"/>
              <w:bottom w:val="single" w:sz="4" w:space="0" w:color="auto"/>
              <w:right w:val="nil"/>
            </w:tcBorders>
            <w:vAlign w:val="center"/>
          </w:tcPr>
          <w:p w:rsidR="00BE2BCC" w:rsidRPr="00EF09FE" w:rsidRDefault="00A47487" w:rsidP="00A47487">
            <w:pPr>
              <w:ind w:left="180"/>
              <w:rPr>
                <w:rFonts w:ascii="Times New Roman" w:eastAsia="Calibri" w:hAnsi="Times New Roman" w:cs="Times New Roman"/>
                <w:sz w:val="20"/>
                <w:szCs w:val="20"/>
              </w:rPr>
            </w:pPr>
            <w:r w:rsidRPr="00EF09FE">
              <w:rPr>
                <w:rFonts w:ascii="Times New Roman" w:hAnsi="Times New Roman" w:cs="Times New Roman"/>
                <w:sz w:val="20"/>
                <w:szCs w:val="20"/>
              </w:rPr>
              <w:t>Supervised</w:t>
            </w:r>
            <w:r w:rsidR="00BE2BCC" w:rsidRPr="00EF09FE">
              <w:rPr>
                <w:rFonts w:ascii="Times New Roman" w:hAnsi="Times New Roman" w:cs="Times New Roman"/>
                <w:sz w:val="20"/>
                <w:szCs w:val="20"/>
              </w:rPr>
              <w:t xml:space="preserve"> vs. </w:t>
            </w:r>
            <w:r w:rsidRPr="00EF09FE">
              <w:rPr>
                <w:rFonts w:ascii="Times New Roman" w:hAnsi="Times New Roman" w:cs="Times New Roman"/>
                <w:sz w:val="20"/>
                <w:szCs w:val="20"/>
              </w:rPr>
              <w:t>collaborative</w:t>
            </w:r>
          </w:p>
        </w:tc>
        <w:tc>
          <w:tcPr>
            <w:tcW w:w="918" w:type="dxa"/>
            <w:tcBorders>
              <w:top w:val="nil"/>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.11</w:t>
            </w:r>
          </w:p>
        </w:tc>
        <w:tc>
          <w:tcPr>
            <w:tcW w:w="918" w:type="dxa"/>
            <w:tcBorders>
              <w:top w:val="nil"/>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.47</w:t>
            </w:r>
          </w:p>
        </w:tc>
        <w:tc>
          <w:tcPr>
            <w:tcW w:w="918" w:type="dxa"/>
            <w:tcBorders>
              <w:top w:val="nil"/>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.05</w:t>
            </w:r>
          </w:p>
        </w:tc>
        <w:tc>
          <w:tcPr>
            <w:tcW w:w="918" w:type="dxa"/>
            <w:tcBorders>
              <w:top w:val="nil"/>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1</w:t>
            </w:r>
          </w:p>
        </w:tc>
        <w:tc>
          <w:tcPr>
            <w:tcW w:w="918" w:type="dxa"/>
            <w:tcBorders>
              <w:top w:val="nil"/>
              <w:left w:val="nil"/>
              <w:bottom w:val="single" w:sz="4" w:space="0" w:color="auto"/>
              <w:right w:val="nil"/>
            </w:tcBorders>
            <w:vAlign w:val="center"/>
          </w:tcPr>
          <w:p w:rsidR="00BE2BCC" w:rsidRPr="00EF09FE" w:rsidRDefault="00BE2BCC" w:rsidP="004033FD">
            <w:pPr>
              <w:jc w:val="center"/>
              <w:rPr>
                <w:rFonts w:ascii="Times New Roman" w:eastAsia="Calibri" w:hAnsi="Times New Roman" w:cs="Times New Roman"/>
                <w:sz w:val="20"/>
                <w:szCs w:val="20"/>
              </w:rPr>
            </w:pPr>
            <w:r w:rsidRPr="00EF09FE">
              <w:rPr>
                <w:rFonts w:ascii="Times New Roman" w:hAnsi="Times New Roman" w:cs="Times New Roman"/>
                <w:sz w:val="20"/>
                <w:szCs w:val="20"/>
              </w:rPr>
              <w:t>.817</w:t>
            </w:r>
          </w:p>
        </w:tc>
        <w:tc>
          <w:tcPr>
            <w:tcW w:w="918" w:type="dxa"/>
            <w:tcBorders>
              <w:top w:val="nil"/>
              <w:left w:val="nil"/>
              <w:bottom w:val="single" w:sz="4" w:space="0" w:color="auto"/>
              <w:right w:val="nil"/>
            </w:tcBorders>
            <w:vAlign w:val="center"/>
          </w:tcPr>
          <w:p w:rsidR="00BE2BCC" w:rsidRPr="00EF09FE" w:rsidRDefault="00BE2BCC" w:rsidP="00444976">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1.</w:t>
            </w:r>
            <w:r w:rsidR="00444976" w:rsidRPr="00EF09FE">
              <w:rPr>
                <w:rFonts w:ascii="Times New Roman" w:eastAsia="Calibri" w:hAnsi="Times New Roman" w:cs="Times New Roman"/>
                <w:sz w:val="20"/>
                <w:szCs w:val="20"/>
              </w:rPr>
              <w:t>21</w:t>
            </w:r>
          </w:p>
        </w:tc>
      </w:tr>
    </w:tbl>
    <w:p w:rsidR="00C6199E" w:rsidRPr="00EF09FE" w:rsidRDefault="00C6199E" w:rsidP="00C6199E">
      <w:pPr>
        <w:rPr>
          <w:rFonts w:ascii="Times New Roman" w:hAnsi="Times New Roman" w:cs="Times New Roman"/>
          <w:sz w:val="20"/>
          <w:szCs w:val="20"/>
        </w:rPr>
      </w:pPr>
      <w:r w:rsidRPr="00EF09FE">
        <w:rPr>
          <w:rFonts w:ascii="Times New Roman" w:hAnsi="Times New Roman" w:cs="Times New Roman"/>
          <w:i/>
          <w:sz w:val="20"/>
          <w:szCs w:val="20"/>
        </w:rPr>
        <w:t>Note.</w:t>
      </w:r>
      <w:r w:rsidRPr="00EF09FE">
        <w:rPr>
          <w:rFonts w:ascii="Times New Roman" w:hAnsi="Times New Roman" w:cs="Times New Roman"/>
          <w:sz w:val="20"/>
          <w:szCs w:val="20"/>
        </w:rPr>
        <w:t xml:space="preserve"> To obtain the odds ratio for the independent versus supervised groups</w:t>
      </w:r>
      <w:r w:rsidR="00C502FE" w:rsidRPr="00EF09FE">
        <w:rPr>
          <w:rFonts w:ascii="Times New Roman" w:hAnsi="Times New Roman" w:cs="Times New Roman"/>
          <w:sz w:val="20"/>
          <w:szCs w:val="20"/>
        </w:rPr>
        <w:t xml:space="preserve"> (odds ratio, 1.94, </w:t>
      </w:r>
      <w:r w:rsidR="00C502FE" w:rsidRPr="00EF09FE">
        <w:rPr>
          <w:rFonts w:ascii="Times New Roman" w:hAnsi="Times New Roman" w:cs="Times New Roman"/>
          <w:i/>
          <w:sz w:val="20"/>
          <w:szCs w:val="20"/>
        </w:rPr>
        <w:t>p</w:t>
      </w:r>
      <w:r w:rsidR="00C502FE" w:rsidRPr="00EF09FE">
        <w:rPr>
          <w:rFonts w:ascii="Times New Roman" w:hAnsi="Times New Roman" w:cs="Times New Roman"/>
          <w:sz w:val="20"/>
          <w:szCs w:val="20"/>
        </w:rPr>
        <w:t xml:space="preserve"> = .110)</w:t>
      </w:r>
      <w:r w:rsidR="009D1A6B">
        <w:rPr>
          <w:rFonts w:ascii="Times New Roman" w:hAnsi="Times New Roman" w:cs="Times New Roman"/>
          <w:sz w:val="20"/>
          <w:szCs w:val="20"/>
        </w:rPr>
        <w:t>, the analysis was re-ru</w:t>
      </w:r>
      <w:r w:rsidRPr="00EF09FE">
        <w:rPr>
          <w:rFonts w:ascii="Times New Roman" w:hAnsi="Times New Roman" w:cs="Times New Roman"/>
          <w:sz w:val="20"/>
          <w:szCs w:val="20"/>
        </w:rPr>
        <w:t xml:space="preserve">n where the supervised group was coded as the reference group in the dummy variables. </w:t>
      </w:r>
    </w:p>
    <w:p w:rsidR="00EF09FE" w:rsidRDefault="00EF09FE" w:rsidP="00AA6835">
      <w:pPr>
        <w:spacing w:line="480" w:lineRule="auto"/>
        <w:rPr>
          <w:rFonts w:ascii="Times New Roman" w:hAnsi="Times New Roman" w:cs="Times New Roman"/>
          <w:b/>
          <w:sz w:val="24"/>
          <w:szCs w:val="24"/>
        </w:rPr>
      </w:pPr>
    </w:p>
    <w:p w:rsidR="00AA6835" w:rsidRPr="008D6A90" w:rsidRDefault="00507E14" w:rsidP="00AA683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Prescribing-related Discipline</w:t>
      </w:r>
    </w:p>
    <w:p w:rsidR="00AA6835" w:rsidRPr="008D6A90" w:rsidRDefault="005126E3" w:rsidP="00AA68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63 </w:t>
      </w:r>
      <w:r w:rsidR="00AA6835" w:rsidRPr="008D6A90">
        <w:rPr>
          <w:rFonts w:ascii="Times New Roman" w:hAnsi="Times New Roman" w:cs="Times New Roman"/>
          <w:sz w:val="24"/>
          <w:szCs w:val="24"/>
        </w:rPr>
        <w:t xml:space="preserve">APRNs who were disciplined </w:t>
      </w:r>
      <w:r>
        <w:rPr>
          <w:rFonts w:ascii="Times New Roman" w:hAnsi="Times New Roman" w:cs="Times New Roman"/>
          <w:sz w:val="24"/>
          <w:szCs w:val="24"/>
        </w:rPr>
        <w:t xml:space="preserve">by BON in 2009 </w:t>
      </w:r>
      <w:r w:rsidR="00AA6835" w:rsidRPr="008D6A90">
        <w:rPr>
          <w:rFonts w:ascii="Times New Roman" w:hAnsi="Times New Roman" w:cs="Times New Roman"/>
          <w:sz w:val="24"/>
          <w:szCs w:val="24"/>
        </w:rPr>
        <w:t>for prescribing reasons were compared according to their level of prescriptive authority. These</w:t>
      </w:r>
      <w:r w:rsidR="00AA6835">
        <w:rPr>
          <w:rFonts w:ascii="Times New Roman" w:hAnsi="Times New Roman" w:cs="Times New Roman"/>
          <w:sz w:val="24"/>
          <w:szCs w:val="24"/>
        </w:rPr>
        <w:t xml:space="preserve"> results are included in Table 7</w:t>
      </w:r>
      <w:r w:rsidR="00AA6835" w:rsidRPr="008D6A90">
        <w:rPr>
          <w:rFonts w:ascii="Times New Roman" w:hAnsi="Times New Roman" w:cs="Times New Roman"/>
          <w:sz w:val="24"/>
          <w:szCs w:val="24"/>
        </w:rPr>
        <w:t xml:space="preserve">. Again, the overall rate of discipline among APRNs is very low—0.034%, indicating that APRNs are safe prescribers. A total of 63 APRNs were disciplined by boards of nursing in 2009 for prescribing related reasons. Independent APRN prescribers had the highest rate of discipline (0.060%), followed by </w:t>
      </w:r>
      <w:r w:rsidR="00AA6835">
        <w:rPr>
          <w:rFonts w:ascii="Times New Roman" w:hAnsi="Times New Roman" w:cs="Times New Roman"/>
          <w:sz w:val="24"/>
          <w:szCs w:val="24"/>
        </w:rPr>
        <w:t>collaborative prescribers (0.034</w:t>
      </w:r>
      <w:r w:rsidR="00AA6835" w:rsidRPr="008D6A90">
        <w:rPr>
          <w:rFonts w:ascii="Times New Roman" w:hAnsi="Times New Roman" w:cs="Times New Roman"/>
          <w:sz w:val="24"/>
          <w:szCs w:val="24"/>
        </w:rPr>
        <w:t xml:space="preserve">%), and supervised prescribers </w:t>
      </w:r>
      <w:r w:rsidR="00AA6835">
        <w:rPr>
          <w:rFonts w:ascii="Times New Roman" w:hAnsi="Times New Roman" w:cs="Times New Roman"/>
          <w:sz w:val="24"/>
          <w:szCs w:val="24"/>
        </w:rPr>
        <w:t>(0.027</w:t>
      </w:r>
      <w:r w:rsidR="00AA6835" w:rsidRPr="008D6A90">
        <w:rPr>
          <w:rFonts w:ascii="Times New Roman" w:hAnsi="Times New Roman" w:cs="Times New Roman"/>
          <w:sz w:val="24"/>
          <w:szCs w:val="24"/>
        </w:rPr>
        <w:t xml:space="preserve">%). </w:t>
      </w:r>
    </w:p>
    <w:p w:rsidR="00507E14" w:rsidRDefault="00507E14" w:rsidP="00AA6835">
      <w:pPr>
        <w:rPr>
          <w:rFonts w:ascii="Times New Roman" w:hAnsi="Times New Roman" w:cs="Times New Roman"/>
          <w:sz w:val="24"/>
          <w:szCs w:val="24"/>
        </w:rPr>
      </w:pPr>
    </w:p>
    <w:p w:rsidR="00AA6835" w:rsidRPr="008D6A90" w:rsidRDefault="00AA6835" w:rsidP="00AA6835">
      <w:pPr>
        <w:rPr>
          <w:rFonts w:ascii="Times New Roman" w:hAnsi="Times New Roman" w:cs="Times New Roman"/>
          <w:sz w:val="24"/>
          <w:szCs w:val="24"/>
        </w:rPr>
      </w:pPr>
      <w:proofErr w:type="gramStart"/>
      <w:r>
        <w:rPr>
          <w:rFonts w:ascii="Times New Roman" w:hAnsi="Times New Roman" w:cs="Times New Roman"/>
          <w:sz w:val="24"/>
          <w:szCs w:val="24"/>
        </w:rPr>
        <w:t>Table 7</w:t>
      </w:r>
      <w:r w:rsidRPr="008D6A90">
        <w:rPr>
          <w:rFonts w:ascii="Times New Roman" w:hAnsi="Times New Roman" w:cs="Times New Roman"/>
          <w:sz w:val="24"/>
          <w:szCs w:val="24"/>
        </w:rPr>
        <w:t>.</w:t>
      </w:r>
      <w:proofErr w:type="gramEnd"/>
      <w:r w:rsidRPr="008D6A90">
        <w:rPr>
          <w:rFonts w:ascii="Times New Roman" w:hAnsi="Times New Roman" w:cs="Times New Roman"/>
          <w:sz w:val="24"/>
          <w:szCs w:val="24"/>
        </w:rPr>
        <w:t xml:space="preserve"> APRNs disciplined for </w:t>
      </w:r>
      <w:r w:rsidRPr="008D6A90">
        <w:rPr>
          <w:rFonts w:ascii="Times New Roman" w:hAnsi="Times New Roman" w:cs="Times New Roman"/>
          <w:i/>
          <w:sz w:val="24"/>
          <w:szCs w:val="24"/>
        </w:rPr>
        <w:t>prescribing</w:t>
      </w:r>
      <w:r w:rsidRPr="008D6A90">
        <w:rPr>
          <w:rFonts w:ascii="Times New Roman" w:hAnsi="Times New Roman" w:cs="Times New Roman"/>
          <w:sz w:val="24"/>
          <w:szCs w:val="24"/>
        </w:rPr>
        <w:t xml:space="preserve"> related reasons</w:t>
      </w:r>
    </w:p>
    <w:tbl>
      <w:tblPr>
        <w:tblStyle w:val="TableGrid"/>
        <w:tblW w:w="0" w:type="auto"/>
        <w:tblLook w:val="04A0"/>
      </w:tblPr>
      <w:tblGrid>
        <w:gridCol w:w="1870"/>
        <w:gridCol w:w="2790"/>
        <w:gridCol w:w="2214"/>
        <w:gridCol w:w="2214"/>
      </w:tblGrid>
      <w:tr w:rsidR="00AA6835" w:rsidRPr="008D6A90" w:rsidTr="00507E14">
        <w:tc>
          <w:tcPr>
            <w:tcW w:w="1870" w:type="dxa"/>
          </w:tcPr>
          <w:p w:rsidR="00AA6835" w:rsidRPr="008D6A90" w:rsidRDefault="00AA6835" w:rsidP="00716C07">
            <w:pPr>
              <w:jc w:val="center"/>
              <w:rPr>
                <w:rFonts w:ascii="Times New Roman" w:hAnsi="Times New Roman" w:cs="Times New Roman"/>
                <w:sz w:val="24"/>
                <w:szCs w:val="24"/>
              </w:rPr>
            </w:pPr>
          </w:p>
        </w:tc>
        <w:tc>
          <w:tcPr>
            <w:tcW w:w="2790" w:type="dxa"/>
          </w:tcPr>
          <w:p w:rsidR="00AA6835" w:rsidRPr="008D6A90" w:rsidRDefault="00AA6835" w:rsidP="00716C07">
            <w:pPr>
              <w:jc w:val="center"/>
              <w:rPr>
                <w:rFonts w:ascii="Times New Roman" w:hAnsi="Times New Roman" w:cs="Times New Roman"/>
                <w:sz w:val="24"/>
                <w:szCs w:val="24"/>
              </w:rPr>
            </w:pPr>
            <w:r w:rsidRPr="008D6A90">
              <w:rPr>
                <w:rFonts w:ascii="Times New Roman" w:hAnsi="Times New Roman" w:cs="Times New Roman"/>
                <w:sz w:val="24"/>
                <w:szCs w:val="24"/>
              </w:rPr>
              <w:t>Number of APRNs disciplined</w:t>
            </w:r>
          </w:p>
        </w:tc>
        <w:tc>
          <w:tcPr>
            <w:tcW w:w="2214" w:type="dxa"/>
          </w:tcPr>
          <w:p w:rsidR="00AA6835" w:rsidRPr="008D6A90" w:rsidRDefault="00AA6835" w:rsidP="00716C07">
            <w:pPr>
              <w:jc w:val="center"/>
              <w:rPr>
                <w:rFonts w:ascii="Times New Roman" w:hAnsi="Times New Roman" w:cs="Times New Roman"/>
                <w:sz w:val="24"/>
                <w:szCs w:val="24"/>
              </w:rPr>
            </w:pPr>
            <w:r w:rsidRPr="008D6A90">
              <w:rPr>
                <w:rFonts w:ascii="Times New Roman" w:hAnsi="Times New Roman" w:cs="Times New Roman"/>
                <w:sz w:val="24"/>
                <w:szCs w:val="24"/>
              </w:rPr>
              <w:t>Total number of APRNs</w:t>
            </w:r>
          </w:p>
        </w:tc>
        <w:tc>
          <w:tcPr>
            <w:tcW w:w="2214" w:type="dxa"/>
          </w:tcPr>
          <w:p w:rsidR="00AA6835" w:rsidRPr="008D6A90" w:rsidRDefault="00AA6835" w:rsidP="00716C07">
            <w:pPr>
              <w:jc w:val="center"/>
              <w:rPr>
                <w:rFonts w:ascii="Times New Roman" w:hAnsi="Times New Roman" w:cs="Times New Roman"/>
                <w:sz w:val="24"/>
                <w:szCs w:val="24"/>
              </w:rPr>
            </w:pPr>
            <w:r w:rsidRPr="008D6A90">
              <w:rPr>
                <w:rFonts w:ascii="Times New Roman" w:hAnsi="Times New Roman" w:cs="Times New Roman"/>
                <w:sz w:val="24"/>
                <w:szCs w:val="24"/>
              </w:rPr>
              <w:t>Rate of discipline</w:t>
            </w:r>
          </w:p>
        </w:tc>
      </w:tr>
      <w:tr w:rsidR="00AA6835" w:rsidRPr="008D6A90" w:rsidTr="00507E14">
        <w:tc>
          <w:tcPr>
            <w:tcW w:w="1870" w:type="dxa"/>
          </w:tcPr>
          <w:p w:rsidR="00AA6835" w:rsidRPr="008D6A90" w:rsidRDefault="00AA6835" w:rsidP="00716C07">
            <w:pPr>
              <w:rPr>
                <w:rFonts w:ascii="Times New Roman" w:hAnsi="Times New Roman" w:cs="Times New Roman"/>
                <w:sz w:val="24"/>
                <w:szCs w:val="24"/>
              </w:rPr>
            </w:pPr>
            <w:r w:rsidRPr="008D6A90">
              <w:rPr>
                <w:rFonts w:ascii="Times New Roman" w:hAnsi="Times New Roman" w:cs="Times New Roman"/>
                <w:sz w:val="24"/>
                <w:szCs w:val="24"/>
              </w:rPr>
              <w:t>Independent</w:t>
            </w:r>
          </w:p>
        </w:tc>
        <w:tc>
          <w:tcPr>
            <w:tcW w:w="2790" w:type="dxa"/>
          </w:tcPr>
          <w:p w:rsidR="00AA6835" w:rsidRPr="008D6A90" w:rsidRDefault="00AA6835" w:rsidP="00716C07">
            <w:pPr>
              <w:jc w:val="center"/>
              <w:rPr>
                <w:rFonts w:ascii="Times New Roman" w:hAnsi="Times New Roman" w:cs="Times New Roman"/>
                <w:sz w:val="24"/>
                <w:szCs w:val="24"/>
              </w:rPr>
            </w:pPr>
            <w:r w:rsidRPr="008D6A90">
              <w:rPr>
                <w:rFonts w:ascii="Times New Roman" w:hAnsi="Times New Roman" w:cs="Times New Roman"/>
                <w:sz w:val="24"/>
                <w:szCs w:val="24"/>
              </w:rPr>
              <w:t>11</w:t>
            </w:r>
          </w:p>
        </w:tc>
        <w:tc>
          <w:tcPr>
            <w:tcW w:w="2214" w:type="dxa"/>
          </w:tcPr>
          <w:p w:rsidR="00AA6835" w:rsidRPr="008D6A90" w:rsidRDefault="00AA6835" w:rsidP="00716C07">
            <w:pPr>
              <w:jc w:val="center"/>
              <w:rPr>
                <w:rFonts w:ascii="Times New Roman" w:hAnsi="Times New Roman" w:cs="Times New Roman"/>
                <w:sz w:val="24"/>
                <w:szCs w:val="24"/>
              </w:rPr>
            </w:pPr>
            <w:r w:rsidRPr="008D6A90">
              <w:rPr>
                <w:rFonts w:ascii="Times New Roman" w:hAnsi="Times New Roman" w:cs="Times New Roman"/>
                <w:sz w:val="24"/>
                <w:szCs w:val="24"/>
              </w:rPr>
              <w:t>18,400</w:t>
            </w:r>
          </w:p>
        </w:tc>
        <w:tc>
          <w:tcPr>
            <w:tcW w:w="2214" w:type="dxa"/>
          </w:tcPr>
          <w:p w:rsidR="00AA6835" w:rsidRPr="008D6A90" w:rsidRDefault="00AA6835" w:rsidP="00716C07">
            <w:pPr>
              <w:jc w:val="center"/>
              <w:rPr>
                <w:rFonts w:ascii="Times New Roman" w:hAnsi="Times New Roman" w:cs="Times New Roman"/>
                <w:sz w:val="24"/>
                <w:szCs w:val="24"/>
              </w:rPr>
            </w:pPr>
            <w:r w:rsidRPr="008D6A90">
              <w:rPr>
                <w:rFonts w:ascii="Times New Roman" w:hAnsi="Times New Roman" w:cs="Times New Roman"/>
                <w:sz w:val="24"/>
                <w:szCs w:val="24"/>
              </w:rPr>
              <w:t>0.060%</w:t>
            </w:r>
          </w:p>
        </w:tc>
      </w:tr>
      <w:tr w:rsidR="00AA6835" w:rsidRPr="008D6A90" w:rsidTr="00507E14">
        <w:tc>
          <w:tcPr>
            <w:tcW w:w="1870" w:type="dxa"/>
          </w:tcPr>
          <w:p w:rsidR="00AA6835" w:rsidRPr="008D6A90" w:rsidRDefault="00AA6835" w:rsidP="00716C07">
            <w:pPr>
              <w:rPr>
                <w:rFonts w:ascii="Times New Roman" w:hAnsi="Times New Roman" w:cs="Times New Roman"/>
                <w:sz w:val="24"/>
                <w:szCs w:val="24"/>
              </w:rPr>
            </w:pPr>
            <w:r w:rsidRPr="008D6A90">
              <w:rPr>
                <w:rFonts w:ascii="Times New Roman" w:hAnsi="Times New Roman" w:cs="Times New Roman"/>
                <w:sz w:val="24"/>
                <w:szCs w:val="24"/>
              </w:rPr>
              <w:t>Collaborative</w:t>
            </w:r>
          </w:p>
        </w:tc>
        <w:tc>
          <w:tcPr>
            <w:tcW w:w="2790" w:type="dxa"/>
          </w:tcPr>
          <w:p w:rsidR="00AA6835" w:rsidRPr="008D6A90" w:rsidRDefault="00AA6835" w:rsidP="00716C07">
            <w:pPr>
              <w:jc w:val="center"/>
              <w:rPr>
                <w:rFonts w:ascii="Times New Roman" w:hAnsi="Times New Roman" w:cs="Times New Roman"/>
                <w:sz w:val="24"/>
                <w:szCs w:val="24"/>
              </w:rPr>
            </w:pPr>
            <w:r>
              <w:rPr>
                <w:rFonts w:ascii="Times New Roman" w:hAnsi="Times New Roman" w:cs="Times New Roman"/>
                <w:sz w:val="24"/>
                <w:szCs w:val="24"/>
              </w:rPr>
              <w:t>46</w:t>
            </w:r>
          </w:p>
        </w:tc>
        <w:tc>
          <w:tcPr>
            <w:tcW w:w="2214" w:type="dxa"/>
          </w:tcPr>
          <w:p w:rsidR="00AA6835" w:rsidRPr="008D6A90" w:rsidRDefault="00AA6835" w:rsidP="00716C07">
            <w:pPr>
              <w:jc w:val="center"/>
              <w:rPr>
                <w:rFonts w:ascii="Times New Roman" w:hAnsi="Times New Roman" w:cs="Times New Roman"/>
                <w:sz w:val="24"/>
                <w:szCs w:val="24"/>
              </w:rPr>
            </w:pPr>
            <w:r>
              <w:rPr>
                <w:rFonts w:ascii="Times New Roman" w:hAnsi="Times New Roman" w:cs="Times New Roman"/>
                <w:sz w:val="24"/>
                <w:szCs w:val="24"/>
              </w:rPr>
              <w:t>136,460</w:t>
            </w:r>
          </w:p>
        </w:tc>
        <w:tc>
          <w:tcPr>
            <w:tcW w:w="2214" w:type="dxa"/>
          </w:tcPr>
          <w:p w:rsidR="00AA6835" w:rsidRPr="008D6A90" w:rsidRDefault="00AA6835" w:rsidP="00716C07">
            <w:pPr>
              <w:jc w:val="center"/>
              <w:rPr>
                <w:rFonts w:ascii="Times New Roman" w:hAnsi="Times New Roman" w:cs="Times New Roman"/>
                <w:sz w:val="24"/>
                <w:szCs w:val="24"/>
              </w:rPr>
            </w:pPr>
            <w:r w:rsidRPr="008D6A90">
              <w:rPr>
                <w:rFonts w:ascii="Times New Roman" w:hAnsi="Times New Roman" w:cs="Times New Roman"/>
                <w:sz w:val="24"/>
                <w:szCs w:val="24"/>
              </w:rPr>
              <w:t>0.03</w:t>
            </w:r>
            <w:r>
              <w:rPr>
                <w:rFonts w:ascii="Times New Roman" w:hAnsi="Times New Roman" w:cs="Times New Roman"/>
                <w:sz w:val="24"/>
                <w:szCs w:val="24"/>
              </w:rPr>
              <w:t>4</w:t>
            </w:r>
            <w:r w:rsidRPr="008D6A90">
              <w:rPr>
                <w:rFonts w:ascii="Times New Roman" w:hAnsi="Times New Roman" w:cs="Times New Roman"/>
                <w:sz w:val="24"/>
                <w:szCs w:val="24"/>
              </w:rPr>
              <w:t>%</w:t>
            </w:r>
          </w:p>
        </w:tc>
      </w:tr>
      <w:tr w:rsidR="00AA6835" w:rsidRPr="008D6A90" w:rsidTr="00507E14">
        <w:tc>
          <w:tcPr>
            <w:tcW w:w="1870" w:type="dxa"/>
          </w:tcPr>
          <w:p w:rsidR="00AA6835" w:rsidRPr="008D6A90" w:rsidRDefault="00AA6835" w:rsidP="00716C07">
            <w:pPr>
              <w:rPr>
                <w:rFonts w:ascii="Times New Roman" w:hAnsi="Times New Roman" w:cs="Times New Roman"/>
                <w:sz w:val="24"/>
                <w:szCs w:val="24"/>
              </w:rPr>
            </w:pPr>
            <w:r w:rsidRPr="008D6A90">
              <w:rPr>
                <w:rFonts w:ascii="Times New Roman" w:hAnsi="Times New Roman" w:cs="Times New Roman"/>
                <w:sz w:val="24"/>
                <w:szCs w:val="24"/>
              </w:rPr>
              <w:t>Supervised/None</w:t>
            </w:r>
          </w:p>
        </w:tc>
        <w:tc>
          <w:tcPr>
            <w:tcW w:w="2790" w:type="dxa"/>
          </w:tcPr>
          <w:p w:rsidR="00AA6835" w:rsidRPr="008D6A90" w:rsidRDefault="00AA6835" w:rsidP="00716C07">
            <w:pPr>
              <w:jc w:val="center"/>
              <w:rPr>
                <w:rFonts w:ascii="Times New Roman" w:hAnsi="Times New Roman" w:cs="Times New Roman"/>
                <w:sz w:val="24"/>
                <w:szCs w:val="24"/>
              </w:rPr>
            </w:pPr>
            <w:r>
              <w:rPr>
                <w:rFonts w:ascii="Times New Roman" w:hAnsi="Times New Roman" w:cs="Times New Roman"/>
                <w:sz w:val="24"/>
                <w:szCs w:val="24"/>
              </w:rPr>
              <w:t>6</w:t>
            </w:r>
          </w:p>
        </w:tc>
        <w:tc>
          <w:tcPr>
            <w:tcW w:w="2214" w:type="dxa"/>
          </w:tcPr>
          <w:p w:rsidR="00AA6835" w:rsidRPr="008D6A90" w:rsidRDefault="00AA6835" w:rsidP="00716C07">
            <w:pPr>
              <w:jc w:val="center"/>
              <w:rPr>
                <w:rFonts w:ascii="Times New Roman" w:hAnsi="Times New Roman" w:cs="Times New Roman"/>
                <w:sz w:val="24"/>
                <w:szCs w:val="24"/>
              </w:rPr>
            </w:pPr>
            <w:r>
              <w:rPr>
                <w:rFonts w:ascii="Times New Roman" w:hAnsi="Times New Roman" w:cs="Times New Roman"/>
                <w:sz w:val="24"/>
                <w:szCs w:val="24"/>
              </w:rPr>
              <w:t>29,911</w:t>
            </w:r>
          </w:p>
        </w:tc>
        <w:tc>
          <w:tcPr>
            <w:tcW w:w="2214" w:type="dxa"/>
          </w:tcPr>
          <w:p w:rsidR="00AA6835" w:rsidRPr="008D6A90" w:rsidRDefault="00AA6835" w:rsidP="00716C07">
            <w:pPr>
              <w:jc w:val="center"/>
              <w:rPr>
                <w:rFonts w:ascii="Times New Roman" w:hAnsi="Times New Roman" w:cs="Times New Roman"/>
                <w:sz w:val="24"/>
                <w:szCs w:val="24"/>
              </w:rPr>
            </w:pPr>
            <w:r>
              <w:rPr>
                <w:rFonts w:ascii="Times New Roman" w:hAnsi="Times New Roman" w:cs="Times New Roman"/>
                <w:sz w:val="24"/>
                <w:szCs w:val="24"/>
              </w:rPr>
              <w:t>0.027</w:t>
            </w:r>
            <w:r w:rsidRPr="008D6A90">
              <w:rPr>
                <w:rFonts w:ascii="Times New Roman" w:hAnsi="Times New Roman" w:cs="Times New Roman"/>
                <w:sz w:val="24"/>
                <w:szCs w:val="24"/>
              </w:rPr>
              <w:t>%</w:t>
            </w:r>
          </w:p>
        </w:tc>
      </w:tr>
      <w:tr w:rsidR="00AA6835" w:rsidRPr="00507E14" w:rsidTr="00507E14">
        <w:tc>
          <w:tcPr>
            <w:tcW w:w="1870" w:type="dxa"/>
          </w:tcPr>
          <w:p w:rsidR="00AA6835" w:rsidRPr="00507E14" w:rsidRDefault="00AA6835" w:rsidP="00716C07">
            <w:pPr>
              <w:jc w:val="right"/>
              <w:rPr>
                <w:rFonts w:ascii="Times New Roman" w:hAnsi="Times New Roman" w:cs="Times New Roman"/>
                <w:b/>
                <w:sz w:val="24"/>
                <w:szCs w:val="24"/>
              </w:rPr>
            </w:pPr>
            <w:r w:rsidRPr="00507E14">
              <w:rPr>
                <w:rFonts w:ascii="Times New Roman" w:hAnsi="Times New Roman" w:cs="Times New Roman"/>
                <w:b/>
                <w:sz w:val="24"/>
                <w:szCs w:val="24"/>
              </w:rPr>
              <w:t>Total</w:t>
            </w:r>
          </w:p>
        </w:tc>
        <w:tc>
          <w:tcPr>
            <w:tcW w:w="2790" w:type="dxa"/>
          </w:tcPr>
          <w:p w:rsidR="00AA6835" w:rsidRPr="00507E14" w:rsidRDefault="00AA6835" w:rsidP="00716C07">
            <w:pPr>
              <w:jc w:val="center"/>
              <w:rPr>
                <w:rFonts w:ascii="Times New Roman" w:hAnsi="Times New Roman" w:cs="Times New Roman"/>
                <w:b/>
                <w:sz w:val="24"/>
                <w:szCs w:val="24"/>
              </w:rPr>
            </w:pPr>
            <w:r w:rsidRPr="00507E14">
              <w:rPr>
                <w:rFonts w:ascii="Times New Roman" w:hAnsi="Times New Roman" w:cs="Times New Roman"/>
                <w:b/>
                <w:sz w:val="24"/>
                <w:szCs w:val="24"/>
              </w:rPr>
              <w:t>63</w:t>
            </w:r>
          </w:p>
        </w:tc>
        <w:tc>
          <w:tcPr>
            <w:tcW w:w="2214" w:type="dxa"/>
          </w:tcPr>
          <w:p w:rsidR="00AA6835" w:rsidRPr="00507E14" w:rsidRDefault="00AA6835" w:rsidP="00716C07">
            <w:pPr>
              <w:jc w:val="center"/>
              <w:rPr>
                <w:rFonts w:ascii="Times New Roman" w:hAnsi="Times New Roman" w:cs="Times New Roman"/>
                <w:b/>
                <w:sz w:val="24"/>
                <w:szCs w:val="24"/>
              </w:rPr>
            </w:pPr>
            <w:r w:rsidRPr="00507E14">
              <w:rPr>
                <w:rFonts w:ascii="Times New Roman" w:hAnsi="Times New Roman" w:cs="Times New Roman"/>
                <w:b/>
                <w:sz w:val="24"/>
                <w:szCs w:val="24"/>
              </w:rPr>
              <w:t>184,771</w:t>
            </w:r>
          </w:p>
        </w:tc>
        <w:tc>
          <w:tcPr>
            <w:tcW w:w="2214" w:type="dxa"/>
          </w:tcPr>
          <w:p w:rsidR="00AA6835" w:rsidRPr="00507E14" w:rsidRDefault="00AA6835" w:rsidP="00716C07">
            <w:pPr>
              <w:jc w:val="center"/>
              <w:rPr>
                <w:rFonts w:ascii="Times New Roman" w:hAnsi="Times New Roman" w:cs="Times New Roman"/>
                <w:b/>
                <w:sz w:val="24"/>
                <w:szCs w:val="24"/>
              </w:rPr>
            </w:pPr>
            <w:r w:rsidRPr="00507E14">
              <w:rPr>
                <w:rFonts w:ascii="Times New Roman" w:hAnsi="Times New Roman" w:cs="Times New Roman"/>
                <w:b/>
                <w:sz w:val="24"/>
                <w:szCs w:val="24"/>
              </w:rPr>
              <w:t>0.034%</w:t>
            </w:r>
          </w:p>
        </w:tc>
      </w:tr>
    </w:tbl>
    <w:p w:rsidR="00507E14" w:rsidRPr="00507E14" w:rsidRDefault="00507E14" w:rsidP="00507E14">
      <w:pPr>
        <w:spacing w:line="480" w:lineRule="auto"/>
        <w:rPr>
          <w:rFonts w:ascii="Times New Roman" w:hAnsi="Times New Roman" w:cs="Times New Roman"/>
          <w:sz w:val="20"/>
          <w:szCs w:val="20"/>
        </w:rPr>
      </w:pPr>
      <w:r w:rsidRPr="00507E14">
        <w:rPr>
          <w:rFonts w:ascii="Times New Roman" w:hAnsi="Times New Roman" w:cs="Times New Roman"/>
          <w:i/>
          <w:sz w:val="20"/>
          <w:szCs w:val="20"/>
        </w:rPr>
        <w:t>Note.</w:t>
      </w:r>
      <w:r>
        <w:rPr>
          <w:rFonts w:ascii="Times New Roman" w:hAnsi="Times New Roman" w:cs="Times New Roman"/>
          <w:sz w:val="20"/>
          <w:szCs w:val="20"/>
        </w:rPr>
        <w:t xml:space="preserve"> 63 of 184,771 (0.034%) APRNs were disciplined for prescribing-related reasons.</w:t>
      </w:r>
    </w:p>
    <w:p w:rsidR="00AA6835" w:rsidRDefault="00AA6835" w:rsidP="005C2595">
      <w:pPr>
        <w:rPr>
          <w:rFonts w:ascii="Times New Roman" w:hAnsi="Times New Roman" w:cs="Times New Roman"/>
          <w:sz w:val="24"/>
          <w:szCs w:val="24"/>
        </w:rPr>
      </w:pPr>
    </w:p>
    <w:p w:rsidR="005C2595" w:rsidRDefault="005C2595" w:rsidP="005C2595">
      <w:pPr>
        <w:rPr>
          <w:rFonts w:ascii="Times New Roman" w:hAnsi="Times New Roman" w:cs="Times New Roman"/>
          <w:sz w:val="24"/>
          <w:szCs w:val="24"/>
        </w:rPr>
      </w:pPr>
    </w:p>
    <w:p w:rsidR="005C2595" w:rsidRPr="00EF09FE" w:rsidRDefault="005C2595" w:rsidP="005C2595">
      <w:pPr>
        <w:spacing w:line="480" w:lineRule="auto"/>
        <w:ind w:firstLine="720"/>
        <w:rPr>
          <w:rFonts w:ascii="Times New Roman" w:hAnsi="Times New Roman" w:cs="Times New Roman"/>
          <w:sz w:val="24"/>
          <w:szCs w:val="24"/>
        </w:rPr>
      </w:pPr>
      <w:r w:rsidRPr="00EF09FE">
        <w:rPr>
          <w:rFonts w:ascii="Times New Roman" w:hAnsi="Times New Roman" w:cs="Times New Roman"/>
          <w:sz w:val="24"/>
          <w:szCs w:val="24"/>
        </w:rPr>
        <w:t>Logistic regression with dummy coding was used to investigate the effects of level of practice autonomy (i.e., independent, collaborative, and supervised) on prescribing-related discipline (i.e., di</w:t>
      </w:r>
      <w:r w:rsidR="00C15CF9" w:rsidRPr="00EF09FE">
        <w:rPr>
          <w:rFonts w:ascii="Times New Roman" w:hAnsi="Times New Roman" w:cs="Times New Roman"/>
          <w:sz w:val="24"/>
          <w:szCs w:val="24"/>
        </w:rPr>
        <w:t>sciplined or not disciplined), where supervised was the reference group.</w:t>
      </w:r>
      <w:r w:rsidRPr="00EF09FE">
        <w:rPr>
          <w:rFonts w:ascii="Times New Roman" w:hAnsi="Times New Roman" w:cs="Times New Roman"/>
          <w:sz w:val="24"/>
          <w:szCs w:val="24"/>
        </w:rPr>
        <w:t xml:space="preserve"> Given high sample size, non-random assignment to groups, and extremely low overall discipline rates, results should be interpreted with caution. Table </w:t>
      </w:r>
      <w:r w:rsidR="00E77EF6" w:rsidRPr="00EF09FE">
        <w:rPr>
          <w:rFonts w:ascii="Times New Roman" w:hAnsi="Times New Roman" w:cs="Times New Roman"/>
          <w:sz w:val="24"/>
          <w:szCs w:val="24"/>
        </w:rPr>
        <w:t>8</w:t>
      </w:r>
      <w:r w:rsidRPr="00EF09FE">
        <w:rPr>
          <w:rFonts w:ascii="Times New Roman" w:hAnsi="Times New Roman" w:cs="Times New Roman"/>
          <w:sz w:val="24"/>
          <w:szCs w:val="24"/>
        </w:rPr>
        <w:t xml:space="preserve"> presents the results which indicated that level of practice autonomy</w:t>
      </w:r>
      <w:r w:rsidR="00391E71" w:rsidRPr="00EF09FE">
        <w:rPr>
          <w:rFonts w:ascii="Times New Roman" w:hAnsi="Times New Roman" w:cs="Times New Roman"/>
          <w:sz w:val="24"/>
          <w:szCs w:val="24"/>
        </w:rPr>
        <w:t xml:space="preserve"> </w:t>
      </w:r>
      <w:r w:rsidR="001F6214" w:rsidRPr="00EF09FE">
        <w:rPr>
          <w:rFonts w:ascii="Times New Roman" w:hAnsi="Times New Roman" w:cs="Times New Roman"/>
          <w:i/>
          <w:sz w:val="24"/>
          <w:szCs w:val="24"/>
        </w:rPr>
        <w:t>marginally</w:t>
      </w:r>
      <w:r w:rsidRPr="00EF09FE">
        <w:rPr>
          <w:rFonts w:ascii="Times New Roman" w:hAnsi="Times New Roman" w:cs="Times New Roman"/>
          <w:sz w:val="24"/>
          <w:szCs w:val="24"/>
        </w:rPr>
        <w:t xml:space="preserve"> distinguished whether practitioners were disciplined or not, </w:t>
      </w:r>
      <w:r w:rsidRPr="00EF09FE">
        <w:rPr>
          <w:rFonts w:ascii="Times New Roman" w:hAnsi="Times New Roman" w:cs="Times New Roman"/>
          <w:sz w:val="24"/>
          <w:szCs w:val="24"/>
        </w:rPr>
        <w:sym w:font="Symbol" w:char="F063"/>
      </w:r>
      <w:r w:rsidRPr="00EF09FE">
        <w:rPr>
          <w:rFonts w:ascii="Times New Roman" w:hAnsi="Times New Roman" w:cs="Times New Roman"/>
          <w:sz w:val="24"/>
          <w:szCs w:val="24"/>
          <w:vertAlign w:val="superscript"/>
        </w:rPr>
        <w:t xml:space="preserve">2 </w:t>
      </w:r>
      <w:r w:rsidRPr="00EF09FE">
        <w:rPr>
          <w:rFonts w:ascii="Times New Roman" w:hAnsi="Times New Roman" w:cs="Times New Roman"/>
          <w:sz w:val="24"/>
          <w:szCs w:val="24"/>
        </w:rPr>
        <w:t xml:space="preserve">(2, </w:t>
      </w:r>
      <w:r w:rsidRPr="00EF09FE">
        <w:rPr>
          <w:rFonts w:ascii="Times New Roman" w:hAnsi="Times New Roman" w:cs="Times New Roman"/>
          <w:i/>
          <w:sz w:val="24"/>
          <w:szCs w:val="24"/>
        </w:rPr>
        <w:t>N</w:t>
      </w:r>
      <w:r w:rsidRPr="00EF09FE">
        <w:rPr>
          <w:rFonts w:ascii="Times New Roman" w:hAnsi="Times New Roman" w:cs="Times New Roman"/>
          <w:sz w:val="24"/>
          <w:szCs w:val="24"/>
        </w:rPr>
        <w:t xml:space="preserve"> = 184,771) = </w:t>
      </w:r>
      <w:r w:rsidR="00391E71" w:rsidRPr="00EF09FE">
        <w:rPr>
          <w:rFonts w:ascii="Times New Roman" w:hAnsi="Times New Roman" w:cs="Times New Roman"/>
          <w:sz w:val="24"/>
          <w:szCs w:val="24"/>
        </w:rPr>
        <w:t>5.07</w:t>
      </w:r>
      <w:r w:rsidRPr="00EF09FE">
        <w:rPr>
          <w:rFonts w:ascii="Times New Roman" w:hAnsi="Times New Roman" w:cs="Times New Roman"/>
          <w:sz w:val="24"/>
          <w:szCs w:val="24"/>
        </w:rPr>
        <w:t xml:space="preserve">, </w:t>
      </w:r>
      <w:r w:rsidRPr="00EF09FE">
        <w:rPr>
          <w:rFonts w:ascii="Times New Roman" w:hAnsi="Times New Roman" w:cs="Times New Roman"/>
          <w:i/>
          <w:sz w:val="24"/>
          <w:szCs w:val="24"/>
        </w:rPr>
        <w:t>p</w:t>
      </w:r>
      <w:r w:rsidR="00391E71" w:rsidRPr="00EF09FE">
        <w:rPr>
          <w:rFonts w:ascii="Times New Roman" w:hAnsi="Times New Roman" w:cs="Times New Roman"/>
          <w:sz w:val="24"/>
          <w:szCs w:val="24"/>
        </w:rPr>
        <w:t xml:space="preserve"> = .079</w:t>
      </w:r>
      <w:r w:rsidRPr="00EF09FE">
        <w:rPr>
          <w:rFonts w:ascii="Times New Roman" w:hAnsi="Times New Roman" w:cs="Times New Roman"/>
          <w:sz w:val="24"/>
          <w:szCs w:val="24"/>
        </w:rPr>
        <w:t>.</w:t>
      </w:r>
      <w:r w:rsidR="00B92F48" w:rsidRPr="00EF09FE">
        <w:rPr>
          <w:rFonts w:ascii="Times New Roman" w:hAnsi="Times New Roman" w:cs="Times New Roman"/>
          <w:sz w:val="24"/>
          <w:szCs w:val="24"/>
        </w:rPr>
        <w:t xml:space="preserve"> Given that this test approached significan</w:t>
      </w:r>
      <w:r w:rsidR="009D1A6B">
        <w:rPr>
          <w:rFonts w:ascii="Times New Roman" w:hAnsi="Times New Roman" w:cs="Times New Roman"/>
          <w:sz w:val="24"/>
          <w:szCs w:val="24"/>
        </w:rPr>
        <w:t xml:space="preserve">ce, group comparisons were made, however, should be interpreted with caution. </w:t>
      </w:r>
      <w:r w:rsidRPr="00EF09FE">
        <w:rPr>
          <w:rFonts w:ascii="Times New Roman" w:hAnsi="Times New Roman" w:cs="Times New Roman"/>
          <w:sz w:val="24"/>
          <w:szCs w:val="24"/>
        </w:rPr>
        <w:t xml:space="preserve">Specifically, independent </w:t>
      </w:r>
      <w:proofErr w:type="spellStart"/>
      <w:r w:rsidRPr="00EF09FE">
        <w:rPr>
          <w:rFonts w:ascii="Times New Roman" w:hAnsi="Times New Roman" w:cs="Times New Roman"/>
          <w:sz w:val="24"/>
          <w:szCs w:val="24"/>
        </w:rPr>
        <w:t>practioners</w:t>
      </w:r>
      <w:proofErr w:type="spellEnd"/>
      <w:r w:rsidRPr="00EF09FE">
        <w:rPr>
          <w:rFonts w:ascii="Times New Roman" w:hAnsi="Times New Roman" w:cs="Times New Roman"/>
          <w:sz w:val="24"/>
          <w:szCs w:val="24"/>
        </w:rPr>
        <w:t xml:space="preserve"> were significantly more likely to be disciplined versus </w:t>
      </w:r>
      <w:r w:rsidR="00B92F48" w:rsidRPr="00EF09FE">
        <w:rPr>
          <w:rFonts w:ascii="Times New Roman" w:hAnsi="Times New Roman" w:cs="Times New Roman"/>
          <w:sz w:val="24"/>
          <w:szCs w:val="24"/>
        </w:rPr>
        <w:t>supervised</w:t>
      </w:r>
      <w:r w:rsidRPr="00EF09FE">
        <w:rPr>
          <w:rFonts w:ascii="Times New Roman" w:hAnsi="Times New Roman" w:cs="Times New Roman"/>
          <w:sz w:val="24"/>
          <w:szCs w:val="24"/>
        </w:rPr>
        <w:t xml:space="preserve"> practitioners (</w:t>
      </w:r>
      <w:r w:rsidRPr="00EF09FE">
        <w:rPr>
          <w:rFonts w:ascii="Times New Roman" w:hAnsi="Times New Roman" w:cs="Times New Roman"/>
          <w:i/>
          <w:sz w:val="24"/>
          <w:szCs w:val="24"/>
        </w:rPr>
        <w:t>B</w:t>
      </w:r>
      <w:r w:rsidRPr="00EF09FE">
        <w:rPr>
          <w:rFonts w:ascii="Times New Roman" w:hAnsi="Times New Roman" w:cs="Times New Roman"/>
          <w:sz w:val="24"/>
          <w:szCs w:val="24"/>
        </w:rPr>
        <w:t xml:space="preserve"> = </w:t>
      </w:r>
      <w:r w:rsidR="00B92F48" w:rsidRPr="00EF09FE">
        <w:rPr>
          <w:rFonts w:ascii="Times New Roman" w:hAnsi="Times New Roman" w:cs="Times New Roman"/>
          <w:sz w:val="24"/>
          <w:szCs w:val="24"/>
        </w:rPr>
        <w:t>1.09</w:t>
      </w:r>
      <w:r w:rsidRPr="00EF09FE">
        <w:rPr>
          <w:rFonts w:ascii="Times New Roman" w:hAnsi="Times New Roman" w:cs="Times New Roman"/>
          <w:sz w:val="24"/>
          <w:szCs w:val="24"/>
        </w:rPr>
        <w:t xml:space="preserve">, </w:t>
      </w:r>
      <w:r w:rsidRPr="00EF09FE">
        <w:rPr>
          <w:rFonts w:ascii="Times New Roman" w:hAnsi="Times New Roman" w:cs="Times New Roman"/>
          <w:i/>
          <w:sz w:val="24"/>
          <w:szCs w:val="24"/>
        </w:rPr>
        <w:t>SE</w:t>
      </w:r>
      <w:r w:rsidRPr="00EF09FE">
        <w:rPr>
          <w:rFonts w:ascii="Times New Roman" w:hAnsi="Times New Roman" w:cs="Times New Roman"/>
          <w:sz w:val="24"/>
          <w:szCs w:val="24"/>
        </w:rPr>
        <w:t xml:space="preserve"> = .</w:t>
      </w:r>
      <w:r w:rsidR="00B92F48" w:rsidRPr="00EF09FE">
        <w:rPr>
          <w:rFonts w:ascii="Times New Roman" w:hAnsi="Times New Roman" w:cs="Times New Roman"/>
          <w:sz w:val="24"/>
          <w:szCs w:val="24"/>
        </w:rPr>
        <w:t>51</w:t>
      </w:r>
      <w:r w:rsidRPr="00EF09FE">
        <w:rPr>
          <w:rFonts w:ascii="Times New Roman" w:hAnsi="Times New Roman" w:cs="Times New Roman"/>
          <w:sz w:val="24"/>
          <w:szCs w:val="24"/>
        </w:rPr>
        <w:t xml:space="preserve">) (odds ratio, </w:t>
      </w:r>
      <w:r w:rsidR="00B92F48" w:rsidRPr="00EF09FE">
        <w:rPr>
          <w:rFonts w:ascii="Times New Roman" w:hAnsi="Times New Roman" w:cs="Times New Roman"/>
          <w:sz w:val="24"/>
          <w:szCs w:val="24"/>
        </w:rPr>
        <w:t>2.98</w:t>
      </w:r>
      <w:r w:rsidRPr="00EF09FE">
        <w:rPr>
          <w:rFonts w:ascii="Times New Roman" w:hAnsi="Times New Roman" w:cs="Times New Roman"/>
          <w:sz w:val="24"/>
          <w:szCs w:val="24"/>
        </w:rPr>
        <w:t>); where independent practitioners were 2.</w:t>
      </w:r>
      <w:r w:rsidR="00B92F48" w:rsidRPr="00EF09FE">
        <w:rPr>
          <w:rFonts w:ascii="Times New Roman" w:hAnsi="Times New Roman" w:cs="Times New Roman"/>
          <w:sz w:val="24"/>
          <w:szCs w:val="24"/>
        </w:rPr>
        <w:t>98</w:t>
      </w:r>
      <w:r w:rsidRPr="00EF09FE">
        <w:rPr>
          <w:rFonts w:ascii="Times New Roman" w:hAnsi="Times New Roman" w:cs="Times New Roman"/>
          <w:sz w:val="24"/>
          <w:szCs w:val="24"/>
        </w:rPr>
        <w:t xml:space="preserve"> times more likely to </w:t>
      </w:r>
      <w:r w:rsidRPr="00EF09FE">
        <w:rPr>
          <w:rFonts w:ascii="Times New Roman" w:hAnsi="Times New Roman" w:cs="Times New Roman"/>
          <w:sz w:val="24"/>
          <w:szCs w:val="24"/>
        </w:rPr>
        <w:lastRenderedPageBreak/>
        <w:t xml:space="preserve">be disciplined versus </w:t>
      </w:r>
      <w:r w:rsidR="00B92F48" w:rsidRPr="00EF09FE">
        <w:rPr>
          <w:rFonts w:ascii="Times New Roman" w:hAnsi="Times New Roman" w:cs="Times New Roman"/>
          <w:sz w:val="24"/>
          <w:szCs w:val="24"/>
        </w:rPr>
        <w:t>supervised</w:t>
      </w:r>
      <w:r w:rsidRPr="00EF09FE">
        <w:rPr>
          <w:rFonts w:ascii="Times New Roman" w:hAnsi="Times New Roman" w:cs="Times New Roman"/>
          <w:sz w:val="24"/>
          <w:szCs w:val="24"/>
        </w:rPr>
        <w:t xml:space="preserve"> practitioners. There was no significant difference between collaborative practitioners and supervised practitioners (</w:t>
      </w:r>
      <w:r w:rsidRPr="00EF09FE">
        <w:rPr>
          <w:rFonts w:ascii="Times New Roman" w:hAnsi="Times New Roman" w:cs="Times New Roman"/>
          <w:i/>
          <w:sz w:val="24"/>
          <w:szCs w:val="24"/>
        </w:rPr>
        <w:t>B</w:t>
      </w:r>
      <w:r w:rsidRPr="00EF09FE">
        <w:rPr>
          <w:rFonts w:ascii="Times New Roman" w:hAnsi="Times New Roman" w:cs="Times New Roman"/>
          <w:sz w:val="24"/>
          <w:szCs w:val="24"/>
        </w:rPr>
        <w:t xml:space="preserve"> = </w:t>
      </w:r>
      <w:r w:rsidR="00B92F48" w:rsidRPr="00EF09FE">
        <w:rPr>
          <w:rFonts w:ascii="Times New Roman" w:hAnsi="Times New Roman" w:cs="Times New Roman"/>
          <w:sz w:val="24"/>
          <w:szCs w:val="24"/>
        </w:rPr>
        <w:t>.52</w:t>
      </w:r>
      <w:r w:rsidRPr="00EF09FE">
        <w:rPr>
          <w:rFonts w:ascii="Times New Roman" w:hAnsi="Times New Roman" w:cs="Times New Roman"/>
          <w:sz w:val="24"/>
          <w:szCs w:val="24"/>
        </w:rPr>
        <w:t xml:space="preserve">, </w:t>
      </w:r>
      <w:r w:rsidRPr="00EF09FE">
        <w:rPr>
          <w:rFonts w:ascii="Times New Roman" w:hAnsi="Times New Roman" w:cs="Times New Roman"/>
          <w:i/>
          <w:sz w:val="24"/>
          <w:szCs w:val="24"/>
        </w:rPr>
        <w:t>SE</w:t>
      </w:r>
      <w:r w:rsidRPr="00EF09FE">
        <w:rPr>
          <w:rFonts w:ascii="Times New Roman" w:hAnsi="Times New Roman" w:cs="Times New Roman"/>
          <w:sz w:val="24"/>
          <w:szCs w:val="24"/>
        </w:rPr>
        <w:t xml:space="preserve"> = </w:t>
      </w:r>
      <w:r w:rsidR="00B92F48" w:rsidRPr="00EF09FE">
        <w:rPr>
          <w:rFonts w:ascii="Times New Roman" w:hAnsi="Times New Roman" w:cs="Times New Roman"/>
          <w:sz w:val="24"/>
          <w:szCs w:val="24"/>
        </w:rPr>
        <w:t>.43</w:t>
      </w:r>
      <w:r w:rsidRPr="00EF09FE">
        <w:rPr>
          <w:rFonts w:ascii="Times New Roman" w:hAnsi="Times New Roman" w:cs="Times New Roman"/>
          <w:sz w:val="24"/>
          <w:szCs w:val="24"/>
        </w:rPr>
        <w:t>) (odds r</w:t>
      </w:r>
      <w:r w:rsidR="00B92F48" w:rsidRPr="00EF09FE">
        <w:rPr>
          <w:rFonts w:ascii="Times New Roman" w:hAnsi="Times New Roman" w:cs="Times New Roman"/>
          <w:sz w:val="24"/>
          <w:szCs w:val="24"/>
        </w:rPr>
        <w:t>atio</w:t>
      </w:r>
      <w:r w:rsidR="00094BC2" w:rsidRPr="00EF09FE">
        <w:rPr>
          <w:rFonts w:ascii="Times New Roman" w:hAnsi="Times New Roman" w:cs="Times New Roman"/>
          <w:sz w:val="24"/>
          <w:szCs w:val="24"/>
        </w:rPr>
        <w:t>,</w:t>
      </w:r>
      <w:r w:rsidR="00B92F48" w:rsidRPr="00EF09FE">
        <w:rPr>
          <w:rFonts w:ascii="Times New Roman" w:hAnsi="Times New Roman" w:cs="Times New Roman"/>
          <w:sz w:val="24"/>
          <w:szCs w:val="24"/>
        </w:rPr>
        <w:t xml:space="preserve"> 1.68</w:t>
      </w:r>
      <w:r w:rsidRPr="00EF09FE">
        <w:rPr>
          <w:rFonts w:ascii="Times New Roman" w:hAnsi="Times New Roman" w:cs="Times New Roman"/>
          <w:sz w:val="24"/>
          <w:szCs w:val="24"/>
        </w:rPr>
        <w:t xml:space="preserve">). </w:t>
      </w:r>
    </w:p>
    <w:p w:rsidR="005C2595" w:rsidRPr="00EF09FE" w:rsidRDefault="005C2595" w:rsidP="005C2595">
      <w:pPr>
        <w:spacing w:line="480" w:lineRule="auto"/>
        <w:ind w:firstLine="720"/>
        <w:rPr>
          <w:rFonts w:ascii="Times New Roman" w:hAnsi="Times New Roman" w:cs="Times New Roman"/>
          <w:sz w:val="24"/>
          <w:szCs w:val="24"/>
        </w:rPr>
      </w:pP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068"/>
        <w:gridCol w:w="918"/>
        <w:gridCol w:w="918"/>
        <w:gridCol w:w="918"/>
        <w:gridCol w:w="918"/>
        <w:gridCol w:w="918"/>
        <w:gridCol w:w="918"/>
      </w:tblGrid>
      <w:tr w:rsidR="005C2595" w:rsidRPr="00EF09FE" w:rsidTr="001F6214">
        <w:trPr>
          <w:trHeight w:val="360"/>
        </w:trPr>
        <w:tc>
          <w:tcPr>
            <w:tcW w:w="9576" w:type="dxa"/>
            <w:gridSpan w:val="7"/>
            <w:tcBorders>
              <w:top w:val="nil"/>
              <w:left w:val="nil"/>
              <w:bottom w:val="nil"/>
              <w:right w:val="nil"/>
            </w:tcBorders>
            <w:vAlign w:val="center"/>
          </w:tcPr>
          <w:p w:rsidR="005C2595" w:rsidRPr="00EF09FE" w:rsidRDefault="005C2595" w:rsidP="001F6214">
            <w:pPr>
              <w:rPr>
                <w:rFonts w:ascii="Times New Roman" w:eastAsia="Calibri" w:hAnsi="Times New Roman" w:cs="Times New Roman"/>
                <w:sz w:val="20"/>
                <w:szCs w:val="20"/>
              </w:rPr>
            </w:pPr>
            <w:r w:rsidRPr="00EF09FE">
              <w:rPr>
                <w:rFonts w:ascii="Times New Roman" w:eastAsia="Calibri" w:hAnsi="Times New Roman" w:cs="Times New Roman"/>
                <w:sz w:val="20"/>
                <w:szCs w:val="20"/>
              </w:rPr>
              <w:t xml:space="preserve">Table </w:t>
            </w:r>
            <w:r w:rsidR="00E77EF6" w:rsidRPr="00EF09FE">
              <w:rPr>
                <w:rFonts w:ascii="Times New Roman" w:hAnsi="Times New Roman" w:cs="Times New Roman"/>
                <w:sz w:val="20"/>
                <w:szCs w:val="20"/>
              </w:rPr>
              <w:t>8</w:t>
            </w:r>
          </w:p>
        </w:tc>
      </w:tr>
      <w:tr w:rsidR="005C2595" w:rsidRPr="00EF09FE" w:rsidTr="001F6214">
        <w:trPr>
          <w:trHeight w:val="360"/>
        </w:trPr>
        <w:tc>
          <w:tcPr>
            <w:tcW w:w="9576" w:type="dxa"/>
            <w:gridSpan w:val="7"/>
            <w:tcBorders>
              <w:top w:val="nil"/>
              <w:left w:val="nil"/>
              <w:bottom w:val="single" w:sz="4" w:space="0" w:color="auto"/>
              <w:right w:val="nil"/>
            </w:tcBorders>
            <w:vAlign w:val="center"/>
          </w:tcPr>
          <w:p w:rsidR="005C2595" w:rsidRPr="00EF09FE" w:rsidRDefault="005C2595" w:rsidP="001F6214">
            <w:pPr>
              <w:rPr>
                <w:rFonts w:ascii="Times New Roman" w:eastAsia="Calibri" w:hAnsi="Times New Roman" w:cs="Times New Roman"/>
                <w:i/>
                <w:sz w:val="20"/>
                <w:szCs w:val="20"/>
              </w:rPr>
            </w:pPr>
            <w:r w:rsidRPr="00EF09FE">
              <w:rPr>
                <w:rFonts w:ascii="Times New Roman" w:eastAsia="Calibri" w:hAnsi="Times New Roman" w:cs="Times New Roman"/>
                <w:i/>
                <w:sz w:val="20"/>
                <w:szCs w:val="20"/>
              </w:rPr>
              <w:t xml:space="preserve">Summary of Logistic Regression Analysis for </w:t>
            </w:r>
            <w:r w:rsidRPr="00EF09FE">
              <w:rPr>
                <w:rFonts w:ascii="Times New Roman" w:hAnsi="Times New Roman" w:cs="Times New Roman"/>
                <w:i/>
                <w:sz w:val="20"/>
                <w:szCs w:val="20"/>
              </w:rPr>
              <w:t>Level of Practice Autonomy</w:t>
            </w:r>
            <w:r w:rsidRPr="00EF09FE">
              <w:rPr>
                <w:rFonts w:ascii="Times New Roman" w:eastAsia="Calibri" w:hAnsi="Times New Roman" w:cs="Times New Roman"/>
                <w:i/>
                <w:sz w:val="20"/>
                <w:szCs w:val="20"/>
              </w:rPr>
              <w:t xml:space="preserve"> Predicting prescribing-related </w:t>
            </w:r>
            <w:r w:rsidRPr="00EF09FE">
              <w:rPr>
                <w:rFonts w:ascii="Times New Roman" w:hAnsi="Times New Roman" w:cs="Times New Roman"/>
                <w:i/>
                <w:sz w:val="20"/>
                <w:szCs w:val="20"/>
              </w:rPr>
              <w:t>Discipline</w:t>
            </w:r>
            <w:r w:rsidRPr="00EF09FE">
              <w:rPr>
                <w:rFonts w:ascii="Times New Roman" w:eastAsia="Calibri" w:hAnsi="Times New Roman" w:cs="Times New Roman"/>
                <w:i/>
                <w:sz w:val="20"/>
                <w:szCs w:val="20"/>
              </w:rPr>
              <w:t xml:space="preserve"> </w:t>
            </w:r>
          </w:p>
        </w:tc>
      </w:tr>
      <w:tr w:rsidR="005C2595" w:rsidRPr="00EF09FE" w:rsidTr="001F6214">
        <w:trPr>
          <w:trHeight w:val="590"/>
        </w:trPr>
        <w:tc>
          <w:tcPr>
            <w:tcW w:w="4068" w:type="dxa"/>
            <w:tcBorders>
              <w:left w:val="nil"/>
              <w:bottom w:val="single" w:sz="4" w:space="0" w:color="auto"/>
              <w:right w:val="nil"/>
            </w:tcBorders>
            <w:vAlign w:val="center"/>
          </w:tcPr>
          <w:p w:rsidR="005C2595" w:rsidRPr="00EF09FE" w:rsidRDefault="005C2595" w:rsidP="001F6214">
            <w:pPr>
              <w:rPr>
                <w:rFonts w:ascii="Times New Roman" w:eastAsia="Calibri" w:hAnsi="Times New Roman" w:cs="Times New Roman"/>
                <w:sz w:val="20"/>
                <w:szCs w:val="20"/>
              </w:rPr>
            </w:pPr>
            <w:r w:rsidRPr="00EF09FE">
              <w:rPr>
                <w:rFonts w:ascii="Times New Roman" w:eastAsia="Calibri" w:hAnsi="Times New Roman" w:cs="Times New Roman"/>
                <w:sz w:val="20"/>
                <w:szCs w:val="20"/>
              </w:rPr>
              <w:t>Predictor</w:t>
            </w:r>
          </w:p>
        </w:tc>
        <w:tc>
          <w:tcPr>
            <w:tcW w:w="918" w:type="dxa"/>
            <w:tcBorders>
              <w:left w:val="nil"/>
              <w:bottom w:val="single" w:sz="4" w:space="0" w:color="auto"/>
              <w:right w:val="nil"/>
            </w:tcBorders>
            <w:vAlign w:val="center"/>
          </w:tcPr>
          <w:p w:rsidR="005C2595" w:rsidRPr="00EF09FE" w:rsidRDefault="005C2595" w:rsidP="001F6214">
            <w:pPr>
              <w:jc w:val="center"/>
              <w:rPr>
                <w:rFonts w:ascii="Times New Roman" w:eastAsia="Calibri" w:hAnsi="Times New Roman" w:cs="Times New Roman"/>
                <w:i/>
                <w:sz w:val="20"/>
                <w:szCs w:val="20"/>
              </w:rPr>
            </w:pPr>
            <w:r w:rsidRPr="00EF09FE">
              <w:rPr>
                <w:rFonts w:ascii="Times New Roman" w:eastAsia="Calibri" w:hAnsi="Times New Roman" w:cs="Times New Roman"/>
                <w:i/>
                <w:sz w:val="20"/>
                <w:szCs w:val="20"/>
              </w:rPr>
              <w:t>B</w:t>
            </w:r>
          </w:p>
        </w:tc>
        <w:tc>
          <w:tcPr>
            <w:tcW w:w="918" w:type="dxa"/>
            <w:tcBorders>
              <w:left w:val="nil"/>
              <w:bottom w:val="single" w:sz="4" w:space="0" w:color="auto"/>
              <w:right w:val="nil"/>
            </w:tcBorders>
            <w:vAlign w:val="center"/>
          </w:tcPr>
          <w:p w:rsidR="005C2595" w:rsidRPr="00EF09FE" w:rsidRDefault="005C2595" w:rsidP="001F6214">
            <w:pPr>
              <w:jc w:val="center"/>
              <w:rPr>
                <w:rFonts w:ascii="Times New Roman" w:eastAsia="Calibri" w:hAnsi="Times New Roman" w:cs="Times New Roman"/>
                <w:i/>
                <w:sz w:val="20"/>
                <w:szCs w:val="20"/>
              </w:rPr>
            </w:pPr>
            <w:r w:rsidRPr="00EF09FE">
              <w:rPr>
                <w:rFonts w:ascii="Times New Roman" w:eastAsia="Calibri" w:hAnsi="Times New Roman" w:cs="Times New Roman"/>
                <w:i/>
                <w:sz w:val="20"/>
                <w:szCs w:val="20"/>
              </w:rPr>
              <w:t>SE B</w:t>
            </w:r>
          </w:p>
        </w:tc>
        <w:tc>
          <w:tcPr>
            <w:tcW w:w="918" w:type="dxa"/>
            <w:tcBorders>
              <w:left w:val="nil"/>
              <w:bottom w:val="single" w:sz="4" w:space="0" w:color="auto"/>
              <w:right w:val="nil"/>
            </w:tcBorders>
            <w:vAlign w:val="center"/>
          </w:tcPr>
          <w:p w:rsidR="005C2595" w:rsidRPr="00EF09FE" w:rsidRDefault="005C2595" w:rsidP="001F6214">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 xml:space="preserve">Wald’s </w:t>
            </w:r>
          </w:p>
          <w:p w:rsidR="005C2595" w:rsidRPr="00EF09FE" w:rsidRDefault="005C2595" w:rsidP="001F6214">
            <w:pPr>
              <w:jc w:val="center"/>
              <w:rPr>
                <w:rFonts w:ascii="Times New Roman" w:eastAsia="Calibri" w:hAnsi="Times New Roman" w:cs="Times New Roman"/>
                <w:i/>
                <w:sz w:val="20"/>
                <w:szCs w:val="20"/>
              </w:rPr>
            </w:pPr>
            <w:r w:rsidRPr="00EF09FE">
              <w:rPr>
                <w:rFonts w:ascii="Times New Roman" w:eastAsia="Calibri" w:hAnsi="Times New Roman" w:cs="Times New Roman"/>
                <w:i/>
                <w:szCs w:val="20"/>
              </w:rPr>
              <w:sym w:font="Symbol" w:char="F063"/>
            </w:r>
            <w:r w:rsidRPr="00EF09FE">
              <w:rPr>
                <w:rFonts w:ascii="Times New Roman" w:eastAsia="Calibri" w:hAnsi="Times New Roman" w:cs="Times New Roman"/>
                <w:i/>
                <w:szCs w:val="20"/>
                <w:vertAlign w:val="superscript"/>
              </w:rPr>
              <w:t>2</w:t>
            </w:r>
          </w:p>
        </w:tc>
        <w:tc>
          <w:tcPr>
            <w:tcW w:w="918" w:type="dxa"/>
            <w:tcBorders>
              <w:left w:val="nil"/>
              <w:bottom w:val="single" w:sz="4" w:space="0" w:color="auto"/>
              <w:right w:val="nil"/>
            </w:tcBorders>
            <w:vAlign w:val="center"/>
          </w:tcPr>
          <w:p w:rsidR="005C2595" w:rsidRPr="00EF09FE" w:rsidRDefault="005C2595" w:rsidP="001F6214">
            <w:pPr>
              <w:jc w:val="center"/>
              <w:rPr>
                <w:rFonts w:ascii="Times New Roman" w:eastAsia="Calibri" w:hAnsi="Times New Roman" w:cs="Times New Roman"/>
                <w:i/>
                <w:sz w:val="20"/>
                <w:szCs w:val="20"/>
              </w:rPr>
            </w:pPr>
            <w:proofErr w:type="spellStart"/>
            <w:r w:rsidRPr="00EF09FE">
              <w:rPr>
                <w:rFonts w:ascii="Times New Roman" w:eastAsia="Calibri" w:hAnsi="Times New Roman" w:cs="Times New Roman"/>
                <w:i/>
                <w:sz w:val="20"/>
                <w:szCs w:val="20"/>
              </w:rPr>
              <w:t>df</w:t>
            </w:r>
            <w:proofErr w:type="spellEnd"/>
          </w:p>
        </w:tc>
        <w:tc>
          <w:tcPr>
            <w:tcW w:w="918" w:type="dxa"/>
            <w:tcBorders>
              <w:left w:val="nil"/>
              <w:bottom w:val="single" w:sz="4" w:space="0" w:color="auto"/>
              <w:right w:val="nil"/>
            </w:tcBorders>
            <w:vAlign w:val="center"/>
          </w:tcPr>
          <w:p w:rsidR="005C2595" w:rsidRPr="00EF09FE" w:rsidRDefault="005C2595" w:rsidP="001F6214">
            <w:pPr>
              <w:jc w:val="center"/>
              <w:rPr>
                <w:rFonts w:ascii="Times New Roman" w:eastAsia="Calibri" w:hAnsi="Times New Roman" w:cs="Times New Roman"/>
                <w:i/>
                <w:sz w:val="20"/>
                <w:szCs w:val="20"/>
              </w:rPr>
            </w:pPr>
            <w:r w:rsidRPr="00EF09FE">
              <w:rPr>
                <w:rFonts w:ascii="Times New Roman" w:eastAsia="Calibri" w:hAnsi="Times New Roman" w:cs="Times New Roman"/>
                <w:i/>
                <w:sz w:val="20"/>
                <w:szCs w:val="20"/>
              </w:rPr>
              <w:t>p</w:t>
            </w:r>
          </w:p>
        </w:tc>
        <w:tc>
          <w:tcPr>
            <w:tcW w:w="918" w:type="dxa"/>
            <w:tcBorders>
              <w:left w:val="nil"/>
              <w:bottom w:val="single" w:sz="4" w:space="0" w:color="auto"/>
              <w:right w:val="nil"/>
            </w:tcBorders>
            <w:vAlign w:val="center"/>
          </w:tcPr>
          <w:p w:rsidR="005C2595" w:rsidRPr="00EF09FE" w:rsidRDefault="005C2595" w:rsidP="001F6214">
            <w:pPr>
              <w:jc w:val="center"/>
              <w:rPr>
                <w:rFonts w:ascii="Times New Roman" w:eastAsia="Calibri" w:hAnsi="Times New Roman" w:cs="Times New Roman"/>
                <w:i/>
                <w:sz w:val="20"/>
                <w:szCs w:val="20"/>
                <w:vertAlign w:val="superscript"/>
              </w:rPr>
            </w:pPr>
            <w:proofErr w:type="spellStart"/>
            <w:r w:rsidRPr="00EF09FE">
              <w:rPr>
                <w:rFonts w:ascii="Times New Roman" w:eastAsia="Calibri" w:hAnsi="Times New Roman" w:cs="Times New Roman"/>
                <w:i/>
                <w:sz w:val="20"/>
                <w:szCs w:val="20"/>
              </w:rPr>
              <w:t>e</w:t>
            </w:r>
            <w:r w:rsidRPr="00EF09FE">
              <w:rPr>
                <w:rFonts w:ascii="Times New Roman" w:eastAsia="Calibri" w:hAnsi="Times New Roman" w:cs="Times New Roman"/>
                <w:i/>
                <w:sz w:val="20"/>
                <w:szCs w:val="20"/>
                <w:vertAlign w:val="superscript"/>
              </w:rPr>
              <w:t>B</w:t>
            </w:r>
            <w:proofErr w:type="spellEnd"/>
            <w:r w:rsidRPr="00EF09FE">
              <w:rPr>
                <w:rFonts w:ascii="Times New Roman" w:eastAsia="Calibri" w:hAnsi="Times New Roman" w:cs="Times New Roman"/>
                <w:i/>
                <w:sz w:val="20"/>
                <w:szCs w:val="20"/>
                <w:vertAlign w:val="superscript"/>
              </w:rPr>
              <w:t xml:space="preserve"> </w:t>
            </w:r>
          </w:p>
          <w:p w:rsidR="005C2595" w:rsidRPr="00EF09FE" w:rsidRDefault="005C2595" w:rsidP="001F6214">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(odds ratio)</w:t>
            </w:r>
          </w:p>
        </w:tc>
      </w:tr>
      <w:tr w:rsidR="005C2595" w:rsidRPr="00EF09FE" w:rsidTr="001F6214">
        <w:trPr>
          <w:trHeight w:val="360"/>
        </w:trPr>
        <w:tc>
          <w:tcPr>
            <w:tcW w:w="4068" w:type="dxa"/>
            <w:tcBorders>
              <w:left w:val="nil"/>
              <w:bottom w:val="nil"/>
              <w:right w:val="nil"/>
            </w:tcBorders>
            <w:vAlign w:val="center"/>
          </w:tcPr>
          <w:p w:rsidR="005C2595" w:rsidRPr="00EF09FE" w:rsidRDefault="005C2595" w:rsidP="001F6214">
            <w:pPr>
              <w:rPr>
                <w:rFonts w:ascii="Times New Roman" w:eastAsia="Calibri" w:hAnsi="Times New Roman" w:cs="Times New Roman"/>
                <w:sz w:val="20"/>
                <w:szCs w:val="20"/>
              </w:rPr>
            </w:pPr>
            <w:r w:rsidRPr="00EF09FE">
              <w:rPr>
                <w:rFonts w:ascii="Times New Roman" w:eastAsia="Calibri" w:hAnsi="Times New Roman" w:cs="Times New Roman"/>
                <w:sz w:val="20"/>
                <w:szCs w:val="20"/>
              </w:rPr>
              <w:t>Constant</w:t>
            </w:r>
          </w:p>
        </w:tc>
        <w:tc>
          <w:tcPr>
            <w:tcW w:w="918" w:type="dxa"/>
            <w:tcBorders>
              <w:left w:val="nil"/>
              <w:bottom w:val="nil"/>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6.90</w:t>
            </w:r>
          </w:p>
        </w:tc>
        <w:tc>
          <w:tcPr>
            <w:tcW w:w="918" w:type="dxa"/>
            <w:tcBorders>
              <w:left w:val="nil"/>
              <w:bottom w:val="nil"/>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.53</w:t>
            </w:r>
          </w:p>
        </w:tc>
        <w:tc>
          <w:tcPr>
            <w:tcW w:w="918" w:type="dxa"/>
            <w:tcBorders>
              <w:left w:val="nil"/>
              <w:bottom w:val="nil"/>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170.52</w:t>
            </w:r>
          </w:p>
        </w:tc>
        <w:tc>
          <w:tcPr>
            <w:tcW w:w="918" w:type="dxa"/>
            <w:tcBorders>
              <w:left w:val="nil"/>
              <w:bottom w:val="nil"/>
              <w:right w:val="nil"/>
            </w:tcBorders>
            <w:vAlign w:val="center"/>
          </w:tcPr>
          <w:p w:rsidR="005C2595" w:rsidRPr="00EF09FE" w:rsidRDefault="005C2595" w:rsidP="001F6214">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1</w:t>
            </w:r>
          </w:p>
        </w:tc>
        <w:tc>
          <w:tcPr>
            <w:tcW w:w="918" w:type="dxa"/>
            <w:tcBorders>
              <w:left w:val="nil"/>
              <w:bottom w:val="nil"/>
              <w:right w:val="nil"/>
            </w:tcBorders>
            <w:vAlign w:val="center"/>
          </w:tcPr>
          <w:p w:rsidR="005C2595" w:rsidRPr="00EF09FE" w:rsidRDefault="005C2595" w:rsidP="001F6214">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.000</w:t>
            </w:r>
          </w:p>
        </w:tc>
        <w:tc>
          <w:tcPr>
            <w:tcW w:w="918" w:type="dxa"/>
            <w:tcBorders>
              <w:left w:val="nil"/>
              <w:bottom w:val="nil"/>
              <w:right w:val="nil"/>
            </w:tcBorders>
            <w:vAlign w:val="center"/>
          </w:tcPr>
          <w:p w:rsidR="005C2595" w:rsidRPr="00EF09FE" w:rsidRDefault="005C2595" w:rsidP="001F6214">
            <w:pPr>
              <w:jc w:val="center"/>
              <w:rPr>
                <w:rFonts w:ascii="Times New Roman" w:eastAsia="Calibri" w:hAnsi="Times New Roman" w:cs="Times New Roman"/>
                <w:sz w:val="20"/>
                <w:szCs w:val="20"/>
              </w:rPr>
            </w:pPr>
          </w:p>
        </w:tc>
      </w:tr>
      <w:tr w:rsidR="005C2595" w:rsidRPr="00EF09FE" w:rsidTr="001F6214">
        <w:trPr>
          <w:trHeight w:val="360"/>
        </w:trPr>
        <w:tc>
          <w:tcPr>
            <w:tcW w:w="4068" w:type="dxa"/>
            <w:tcBorders>
              <w:top w:val="nil"/>
              <w:left w:val="nil"/>
              <w:bottom w:val="nil"/>
              <w:right w:val="nil"/>
            </w:tcBorders>
            <w:vAlign w:val="center"/>
          </w:tcPr>
          <w:p w:rsidR="005C2595" w:rsidRPr="00EF09FE" w:rsidRDefault="005C2595" w:rsidP="001F6214">
            <w:pPr>
              <w:rPr>
                <w:rFonts w:ascii="Times New Roman" w:eastAsia="Calibri" w:hAnsi="Times New Roman" w:cs="Times New Roman"/>
                <w:sz w:val="20"/>
                <w:szCs w:val="20"/>
              </w:rPr>
            </w:pPr>
            <w:r w:rsidRPr="00EF09FE">
              <w:rPr>
                <w:rFonts w:ascii="Times New Roman" w:hAnsi="Times New Roman" w:cs="Times New Roman"/>
                <w:sz w:val="20"/>
                <w:szCs w:val="20"/>
              </w:rPr>
              <w:t>Level of practice autonomy</w:t>
            </w:r>
          </w:p>
        </w:tc>
        <w:tc>
          <w:tcPr>
            <w:tcW w:w="918" w:type="dxa"/>
            <w:tcBorders>
              <w:top w:val="nil"/>
              <w:left w:val="nil"/>
              <w:bottom w:val="nil"/>
              <w:right w:val="nil"/>
            </w:tcBorders>
            <w:vAlign w:val="center"/>
          </w:tcPr>
          <w:p w:rsidR="005C2595" w:rsidRPr="00EF09FE" w:rsidRDefault="005C2595" w:rsidP="001F6214">
            <w:pPr>
              <w:jc w:val="center"/>
              <w:rPr>
                <w:rFonts w:ascii="Times New Roman" w:eastAsia="Calibri" w:hAnsi="Times New Roman" w:cs="Times New Roman"/>
                <w:sz w:val="20"/>
                <w:szCs w:val="20"/>
              </w:rPr>
            </w:pPr>
          </w:p>
        </w:tc>
        <w:tc>
          <w:tcPr>
            <w:tcW w:w="918" w:type="dxa"/>
            <w:tcBorders>
              <w:top w:val="nil"/>
              <w:left w:val="nil"/>
              <w:bottom w:val="nil"/>
              <w:right w:val="nil"/>
            </w:tcBorders>
            <w:vAlign w:val="center"/>
          </w:tcPr>
          <w:p w:rsidR="005C2595" w:rsidRPr="00EF09FE" w:rsidRDefault="005C2595" w:rsidP="001F6214">
            <w:pPr>
              <w:jc w:val="center"/>
              <w:rPr>
                <w:rFonts w:ascii="Times New Roman" w:eastAsia="Calibri" w:hAnsi="Times New Roman" w:cs="Times New Roman"/>
                <w:sz w:val="20"/>
                <w:szCs w:val="20"/>
              </w:rPr>
            </w:pPr>
          </w:p>
        </w:tc>
        <w:tc>
          <w:tcPr>
            <w:tcW w:w="918" w:type="dxa"/>
            <w:tcBorders>
              <w:top w:val="nil"/>
              <w:left w:val="nil"/>
              <w:bottom w:val="nil"/>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5.07</w:t>
            </w:r>
          </w:p>
        </w:tc>
        <w:tc>
          <w:tcPr>
            <w:tcW w:w="918" w:type="dxa"/>
            <w:tcBorders>
              <w:top w:val="nil"/>
              <w:left w:val="nil"/>
              <w:bottom w:val="nil"/>
              <w:right w:val="nil"/>
            </w:tcBorders>
            <w:vAlign w:val="center"/>
          </w:tcPr>
          <w:p w:rsidR="005C2595" w:rsidRPr="00EF09FE" w:rsidRDefault="005C2595" w:rsidP="001F6214">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2</w:t>
            </w:r>
          </w:p>
        </w:tc>
        <w:tc>
          <w:tcPr>
            <w:tcW w:w="918" w:type="dxa"/>
            <w:tcBorders>
              <w:top w:val="nil"/>
              <w:left w:val="nil"/>
              <w:bottom w:val="nil"/>
              <w:right w:val="nil"/>
            </w:tcBorders>
            <w:vAlign w:val="center"/>
          </w:tcPr>
          <w:p w:rsidR="005C2595" w:rsidRPr="00EF09FE" w:rsidRDefault="005C2595"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w:t>
            </w:r>
            <w:r w:rsidR="00B92F48" w:rsidRPr="00EF09FE">
              <w:rPr>
                <w:rFonts w:ascii="Times New Roman" w:hAnsi="Times New Roman" w:cs="Times New Roman"/>
                <w:sz w:val="20"/>
                <w:szCs w:val="20"/>
              </w:rPr>
              <w:t>079</w:t>
            </w:r>
          </w:p>
        </w:tc>
        <w:tc>
          <w:tcPr>
            <w:tcW w:w="918" w:type="dxa"/>
            <w:tcBorders>
              <w:top w:val="nil"/>
              <w:left w:val="nil"/>
              <w:bottom w:val="nil"/>
              <w:right w:val="nil"/>
            </w:tcBorders>
            <w:vAlign w:val="center"/>
          </w:tcPr>
          <w:p w:rsidR="005C2595" w:rsidRPr="00EF09FE" w:rsidRDefault="005C2595" w:rsidP="001F6214">
            <w:pPr>
              <w:jc w:val="center"/>
              <w:rPr>
                <w:rFonts w:ascii="Times New Roman" w:eastAsia="Calibri" w:hAnsi="Times New Roman" w:cs="Times New Roman"/>
                <w:sz w:val="20"/>
                <w:szCs w:val="20"/>
              </w:rPr>
            </w:pPr>
          </w:p>
        </w:tc>
      </w:tr>
      <w:tr w:rsidR="005C2595" w:rsidRPr="00EF09FE" w:rsidTr="001F6214">
        <w:trPr>
          <w:trHeight w:val="360"/>
        </w:trPr>
        <w:tc>
          <w:tcPr>
            <w:tcW w:w="4068" w:type="dxa"/>
            <w:tcBorders>
              <w:top w:val="nil"/>
              <w:left w:val="nil"/>
              <w:bottom w:val="nil"/>
              <w:right w:val="nil"/>
            </w:tcBorders>
            <w:vAlign w:val="center"/>
          </w:tcPr>
          <w:p w:rsidR="005C2595" w:rsidRPr="00EF09FE" w:rsidRDefault="005C2595" w:rsidP="00C15CF9">
            <w:pPr>
              <w:ind w:left="180"/>
              <w:rPr>
                <w:rFonts w:ascii="Times New Roman" w:eastAsia="Calibri" w:hAnsi="Times New Roman" w:cs="Times New Roman"/>
                <w:sz w:val="20"/>
                <w:szCs w:val="20"/>
              </w:rPr>
            </w:pPr>
            <w:r w:rsidRPr="00EF09FE">
              <w:rPr>
                <w:rFonts w:ascii="Times New Roman" w:hAnsi="Times New Roman" w:cs="Times New Roman"/>
                <w:sz w:val="20"/>
                <w:szCs w:val="20"/>
              </w:rPr>
              <w:t xml:space="preserve">Independent  vs. </w:t>
            </w:r>
            <w:r w:rsidR="00C15CF9" w:rsidRPr="00EF09FE">
              <w:rPr>
                <w:rFonts w:ascii="Times New Roman" w:hAnsi="Times New Roman" w:cs="Times New Roman"/>
                <w:sz w:val="20"/>
                <w:szCs w:val="20"/>
              </w:rPr>
              <w:t>supervised</w:t>
            </w:r>
          </w:p>
        </w:tc>
        <w:tc>
          <w:tcPr>
            <w:tcW w:w="918" w:type="dxa"/>
            <w:tcBorders>
              <w:top w:val="nil"/>
              <w:left w:val="nil"/>
              <w:bottom w:val="nil"/>
              <w:right w:val="nil"/>
            </w:tcBorders>
            <w:vAlign w:val="center"/>
          </w:tcPr>
          <w:p w:rsidR="005C2595" w:rsidRPr="00EF09FE" w:rsidRDefault="00B92F48" w:rsidP="00B92F48">
            <w:pPr>
              <w:jc w:val="center"/>
              <w:rPr>
                <w:rFonts w:ascii="Times New Roman" w:eastAsia="Calibri" w:hAnsi="Times New Roman" w:cs="Times New Roman"/>
                <w:sz w:val="20"/>
                <w:szCs w:val="20"/>
              </w:rPr>
            </w:pPr>
            <w:r w:rsidRPr="00EF09FE">
              <w:rPr>
                <w:rFonts w:ascii="Times New Roman" w:hAnsi="Times New Roman" w:cs="Times New Roman"/>
                <w:sz w:val="20"/>
                <w:szCs w:val="20"/>
              </w:rPr>
              <w:t>1.09</w:t>
            </w:r>
          </w:p>
        </w:tc>
        <w:tc>
          <w:tcPr>
            <w:tcW w:w="918" w:type="dxa"/>
            <w:tcBorders>
              <w:top w:val="nil"/>
              <w:left w:val="nil"/>
              <w:bottom w:val="nil"/>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.51</w:t>
            </w:r>
          </w:p>
        </w:tc>
        <w:tc>
          <w:tcPr>
            <w:tcW w:w="918" w:type="dxa"/>
            <w:tcBorders>
              <w:top w:val="nil"/>
              <w:left w:val="nil"/>
              <w:bottom w:val="nil"/>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4.63</w:t>
            </w:r>
          </w:p>
        </w:tc>
        <w:tc>
          <w:tcPr>
            <w:tcW w:w="918" w:type="dxa"/>
            <w:tcBorders>
              <w:top w:val="nil"/>
              <w:left w:val="nil"/>
              <w:bottom w:val="nil"/>
              <w:right w:val="nil"/>
            </w:tcBorders>
            <w:vAlign w:val="center"/>
          </w:tcPr>
          <w:p w:rsidR="005C2595" w:rsidRPr="00EF09FE" w:rsidRDefault="005C2595" w:rsidP="001F6214">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1</w:t>
            </w:r>
          </w:p>
        </w:tc>
        <w:tc>
          <w:tcPr>
            <w:tcW w:w="918" w:type="dxa"/>
            <w:tcBorders>
              <w:top w:val="nil"/>
              <w:left w:val="nil"/>
              <w:bottom w:val="nil"/>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.031</w:t>
            </w:r>
          </w:p>
        </w:tc>
        <w:tc>
          <w:tcPr>
            <w:tcW w:w="918" w:type="dxa"/>
            <w:tcBorders>
              <w:top w:val="nil"/>
              <w:left w:val="nil"/>
              <w:bottom w:val="nil"/>
              <w:right w:val="nil"/>
            </w:tcBorders>
            <w:vAlign w:val="center"/>
          </w:tcPr>
          <w:p w:rsidR="005C2595" w:rsidRPr="00EF09FE" w:rsidRDefault="005C2595" w:rsidP="00B92F48">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2.</w:t>
            </w:r>
            <w:r w:rsidR="00B92F48" w:rsidRPr="00EF09FE">
              <w:rPr>
                <w:rFonts w:ascii="Times New Roman" w:eastAsia="Calibri" w:hAnsi="Times New Roman" w:cs="Times New Roman"/>
                <w:sz w:val="20"/>
                <w:szCs w:val="20"/>
              </w:rPr>
              <w:t>98</w:t>
            </w:r>
          </w:p>
        </w:tc>
      </w:tr>
      <w:tr w:rsidR="005C2595" w:rsidRPr="00EF09FE" w:rsidTr="001F6214">
        <w:trPr>
          <w:trHeight w:val="360"/>
        </w:trPr>
        <w:tc>
          <w:tcPr>
            <w:tcW w:w="4068" w:type="dxa"/>
            <w:tcBorders>
              <w:top w:val="nil"/>
              <w:left w:val="nil"/>
              <w:bottom w:val="single" w:sz="4" w:space="0" w:color="auto"/>
              <w:right w:val="nil"/>
            </w:tcBorders>
            <w:vAlign w:val="center"/>
          </w:tcPr>
          <w:p w:rsidR="005C2595" w:rsidRPr="00EF09FE" w:rsidRDefault="00C15CF9" w:rsidP="00C15CF9">
            <w:pPr>
              <w:ind w:left="180"/>
              <w:rPr>
                <w:rFonts w:ascii="Times New Roman" w:eastAsia="Calibri" w:hAnsi="Times New Roman" w:cs="Times New Roman"/>
                <w:sz w:val="20"/>
                <w:szCs w:val="20"/>
              </w:rPr>
            </w:pPr>
            <w:r w:rsidRPr="00EF09FE">
              <w:rPr>
                <w:rFonts w:ascii="Times New Roman" w:hAnsi="Times New Roman" w:cs="Times New Roman"/>
                <w:sz w:val="20"/>
                <w:szCs w:val="20"/>
              </w:rPr>
              <w:t>collaborative</w:t>
            </w:r>
            <w:r w:rsidR="005C2595" w:rsidRPr="00EF09FE">
              <w:rPr>
                <w:rFonts w:ascii="Times New Roman" w:hAnsi="Times New Roman" w:cs="Times New Roman"/>
                <w:sz w:val="20"/>
                <w:szCs w:val="20"/>
              </w:rPr>
              <w:t xml:space="preserve"> vs. </w:t>
            </w:r>
            <w:r w:rsidRPr="00EF09FE">
              <w:rPr>
                <w:rFonts w:ascii="Times New Roman" w:hAnsi="Times New Roman" w:cs="Times New Roman"/>
                <w:sz w:val="20"/>
                <w:szCs w:val="20"/>
              </w:rPr>
              <w:t>supervised</w:t>
            </w:r>
          </w:p>
        </w:tc>
        <w:tc>
          <w:tcPr>
            <w:tcW w:w="918" w:type="dxa"/>
            <w:tcBorders>
              <w:top w:val="nil"/>
              <w:left w:val="nil"/>
              <w:bottom w:val="single" w:sz="4" w:space="0" w:color="auto"/>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.52</w:t>
            </w:r>
          </w:p>
        </w:tc>
        <w:tc>
          <w:tcPr>
            <w:tcW w:w="918" w:type="dxa"/>
            <w:tcBorders>
              <w:top w:val="nil"/>
              <w:left w:val="nil"/>
              <w:bottom w:val="single" w:sz="4" w:space="0" w:color="auto"/>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.43</w:t>
            </w:r>
          </w:p>
        </w:tc>
        <w:tc>
          <w:tcPr>
            <w:tcW w:w="918" w:type="dxa"/>
            <w:tcBorders>
              <w:top w:val="nil"/>
              <w:left w:val="nil"/>
              <w:bottom w:val="single" w:sz="4" w:space="0" w:color="auto"/>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1.43</w:t>
            </w:r>
          </w:p>
        </w:tc>
        <w:tc>
          <w:tcPr>
            <w:tcW w:w="918" w:type="dxa"/>
            <w:tcBorders>
              <w:top w:val="nil"/>
              <w:left w:val="nil"/>
              <w:bottom w:val="single" w:sz="4" w:space="0" w:color="auto"/>
              <w:right w:val="nil"/>
            </w:tcBorders>
            <w:vAlign w:val="center"/>
          </w:tcPr>
          <w:p w:rsidR="005C2595" w:rsidRPr="00EF09FE" w:rsidRDefault="005C2595" w:rsidP="001F6214">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1</w:t>
            </w:r>
          </w:p>
        </w:tc>
        <w:tc>
          <w:tcPr>
            <w:tcW w:w="918" w:type="dxa"/>
            <w:tcBorders>
              <w:top w:val="nil"/>
              <w:left w:val="nil"/>
              <w:bottom w:val="single" w:sz="4" w:space="0" w:color="auto"/>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hAnsi="Times New Roman" w:cs="Times New Roman"/>
                <w:sz w:val="20"/>
                <w:szCs w:val="20"/>
              </w:rPr>
              <w:t>.232</w:t>
            </w:r>
          </w:p>
        </w:tc>
        <w:tc>
          <w:tcPr>
            <w:tcW w:w="918" w:type="dxa"/>
            <w:tcBorders>
              <w:top w:val="nil"/>
              <w:left w:val="nil"/>
              <w:bottom w:val="single" w:sz="4" w:space="0" w:color="auto"/>
              <w:right w:val="nil"/>
            </w:tcBorders>
            <w:vAlign w:val="center"/>
          </w:tcPr>
          <w:p w:rsidR="005C2595" w:rsidRPr="00EF09FE" w:rsidRDefault="00B92F48" w:rsidP="001F6214">
            <w:pPr>
              <w:jc w:val="center"/>
              <w:rPr>
                <w:rFonts w:ascii="Times New Roman" w:eastAsia="Calibri" w:hAnsi="Times New Roman" w:cs="Times New Roman"/>
                <w:sz w:val="20"/>
                <w:szCs w:val="20"/>
              </w:rPr>
            </w:pPr>
            <w:r w:rsidRPr="00EF09FE">
              <w:rPr>
                <w:rFonts w:ascii="Times New Roman" w:eastAsia="Calibri" w:hAnsi="Times New Roman" w:cs="Times New Roman"/>
                <w:sz w:val="20"/>
                <w:szCs w:val="20"/>
              </w:rPr>
              <w:t>1.68</w:t>
            </w:r>
          </w:p>
        </w:tc>
      </w:tr>
    </w:tbl>
    <w:p w:rsidR="00094BC2" w:rsidRPr="00EF09FE" w:rsidRDefault="00C15CF9" w:rsidP="00094BC2">
      <w:pPr>
        <w:rPr>
          <w:rFonts w:ascii="Times New Roman" w:hAnsi="Times New Roman" w:cs="Times New Roman"/>
          <w:sz w:val="20"/>
          <w:szCs w:val="20"/>
        </w:rPr>
      </w:pPr>
      <w:r w:rsidRPr="00EF09FE">
        <w:rPr>
          <w:rFonts w:ascii="Times New Roman" w:hAnsi="Times New Roman" w:cs="Times New Roman"/>
          <w:i/>
          <w:sz w:val="20"/>
          <w:szCs w:val="20"/>
        </w:rPr>
        <w:t>Note.</w:t>
      </w:r>
      <w:r w:rsidR="00C6199E" w:rsidRPr="00EF09FE">
        <w:rPr>
          <w:rFonts w:ascii="Times New Roman" w:hAnsi="Times New Roman" w:cs="Times New Roman"/>
          <w:sz w:val="20"/>
          <w:szCs w:val="20"/>
        </w:rPr>
        <w:t xml:space="preserve"> To obtain the odds ratio for</w:t>
      </w:r>
      <w:r w:rsidR="009B5FAA" w:rsidRPr="00EF09FE">
        <w:rPr>
          <w:rFonts w:ascii="Times New Roman" w:hAnsi="Times New Roman" w:cs="Times New Roman"/>
          <w:sz w:val="20"/>
          <w:szCs w:val="20"/>
        </w:rPr>
        <w:t xml:space="preserve"> the independent versus collaborative </w:t>
      </w:r>
      <w:r w:rsidR="00C6199E" w:rsidRPr="00EF09FE">
        <w:rPr>
          <w:rFonts w:ascii="Times New Roman" w:hAnsi="Times New Roman" w:cs="Times New Roman"/>
          <w:sz w:val="20"/>
          <w:szCs w:val="20"/>
        </w:rPr>
        <w:t>groups</w:t>
      </w:r>
      <w:r w:rsidR="00C502FE" w:rsidRPr="00EF09FE">
        <w:rPr>
          <w:rFonts w:ascii="Times New Roman" w:hAnsi="Times New Roman" w:cs="Times New Roman"/>
          <w:sz w:val="20"/>
          <w:szCs w:val="20"/>
        </w:rPr>
        <w:t xml:space="preserve"> (odds ratio, 1.77, </w:t>
      </w:r>
      <w:r w:rsidR="00C502FE" w:rsidRPr="00EF09FE">
        <w:rPr>
          <w:rFonts w:ascii="Times New Roman" w:hAnsi="Times New Roman" w:cs="Times New Roman"/>
          <w:i/>
          <w:sz w:val="20"/>
          <w:szCs w:val="20"/>
        </w:rPr>
        <w:t>p</w:t>
      </w:r>
      <w:r w:rsidR="00C502FE" w:rsidRPr="00EF09FE">
        <w:rPr>
          <w:rFonts w:ascii="Times New Roman" w:hAnsi="Times New Roman" w:cs="Times New Roman"/>
          <w:sz w:val="20"/>
          <w:szCs w:val="20"/>
        </w:rPr>
        <w:t xml:space="preserve"> = .088)</w:t>
      </w:r>
      <w:r w:rsidR="003B06D0" w:rsidRPr="00EF09FE">
        <w:rPr>
          <w:rFonts w:ascii="Times New Roman" w:hAnsi="Times New Roman" w:cs="Times New Roman"/>
          <w:sz w:val="20"/>
          <w:szCs w:val="20"/>
        </w:rPr>
        <w:t xml:space="preserve">, </w:t>
      </w:r>
      <w:r w:rsidR="00C6199E" w:rsidRPr="00EF09FE">
        <w:rPr>
          <w:rFonts w:ascii="Times New Roman" w:hAnsi="Times New Roman" w:cs="Times New Roman"/>
          <w:sz w:val="20"/>
          <w:szCs w:val="20"/>
        </w:rPr>
        <w:t>the analysis was</w:t>
      </w:r>
      <w:r w:rsidR="009D1A6B">
        <w:rPr>
          <w:rFonts w:ascii="Times New Roman" w:hAnsi="Times New Roman" w:cs="Times New Roman"/>
          <w:sz w:val="20"/>
          <w:szCs w:val="20"/>
        </w:rPr>
        <w:t xml:space="preserve"> re-ru</w:t>
      </w:r>
      <w:r w:rsidR="003B06D0" w:rsidRPr="00EF09FE">
        <w:rPr>
          <w:rFonts w:ascii="Times New Roman" w:hAnsi="Times New Roman" w:cs="Times New Roman"/>
          <w:sz w:val="20"/>
          <w:szCs w:val="20"/>
        </w:rPr>
        <w:t xml:space="preserve">n where the collaborative group was coded </w:t>
      </w:r>
      <w:r w:rsidR="009B5FAA" w:rsidRPr="00EF09FE">
        <w:rPr>
          <w:rFonts w:ascii="Times New Roman" w:hAnsi="Times New Roman" w:cs="Times New Roman"/>
          <w:sz w:val="20"/>
          <w:szCs w:val="20"/>
        </w:rPr>
        <w:t>as the reference group</w:t>
      </w:r>
      <w:r w:rsidR="003B06D0" w:rsidRPr="00EF09FE">
        <w:rPr>
          <w:rFonts w:ascii="Times New Roman" w:hAnsi="Times New Roman" w:cs="Times New Roman"/>
          <w:sz w:val="20"/>
          <w:szCs w:val="20"/>
        </w:rPr>
        <w:t xml:space="preserve"> in the dummy variables</w:t>
      </w:r>
      <w:r w:rsidR="009B5FAA" w:rsidRPr="00EF09FE">
        <w:rPr>
          <w:rFonts w:ascii="Times New Roman" w:hAnsi="Times New Roman" w:cs="Times New Roman"/>
          <w:sz w:val="20"/>
          <w:szCs w:val="20"/>
        </w:rPr>
        <w:t>.</w:t>
      </w:r>
      <w:r w:rsidR="00C6199E" w:rsidRPr="00EF09FE">
        <w:rPr>
          <w:rFonts w:ascii="Times New Roman" w:hAnsi="Times New Roman" w:cs="Times New Roman"/>
          <w:sz w:val="20"/>
          <w:szCs w:val="20"/>
        </w:rPr>
        <w:t xml:space="preserve"> </w:t>
      </w:r>
    </w:p>
    <w:p w:rsidR="005C2595" w:rsidRDefault="005C2595" w:rsidP="00AA6835">
      <w:pPr>
        <w:spacing w:line="480" w:lineRule="auto"/>
        <w:rPr>
          <w:rFonts w:ascii="Times New Roman" w:hAnsi="Times New Roman" w:cs="Times New Roman"/>
          <w:sz w:val="24"/>
          <w:szCs w:val="24"/>
        </w:rPr>
      </w:pPr>
    </w:p>
    <w:p w:rsidR="00AA6835" w:rsidRPr="00D73299" w:rsidRDefault="00355382" w:rsidP="00AA6835">
      <w:pPr>
        <w:rPr>
          <w:rFonts w:ascii="Times New Roman" w:hAnsi="Times New Roman" w:cs="Times New Roman"/>
          <w:b/>
          <w:sz w:val="24"/>
          <w:szCs w:val="24"/>
        </w:rPr>
      </w:pPr>
      <w:r>
        <w:rPr>
          <w:rFonts w:ascii="Times New Roman" w:hAnsi="Times New Roman" w:cs="Times New Roman"/>
          <w:b/>
          <w:sz w:val="24"/>
          <w:szCs w:val="24"/>
        </w:rPr>
        <w:t>P</w:t>
      </w:r>
      <w:r w:rsidR="00AA6835" w:rsidRPr="00D73299">
        <w:rPr>
          <w:rFonts w:ascii="Times New Roman" w:hAnsi="Times New Roman" w:cs="Times New Roman"/>
          <w:b/>
          <w:sz w:val="24"/>
          <w:szCs w:val="24"/>
        </w:rPr>
        <w:t>hysician</w:t>
      </w:r>
      <w:r>
        <w:rPr>
          <w:rFonts w:ascii="Times New Roman" w:hAnsi="Times New Roman" w:cs="Times New Roman"/>
          <w:b/>
          <w:sz w:val="24"/>
          <w:szCs w:val="24"/>
        </w:rPr>
        <w:t xml:space="preserve"> versus APRN Reporting R</w:t>
      </w:r>
      <w:r w:rsidR="00AA6835" w:rsidRPr="00D73299">
        <w:rPr>
          <w:rFonts w:ascii="Times New Roman" w:hAnsi="Times New Roman" w:cs="Times New Roman"/>
          <w:b/>
          <w:sz w:val="24"/>
          <w:szCs w:val="24"/>
        </w:rPr>
        <w:t>ates</w:t>
      </w:r>
    </w:p>
    <w:p w:rsidR="00AA6835" w:rsidRPr="00D73299" w:rsidRDefault="00AA6835" w:rsidP="00AA6835">
      <w:pPr>
        <w:rPr>
          <w:rFonts w:ascii="Times New Roman" w:hAnsi="Times New Roman" w:cs="Times New Roman"/>
          <w:b/>
          <w:sz w:val="24"/>
          <w:szCs w:val="24"/>
        </w:rPr>
      </w:pPr>
    </w:p>
    <w:p w:rsidR="00AA6835" w:rsidRPr="00D73299" w:rsidRDefault="005126E3" w:rsidP="00E77E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number of NPDB and HIPDB reports were</w:t>
      </w:r>
      <w:proofErr w:type="gramEnd"/>
      <w:r>
        <w:rPr>
          <w:rFonts w:ascii="Times New Roman" w:hAnsi="Times New Roman" w:cs="Times New Roman"/>
          <w:sz w:val="24"/>
          <w:szCs w:val="24"/>
        </w:rPr>
        <w:t xml:space="preserve"> compared for APRNs and physicians. </w:t>
      </w:r>
      <w:r w:rsidR="00AA6835">
        <w:rPr>
          <w:rFonts w:ascii="Times New Roman" w:hAnsi="Times New Roman" w:cs="Times New Roman"/>
          <w:sz w:val="24"/>
          <w:szCs w:val="24"/>
        </w:rPr>
        <w:t>Table 9</w:t>
      </w:r>
      <w:r w:rsidR="00AA6835" w:rsidRPr="00D73299">
        <w:rPr>
          <w:rFonts w:ascii="Times New Roman" w:hAnsi="Times New Roman" w:cs="Times New Roman"/>
          <w:sz w:val="24"/>
          <w:szCs w:val="24"/>
        </w:rPr>
        <w:t xml:space="preserve"> depicts the number of discipline </w:t>
      </w:r>
      <w:r w:rsidR="00AA6835">
        <w:rPr>
          <w:rFonts w:ascii="Times New Roman" w:hAnsi="Times New Roman" w:cs="Times New Roman"/>
          <w:sz w:val="24"/>
          <w:szCs w:val="24"/>
        </w:rPr>
        <w:t xml:space="preserve">NPDB and HIPDB </w:t>
      </w:r>
      <w:r w:rsidR="00AA6835" w:rsidRPr="00D73299">
        <w:rPr>
          <w:rFonts w:ascii="Times New Roman" w:hAnsi="Times New Roman" w:cs="Times New Roman"/>
          <w:sz w:val="24"/>
          <w:szCs w:val="24"/>
        </w:rPr>
        <w:t>reports, and the number of healthcare pro</w:t>
      </w:r>
      <w:r w:rsidR="00AA6835">
        <w:rPr>
          <w:rFonts w:ascii="Times New Roman" w:hAnsi="Times New Roman" w:cs="Times New Roman"/>
          <w:sz w:val="24"/>
          <w:szCs w:val="24"/>
        </w:rPr>
        <w:t xml:space="preserve">viders for all 51 jurisdictions over a five month period of time, August 1, 2009 through January 3, 2010. </w:t>
      </w:r>
    </w:p>
    <w:p w:rsidR="00E04DFF" w:rsidRPr="00EF09FE" w:rsidRDefault="007C4A6F" w:rsidP="00355382">
      <w:pPr>
        <w:spacing w:line="480" w:lineRule="auto"/>
        <w:ind w:firstLine="720"/>
        <w:rPr>
          <w:rFonts w:ascii="Times New Roman" w:hAnsi="Times New Roman" w:cs="Times New Roman"/>
          <w:sz w:val="24"/>
          <w:szCs w:val="24"/>
        </w:rPr>
      </w:pPr>
      <w:r w:rsidRPr="00EF09FE">
        <w:rPr>
          <w:rFonts w:ascii="Times New Roman" w:hAnsi="Times New Roman" w:cs="Times New Roman"/>
          <w:sz w:val="24"/>
          <w:szCs w:val="24"/>
        </w:rPr>
        <w:t xml:space="preserve">Logistic regression with dummy coding was used to investigate the effects of level of practice (i.e., physician and APRN) on </w:t>
      </w:r>
      <w:r w:rsidR="006F1A4C" w:rsidRPr="00EF09FE">
        <w:rPr>
          <w:rFonts w:ascii="Times New Roman" w:hAnsi="Times New Roman" w:cs="Times New Roman"/>
          <w:sz w:val="24"/>
          <w:szCs w:val="24"/>
        </w:rPr>
        <w:t xml:space="preserve">NPDB reporting </w:t>
      </w:r>
      <w:r w:rsidRPr="00EF09FE">
        <w:rPr>
          <w:rFonts w:ascii="Times New Roman" w:hAnsi="Times New Roman" w:cs="Times New Roman"/>
          <w:sz w:val="24"/>
          <w:szCs w:val="24"/>
        </w:rPr>
        <w:t xml:space="preserve">(i.e., </w:t>
      </w:r>
      <w:r w:rsidR="006F1A4C" w:rsidRPr="00EF09FE">
        <w:rPr>
          <w:rFonts w:ascii="Times New Roman" w:hAnsi="Times New Roman" w:cs="Times New Roman"/>
          <w:sz w:val="24"/>
          <w:szCs w:val="24"/>
        </w:rPr>
        <w:t>reported</w:t>
      </w:r>
      <w:r w:rsidRPr="00EF09FE">
        <w:rPr>
          <w:rFonts w:ascii="Times New Roman" w:hAnsi="Times New Roman" w:cs="Times New Roman"/>
          <w:sz w:val="24"/>
          <w:szCs w:val="24"/>
        </w:rPr>
        <w:t xml:space="preserve"> or not </w:t>
      </w:r>
      <w:r w:rsidR="006F1A4C" w:rsidRPr="00EF09FE">
        <w:rPr>
          <w:rFonts w:ascii="Times New Roman" w:hAnsi="Times New Roman" w:cs="Times New Roman"/>
          <w:sz w:val="24"/>
          <w:szCs w:val="24"/>
        </w:rPr>
        <w:t>reported</w:t>
      </w:r>
      <w:r w:rsidRPr="00EF09FE">
        <w:rPr>
          <w:rFonts w:ascii="Times New Roman" w:hAnsi="Times New Roman" w:cs="Times New Roman"/>
          <w:sz w:val="24"/>
          <w:szCs w:val="24"/>
        </w:rPr>
        <w:t xml:space="preserve">). </w:t>
      </w:r>
      <w:r w:rsidR="00EF09FE" w:rsidRPr="00EF09FE">
        <w:rPr>
          <w:rFonts w:ascii="Times New Roman" w:hAnsi="Times New Roman" w:cs="Times New Roman"/>
          <w:sz w:val="24"/>
          <w:szCs w:val="24"/>
        </w:rPr>
        <w:t>R</w:t>
      </w:r>
      <w:r w:rsidRPr="00EF09FE">
        <w:rPr>
          <w:rFonts w:ascii="Times New Roman" w:hAnsi="Times New Roman" w:cs="Times New Roman"/>
          <w:sz w:val="24"/>
          <w:szCs w:val="24"/>
        </w:rPr>
        <w:t xml:space="preserve">esults indicated that level of practice reliably distinguished whether practitioners were </w:t>
      </w:r>
      <w:r w:rsidR="003323A5" w:rsidRPr="00EF09FE">
        <w:rPr>
          <w:rFonts w:ascii="Times New Roman" w:hAnsi="Times New Roman" w:cs="Times New Roman"/>
          <w:sz w:val="24"/>
          <w:szCs w:val="24"/>
        </w:rPr>
        <w:t>reported</w:t>
      </w:r>
      <w:r w:rsidRPr="00EF09FE">
        <w:rPr>
          <w:rFonts w:ascii="Times New Roman" w:hAnsi="Times New Roman" w:cs="Times New Roman"/>
          <w:sz w:val="24"/>
          <w:szCs w:val="24"/>
        </w:rPr>
        <w:t xml:space="preserve"> or not, </w:t>
      </w:r>
      <w:r w:rsidRPr="00EF09FE">
        <w:rPr>
          <w:rFonts w:ascii="Times New Roman" w:hAnsi="Times New Roman" w:cs="Times New Roman"/>
          <w:sz w:val="24"/>
          <w:szCs w:val="24"/>
        </w:rPr>
        <w:sym w:font="Symbol" w:char="F063"/>
      </w:r>
      <w:r w:rsidRPr="00EF09FE">
        <w:rPr>
          <w:rFonts w:ascii="Times New Roman" w:hAnsi="Times New Roman" w:cs="Times New Roman"/>
          <w:sz w:val="24"/>
          <w:szCs w:val="24"/>
          <w:vertAlign w:val="superscript"/>
        </w:rPr>
        <w:t xml:space="preserve">2 </w:t>
      </w:r>
      <w:r w:rsidRPr="00EF09FE">
        <w:rPr>
          <w:rFonts w:ascii="Times New Roman" w:hAnsi="Times New Roman" w:cs="Times New Roman"/>
          <w:sz w:val="24"/>
          <w:szCs w:val="24"/>
        </w:rPr>
        <w:t xml:space="preserve">(1, </w:t>
      </w:r>
      <w:r w:rsidRPr="00EF09FE">
        <w:rPr>
          <w:rFonts w:ascii="Times New Roman" w:hAnsi="Times New Roman" w:cs="Times New Roman"/>
          <w:i/>
          <w:sz w:val="24"/>
          <w:szCs w:val="24"/>
        </w:rPr>
        <w:t>N</w:t>
      </w:r>
      <w:r w:rsidRPr="00EF09FE">
        <w:rPr>
          <w:rFonts w:ascii="Times New Roman" w:hAnsi="Times New Roman" w:cs="Times New Roman"/>
          <w:sz w:val="24"/>
          <w:szCs w:val="24"/>
        </w:rPr>
        <w:t xml:space="preserve"> = </w:t>
      </w:r>
      <w:r w:rsidR="00445C97" w:rsidRPr="00EF09FE">
        <w:rPr>
          <w:rFonts w:ascii="Times New Roman" w:hAnsi="Times New Roman" w:cs="Times New Roman"/>
          <w:sz w:val="24"/>
          <w:szCs w:val="24"/>
        </w:rPr>
        <w:t>1,271,944</w:t>
      </w:r>
      <w:r w:rsidRPr="00EF09FE">
        <w:rPr>
          <w:rFonts w:ascii="Times New Roman" w:hAnsi="Times New Roman" w:cs="Times New Roman"/>
          <w:sz w:val="24"/>
          <w:szCs w:val="24"/>
        </w:rPr>
        <w:t xml:space="preserve">) = </w:t>
      </w:r>
      <w:r w:rsidR="00445C97" w:rsidRPr="00EF09FE">
        <w:rPr>
          <w:rFonts w:ascii="Times New Roman" w:hAnsi="Times New Roman" w:cs="Times New Roman"/>
          <w:sz w:val="24"/>
          <w:szCs w:val="24"/>
        </w:rPr>
        <w:t>611.63</w:t>
      </w:r>
      <w:r w:rsidRPr="00EF09FE">
        <w:rPr>
          <w:rFonts w:ascii="Times New Roman" w:hAnsi="Times New Roman" w:cs="Times New Roman"/>
          <w:sz w:val="24"/>
          <w:szCs w:val="24"/>
        </w:rPr>
        <w:t xml:space="preserve">, </w:t>
      </w:r>
      <w:r w:rsidRPr="00EF09FE">
        <w:rPr>
          <w:rFonts w:ascii="Times New Roman" w:hAnsi="Times New Roman" w:cs="Times New Roman"/>
          <w:i/>
          <w:sz w:val="24"/>
          <w:szCs w:val="24"/>
        </w:rPr>
        <w:t>p</w:t>
      </w:r>
      <w:r w:rsidRPr="00EF09FE">
        <w:rPr>
          <w:rFonts w:ascii="Times New Roman" w:hAnsi="Times New Roman" w:cs="Times New Roman"/>
          <w:sz w:val="24"/>
          <w:szCs w:val="24"/>
        </w:rPr>
        <w:t xml:space="preserve"> = .000. Specifically, physicians were significantly more likely to be </w:t>
      </w:r>
      <w:r w:rsidR="00445C97" w:rsidRPr="00EF09FE">
        <w:rPr>
          <w:rFonts w:ascii="Times New Roman" w:hAnsi="Times New Roman" w:cs="Times New Roman"/>
          <w:sz w:val="24"/>
          <w:szCs w:val="24"/>
        </w:rPr>
        <w:t>reported</w:t>
      </w:r>
      <w:r w:rsidRPr="00EF09FE">
        <w:rPr>
          <w:rFonts w:ascii="Times New Roman" w:hAnsi="Times New Roman" w:cs="Times New Roman"/>
          <w:sz w:val="24"/>
          <w:szCs w:val="24"/>
        </w:rPr>
        <w:t xml:space="preserve"> versus APRNs (</w:t>
      </w:r>
      <w:r w:rsidRPr="00EF09FE">
        <w:rPr>
          <w:rFonts w:ascii="Times New Roman" w:hAnsi="Times New Roman" w:cs="Times New Roman"/>
          <w:i/>
          <w:sz w:val="24"/>
          <w:szCs w:val="24"/>
        </w:rPr>
        <w:t>B</w:t>
      </w:r>
      <w:r w:rsidRPr="00EF09FE">
        <w:rPr>
          <w:rFonts w:ascii="Times New Roman" w:hAnsi="Times New Roman" w:cs="Times New Roman"/>
          <w:sz w:val="24"/>
          <w:szCs w:val="24"/>
        </w:rPr>
        <w:t xml:space="preserve"> = 2.</w:t>
      </w:r>
      <w:r w:rsidR="00445C97" w:rsidRPr="00EF09FE">
        <w:rPr>
          <w:rFonts w:ascii="Times New Roman" w:hAnsi="Times New Roman" w:cs="Times New Roman"/>
          <w:sz w:val="24"/>
          <w:szCs w:val="24"/>
        </w:rPr>
        <w:t>27</w:t>
      </w:r>
      <w:r w:rsidRPr="00EF09FE">
        <w:rPr>
          <w:rFonts w:ascii="Times New Roman" w:hAnsi="Times New Roman" w:cs="Times New Roman"/>
          <w:sz w:val="24"/>
          <w:szCs w:val="24"/>
        </w:rPr>
        <w:t xml:space="preserve">, </w:t>
      </w:r>
      <w:r w:rsidRPr="00EF09FE">
        <w:rPr>
          <w:rFonts w:ascii="Times New Roman" w:hAnsi="Times New Roman" w:cs="Times New Roman"/>
          <w:i/>
          <w:sz w:val="24"/>
          <w:szCs w:val="24"/>
        </w:rPr>
        <w:t>SE</w:t>
      </w:r>
      <w:r w:rsidRPr="00EF09FE">
        <w:rPr>
          <w:rFonts w:ascii="Times New Roman" w:hAnsi="Times New Roman" w:cs="Times New Roman"/>
          <w:sz w:val="24"/>
          <w:szCs w:val="24"/>
        </w:rPr>
        <w:t xml:space="preserve"> = .</w:t>
      </w:r>
      <w:r w:rsidR="00445C97" w:rsidRPr="00EF09FE">
        <w:rPr>
          <w:rFonts w:ascii="Times New Roman" w:hAnsi="Times New Roman" w:cs="Times New Roman"/>
          <w:sz w:val="24"/>
          <w:szCs w:val="24"/>
        </w:rPr>
        <w:t>09</w:t>
      </w:r>
      <w:r w:rsidRPr="00EF09FE">
        <w:rPr>
          <w:rFonts w:ascii="Times New Roman" w:hAnsi="Times New Roman" w:cs="Times New Roman"/>
          <w:sz w:val="24"/>
          <w:szCs w:val="24"/>
        </w:rPr>
        <w:t xml:space="preserve">) (odds ratio, </w:t>
      </w:r>
      <w:r w:rsidR="00445C97" w:rsidRPr="00EF09FE">
        <w:rPr>
          <w:rFonts w:ascii="Times New Roman" w:hAnsi="Times New Roman" w:cs="Times New Roman"/>
          <w:sz w:val="24"/>
          <w:szCs w:val="24"/>
        </w:rPr>
        <w:t>9.70</w:t>
      </w:r>
      <w:r w:rsidRPr="00EF09FE">
        <w:rPr>
          <w:rFonts w:ascii="Times New Roman" w:hAnsi="Times New Roman" w:cs="Times New Roman"/>
          <w:sz w:val="24"/>
          <w:szCs w:val="24"/>
        </w:rPr>
        <w:t xml:space="preserve">); where physicians were </w:t>
      </w:r>
      <w:r w:rsidR="00445C97" w:rsidRPr="00EF09FE">
        <w:rPr>
          <w:rFonts w:ascii="Times New Roman" w:hAnsi="Times New Roman" w:cs="Times New Roman"/>
          <w:sz w:val="24"/>
          <w:szCs w:val="24"/>
        </w:rPr>
        <w:t>9.70</w:t>
      </w:r>
      <w:r w:rsidRPr="00EF09FE">
        <w:rPr>
          <w:rFonts w:ascii="Times New Roman" w:hAnsi="Times New Roman" w:cs="Times New Roman"/>
          <w:sz w:val="24"/>
          <w:szCs w:val="24"/>
        </w:rPr>
        <w:t xml:space="preserve"> times more likely to be </w:t>
      </w:r>
      <w:r w:rsidR="00445C97" w:rsidRPr="00EF09FE">
        <w:rPr>
          <w:rFonts w:ascii="Times New Roman" w:hAnsi="Times New Roman" w:cs="Times New Roman"/>
          <w:sz w:val="24"/>
          <w:szCs w:val="24"/>
        </w:rPr>
        <w:t>reported</w:t>
      </w:r>
      <w:r w:rsidRPr="00EF09FE">
        <w:rPr>
          <w:rFonts w:ascii="Times New Roman" w:hAnsi="Times New Roman" w:cs="Times New Roman"/>
          <w:sz w:val="24"/>
          <w:szCs w:val="24"/>
        </w:rPr>
        <w:t xml:space="preserve"> versus APRNs. </w:t>
      </w:r>
      <w:r w:rsidR="00355382">
        <w:rPr>
          <w:rFonts w:ascii="Times New Roman" w:hAnsi="Times New Roman" w:cs="Times New Roman"/>
          <w:sz w:val="24"/>
          <w:szCs w:val="24"/>
        </w:rPr>
        <w:t>Additionally, l</w:t>
      </w:r>
      <w:r w:rsidR="00E04DFF" w:rsidRPr="00EF09FE">
        <w:rPr>
          <w:rFonts w:ascii="Times New Roman" w:hAnsi="Times New Roman" w:cs="Times New Roman"/>
          <w:sz w:val="24"/>
          <w:szCs w:val="24"/>
        </w:rPr>
        <w:t xml:space="preserve">ogistic regression with dummy coding was used to investigate the effects of level of practice (i.e., physician and APRN) on </w:t>
      </w:r>
      <w:r w:rsidR="003323A5" w:rsidRPr="00EF09FE">
        <w:rPr>
          <w:rFonts w:ascii="Times New Roman" w:hAnsi="Times New Roman" w:cs="Times New Roman"/>
          <w:sz w:val="24"/>
          <w:szCs w:val="24"/>
        </w:rPr>
        <w:t>HIPDB</w:t>
      </w:r>
      <w:r w:rsidR="00E04DFF" w:rsidRPr="00EF09FE">
        <w:rPr>
          <w:rFonts w:ascii="Times New Roman" w:hAnsi="Times New Roman" w:cs="Times New Roman"/>
          <w:sz w:val="24"/>
          <w:szCs w:val="24"/>
        </w:rPr>
        <w:t xml:space="preserve"> reporting (i.e., reported or not reported). </w:t>
      </w:r>
      <w:r w:rsidR="003323A5" w:rsidRPr="00EF09FE">
        <w:rPr>
          <w:rFonts w:ascii="Times New Roman" w:hAnsi="Times New Roman" w:cs="Times New Roman"/>
          <w:sz w:val="24"/>
          <w:szCs w:val="24"/>
        </w:rPr>
        <w:t>R</w:t>
      </w:r>
      <w:r w:rsidR="00E04DFF" w:rsidRPr="00EF09FE">
        <w:rPr>
          <w:rFonts w:ascii="Times New Roman" w:hAnsi="Times New Roman" w:cs="Times New Roman"/>
          <w:sz w:val="24"/>
          <w:szCs w:val="24"/>
        </w:rPr>
        <w:t>esults</w:t>
      </w:r>
      <w:r w:rsidR="00EF09FE" w:rsidRPr="00EF09FE">
        <w:rPr>
          <w:rFonts w:ascii="Times New Roman" w:hAnsi="Times New Roman" w:cs="Times New Roman"/>
          <w:sz w:val="24"/>
          <w:szCs w:val="24"/>
        </w:rPr>
        <w:t xml:space="preserve"> </w:t>
      </w:r>
      <w:r w:rsidR="00E04DFF" w:rsidRPr="00EF09FE">
        <w:rPr>
          <w:rFonts w:ascii="Times New Roman" w:hAnsi="Times New Roman" w:cs="Times New Roman"/>
          <w:sz w:val="24"/>
          <w:szCs w:val="24"/>
        </w:rPr>
        <w:t xml:space="preserve">indicated that level of practice reliably </w:t>
      </w:r>
      <w:r w:rsidR="00E04DFF" w:rsidRPr="00EF09FE">
        <w:rPr>
          <w:rFonts w:ascii="Times New Roman" w:hAnsi="Times New Roman" w:cs="Times New Roman"/>
          <w:sz w:val="24"/>
          <w:szCs w:val="24"/>
        </w:rPr>
        <w:lastRenderedPageBreak/>
        <w:t xml:space="preserve">distinguished whether practitioners were </w:t>
      </w:r>
      <w:r w:rsidR="003323A5" w:rsidRPr="00EF09FE">
        <w:rPr>
          <w:rFonts w:ascii="Times New Roman" w:hAnsi="Times New Roman" w:cs="Times New Roman"/>
          <w:sz w:val="24"/>
          <w:szCs w:val="24"/>
        </w:rPr>
        <w:t>reported</w:t>
      </w:r>
      <w:r w:rsidR="00E04DFF" w:rsidRPr="00EF09FE">
        <w:rPr>
          <w:rFonts w:ascii="Times New Roman" w:hAnsi="Times New Roman" w:cs="Times New Roman"/>
          <w:sz w:val="24"/>
          <w:szCs w:val="24"/>
        </w:rPr>
        <w:t xml:space="preserve"> or not, </w:t>
      </w:r>
      <w:r w:rsidR="00E04DFF" w:rsidRPr="00EF09FE">
        <w:rPr>
          <w:rFonts w:ascii="Times New Roman" w:hAnsi="Times New Roman" w:cs="Times New Roman"/>
          <w:sz w:val="24"/>
          <w:szCs w:val="24"/>
        </w:rPr>
        <w:sym w:font="Symbol" w:char="F063"/>
      </w:r>
      <w:r w:rsidR="00E04DFF" w:rsidRPr="00EF09FE">
        <w:rPr>
          <w:rFonts w:ascii="Times New Roman" w:hAnsi="Times New Roman" w:cs="Times New Roman"/>
          <w:sz w:val="24"/>
          <w:szCs w:val="24"/>
          <w:vertAlign w:val="superscript"/>
        </w:rPr>
        <w:t xml:space="preserve">2 </w:t>
      </w:r>
      <w:r w:rsidR="00E04DFF" w:rsidRPr="00EF09FE">
        <w:rPr>
          <w:rFonts w:ascii="Times New Roman" w:hAnsi="Times New Roman" w:cs="Times New Roman"/>
          <w:sz w:val="24"/>
          <w:szCs w:val="24"/>
        </w:rPr>
        <w:t xml:space="preserve">(1, </w:t>
      </w:r>
      <w:r w:rsidR="00E04DFF" w:rsidRPr="00EF09FE">
        <w:rPr>
          <w:rFonts w:ascii="Times New Roman" w:hAnsi="Times New Roman" w:cs="Times New Roman"/>
          <w:i/>
          <w:sz w:val="24"/>
          <w:szCs w:val="24"/>
        </w:rPr>
        <w:t>N</w:t>
      </w:r>
      <w:r w:rsidR="00E04DFF" w:rsidRPr="00EF09FE">
        <w:rPr>
          <w:rFonts w:ascii="Times New Roman" w:hAnsi="Times New Roman" w:cs="Times New Roman"/>
          <w:sz w:val="24"/>
          <w:szCs w:val="24"/>
        </w:rPr>
        <w:t xml:space="preserve"> = 1,271,944) = </w:t>
      </w:r>
      <w:r w:rsidR="00F11EC5" w:rsidRPr="00EF09FE">
        <w:rPr>
          <w:rFonts w:ascii="Times New Roman" w:hAnsi="Times New Roman" w:cs="Times New Roman"/>
          <w:sz w:val="24"/>
          <w:szCs w:val="24"/>
        </w:rPr>
        <w:t>217.71</w:t>
      </w:r>
      <w:r w:rsidR="00E04DFF" w:rsidRPr="00EF09FE">
        <w:rPr>
          <w:rFonts w:ascii="Times New Roman" w:hAnsi="Times New Roman" w:cs="Times New Roman"/>
          <w:sz w:val="24"/>
          <w:szCs w:val="24"/>
        </w:rPr>
        <w:t xml:space="preserve">, </w:t>
      </w:r>
      <w:r w:rsidR="00E04DFF" w:rsidRPr="00EF09FE">
        <w:rPr>
          <w:rFonts w:ascii="Times New Roman" w:hAnsi="Times New Roman" w:cs="Times New Roman"/>
          <w:i/>
          <w:sz w:val="24"/>
          <w:szCs w:val="24"/>
        </w:rPr>
        <w:t>p</w:t>
      </w:r>
      <w:r w:rsidR="00E04DFF" w:rsidRPr="00EF09FE">
        <w:rPr>
          <w:rFonts w:ascii="Times New Roman" w:hAnsi="Times New Roman" w:cs="Times New Roman"/>
          <w:sz w:val="24"/>
          <w:szCs w:val="24"/>
        </w:rPr>
        <w:t xml:space="preserve"> = .000. Specifically, physicians were significantly more likely to be reported versus APRNs (</w:t>
      </w:r>
      <w:r w:rsidR="00E04DFF" w:rsidRPr="00EF09FE">
        <w:rPr>
          <w:rFonts w:ascii="Times New Roman" w:hAnsi="Times New Roman" w:cs="Times New Roman"/>
          <w:i/>
          <w:sz w:val="24"/>
          <w:szCs w:val="24"/>
        </w:rPr>
        <w:t>B</w:t>
      </w:r>
      <w:r w:rsidR="00E04DFF" w:rsidRPr="00EF09FE">
        <w:rPr>
          <w:rFonts w:ascii="Times New Roman" w:hAnsi="Times New Roman" w:cs="Times New Roman"/>
          <w:sz w:val="24"/>
          <w:szCs w:val="24"/>
        </w:rPr>
        <w:t xml:space="preserve"> = </w:t>
      </w:r>
      <w:r w:rsidR="00F11EC5" w:rsidRPr="00EF09FE">
        <w:rPr>
          <w:rFonts w:ascii="Times New Roman" w:hAnsi="Times New Roman" w:cs="Times New Roman"/>
          <w:sz w:val="24"/>
          <w:szCs w:val="24"/>
        </w:rPr>
        <w:t>1.89</w:t>
      </w:r>
      <w:r w:rsidR="00E04DFF" w:rsidRPr="00EF09FE">
        <w:rPr>
          <w:rFonts w:ascii="Times New Roman" w:hAnsi="Times New Roman" w:cs="Times New Roman"/>
          <w:sz w:val="24"/>
          <w:szCs w:val="24"/>
        </w:rPr>
        <w:t xml:space="preserve">, </w:t>
      </w:r>
      <w:r w:rsidR="00E04DFF" w:rsidRPr="00EF09FE">
        <w:rPr>
          <w:rFonts w:ascii="Times New Roman" w:hAnsi="Times New Roman" w:cs="Times New Roman"/>
          <w:i/>
          <w:sz w:val="24"/>
          <w:szCs w:val="24"/>
        </w:rPr>
        <w:t>SE</w:t>
      </w:r>
      <w:r w:rsidR="00E04DFF" w:rsidRPr="00EF09FE">
        <w:rPr>
          <w:rFonts w:ascii="Times New Roman" w:hAnsi="Times New Roman" w:cs="Times New Roman"/>
          <w:sz w:val="24"/>
          <w:szCs w:val="24"/>
        </w:rPr>
        <w:t xml:space="preserve"> = .</w:t>
      </w:r>
      <w:r w:rsidR="00F11EC5" w:rsidRPr="00EF09FE">
        <w:rPr>
          <w:rFonts w:ascii="Times New Roman" w:hAnsi="Times New Roman" w:cs="Times New Roman"/>
          <w:sz w:val="24"/>
          <w:szCs w:val="24"/>
        </w:rPr>
        <w:t>13</w:t>
      </w:r>
      <w:r w:rsidR="00E04DFF" w:rsidRPr="00EF09FE">
        <w:rPr>
          <w:rFonts w:ascii="Times New Roman" w:hAnsi="Times New Roman" w:cs="Times New Roman"/>
          <w:sz w:val="24"/>
          <w:szCs w:val="24"/>
        </w:rPr>
        <w:t xml:space="preserve">) (odds ratio, </w:t>
      </w:r>
      <w:r w:rsidR="00F11EC5" w:rsidRPr="00EF09FE">
        <w:rPr>
          <w:rFonts w:ascii="Times New Roman" w:hAnsi="Times New Roman" w:cs="Times New Roman"/>
          <w:sz w:val="24"/>
          <w:szCs w:val="24"/>
        </w:rPr>
        <w:t>6.59</w:t>
      </w:r>
      <w:r w:rsidR="00E04DFF" w:rsidRPr="00EF09FE">
        <w:rPr>
          <w:rFonts w:ascii="Times New Roman" w:hAnsi="Times New Roman" w:cs="Times New Roman"/>
          <w:sz w:val="24"/>
          <w:szCs w:val="24"/>
        </w:rPr>
        <w:t xml:space="preserve">); where physicians were </w:t>
      </w:r>
      <w:r w:rsidR="00F11EC5" w:rsidRPr="00EF09FE">
        <w:rPr>
          <w:rFonts w:ascii="Times New Roman" w:hAnsi="Times New Roman" w:cs="Times New Roman"/>
          <w:sz w:val="24"/>
          <w:szCs w:val="24"/>
        </w:rPr>
        <w:t>6.59</w:t>
      </w:r>
      <w:r w:rsidR="00E04DFF" w:rsidRPr="00EF09FE">
        <w:rPr>
          <w:rFonts w:ascii="Times New Roman" w:hAnsi="Times New Roman" w:cs="Times New Roman"/>
          <w:sz w:val="24"/>
          <w:szCs w:val="24"/>
        </w:rPr>
        <w:t xml:space="preserve"> times more likely to be reported versus APRNs. </w:t>
      </w:r>
    </w:p>
    <w:p w:rsidR="007C4A6F" w:rsidRDefault="00EF09FE" w:rsidP="00355382">
      <w:pPr>
        <w:spacing w:line="480" w:lineRule="auto"/>
        <w:ind w:firstLine="720"/>
        <w:rPr>
          <w:rFonts w:ascii="Times New Roman" w:hAnsi="Times New Roman" w:cs="Times New Roman"/>
        </w:rPr>
      </w:pPr>
      <w:r w:rsidRPr="00EF09FE">
        <w:rPr>
          <w:rFonts w:ascii="Times New Roman" w:hAnsi="Times New Roman" w:cs="Times New Roman"/>
          <w:sz w:val="24"/>
          <w:szCs w:val="24"/>
        </w:rPr>
        <w:t>D</w:t>
      </w:r>
      <w:r w:rsidR="007C4A6F" w:rsidRPr="00EF09FE">
        <w:rPr>
          <w:rFonts w:ascii="Times New Roman" w:hAnsi="Times New Roman" w:cs="Times New Roman"/>
          <w:sz w:val="24"/>
          <w:szCs w:val="24"/>
        </w:rPr>
        <w:t>espite these significant differences, unlike comparing independent</w:t>
      </w:r>
      <w:r w:rsidRPr="00EF09FE">
        <w:rPr>
          <w:rFonts w:ascii="Times New Roman" w:hAnsi="Times New Roman" w:cs="Times New Roman"/>
          <w:sz w:val="24"/>
          <w:szCs w:val="24"/>
        </w:rPr>
        <w:t>, collaborative, and supervised</w:t>
      </w:r>
      <w:r w:rsidR="007C4A6F" w:rsidRPr="00EF09FE">
        <w:rPr>
          <w:rFonts w:ascii="Times New Roman" w:hAnsi="Times New Roman" w:cs="Times New Roman"/>
          <w:sz w:val="24"/>
          <w:szCs w:val="24"/>
        </w:rPr>
        <w:t xml:space="preserve"> APRN practitioners</w:t>
      </w:r>
      <w:r w:rsidRPr="00EF09FE">
        <w:rPr>
          <w:rFonts w:ascii="Times New Roman" w:hAnsi="Times New Roman" w:cs="Times New Roman"/>
          <w:sz w:val="24"/>
          <w:szCs w:val="24"/>
        </w:rPr>
        <w:t xml:space="preserve"> – </w:t>
      </w:r>
      <w:r w:rsidR="007C4A6F" w:rsidRPr="00EF09FE">
        <w:rPr>
          <w:rFonts w:ascii="Times New Roman" w:hAnsi="Times New Roman" w:cs="Times New Roman"/>
          <w:sz w:val="24"/>
          <w:szCs w:val="24"/>
        </w:rPr>
        <w:t xml:space="preserve">which </w:t>
      </w:r>
      <w:r w:rsidRPr="00EF09FE">
        <w:rPr>
          <w:rFonts w:ascii="Times New Roman" w:hAnsi="Times New Roman" w:cs="Times New Roman"/>
          <w:sz w:val="24"/>
          <w:szCs w:val="24"/>
        </w:rPr>
        <w:t xml:space="preserve">are similar </w:t>
      </w:r>
      <w:proofErr w:type="gramStart"/>
      <w:r w:rsidRPr="00EF09FE">
        <w:rPr>
          <w:rFonts w:ascii="Times New Roman" w:hAnsi="Times New Roman" w:cs="Times New Roman"/>
          <w:sz w:val="24"/>
          <w:szCs w:val="24"/>
        </w:rPr>
        <w:t>roles.</w:t>
      </w:r>
      <w:proofErr w:type="gramEnd"/>
      <w:r w:rsidRPr="00EF09FE">
        <w:rPr>
          <w:rFonts w:ascii="Times New Roman" w:hAnsi="Times New Roman" w:cs="Times New Roman"/>
          <w:sz w:val="24"/>
          <w:szCs w:val="24"/>
        </w:rPr>
        <w:t xml:space="preserve"> P</w:t>
      </w:r>
      <w:r w:rsidR="007C4A6F" w:rsidRPr="00EF09FE">
        <w:rPr>
          <w:rFonts w:ascii="Times New Roman" w:hAnsi="Times New Roman" w:cs="Times New Roman"/>
          <w:sz w:val="24"/>
          <w:szCs w:val="24"/>
        </w:rPr>
        <w:t>hysicians and APRNs have different roles</w:t>
      </w:r>
      <w:r w:rsidRPr="00EF09FE">
        <w:rPr>
          <w:rFonts w:ascii="Times New Roman" w:hAnsi="Times New Roman" w:cs="Times New Roman"/>
          <w:sz w:val="24"/>
          <w:szCs w:val="24"/>
        </w:rPr>
        <w:t xml:space="preserve"> and requirements (e.g., physicians </w:t>
      </w:r>
      <w:r w:rsidR="00355382">
        <w:rPr>
          <w:rFonts w:ascii="Times New Roman" w:hAnsi="Times New Roman" w:cs="Times New Roman"/>
          <w:sz w:val="24"/>
          <w:szCs w:val="24"/>
        </w:rPr>
        <w:t xml:space="preserve">may </w:t>
      </w:r>
      <w:r w:rsidRPr="00EF09FE">
        <w:rPr>
          <w:rFonts w:ascii="Times New Roman" w:hAnsi="Times New Roman" w:cs="Times New Roman"/>
          <w:sz w:val="24"/>
          <w:szCs w:val="24"/>
        </w:rPr>
        <w:t>take more difficult/serious cases)</w:t>
      </w:r>
      <w:r w:rsidR="007C4A6F" w:rsidRPr="00EF09FE">
        <w:rPr>
          <w:rFonts w:ascii="Times New Roman" w:hAnsi="Times New Roman" w:cs="Times New Roman"/>
          <w:sz w:val="24"/>
          <w:szCs w:val="24"/>
        </w:rPr>
        <w:t xml:space="preserve">, which may explain </w:t>
      </w:r>
      <w:r w:rsidRPr="00EF09FE">
        <w:rPr>
          <w:rFonts w:ascii="Times New Roman" w:hAnsi="Times New Roman" w:cs="Times New Roman"/>
          <w:sz w:val="24"/>
          <w:szCs w:val="24"/>
        </w:rPr>
        <w:t>any difference</w:t>
      </w:r>
      <w:r w:rsidR="007C4A6F" w:rsidRPr="00EF09FE">
        <w:rPr>
          <w:rFonts w:ascii="Times New Roman" w:hAnsi="Times New Roman" w:cs="Times New Roman"/>
          <w:sz w:val="24"/>
          <w:szCs w:val="24"/>
        </w:rPr>
        <w:t xml:space="preserve"> in </w:t>
      </w:r>
      <w:r w:rsidR="00C83FD8" w:rsidRPr="00EF09FE">
        <w:rPr>
          <w:rFonts w:ascii="Times New Roman" w:hAnsi="Times New Roman" w:cs="Times New Roman"/>
          <w:sz w:val="24"/>
          <w:szCs w:val="24"/>
        </w:rPr>
        <w:t>reporting</w:t>
      </w:r>
      <w:r w:rsidR="007C4A6F" w:rsidRPr="00EF09FE">
        <w:rPr>
          <w:rFonts w:ascii="Times New Roman" w:hAnsi="Times New Roman" w:cs="Times New Roman"/>
          <w:sz w:val="24"/>
          <w:szCs w:val="24"/>
        </w:rPr>
        <w:t xml:space="preserve"> rates. </w:t>
      </w:r>
    </w:p>
    <w:p w:rsidR="00355382" w:rsidRPr="00355382" w:rsidRDefault="00355382" w:rsidP="00355382">
      <w:pPr>
        <w:spacing w:line="480" w:lineRule="auto"/>
        <w:ind w:firstLine="720"/>
        <w:rPr>
          <w:rFonts w:ascii="Times New Roman" w:hAnsi="Times New Roman" w:cs="Times New Roman"/>
        </w:rPr>
      </w:pPr>
    </w:p>
    <w:p w:rsidR="00AA6835" w:rsidRPr="00034B4E" w:rsidRDefault="00E77EF6" w:rsidP="00AA6835">
      <w:pPr>
        <w:ind w:firstLine="720"/>
        <w:rPr>
          <w:rFonts w:ascii="Times New Roman" w:hAnsi="Times New Roman" w:cs="Times New Roman"/>
          <w:sz w:val="20"/>
          <w:szCs w:val="20"/>
        </w:rPr>
      </w:pPr>
      <w:proofErr w:type="gramStart"/>
      <w:r>
        <w:rPr>
          <w:rFonts w:ascii="Times New Roman" w:hAnsi="Times New Roman" w:cs="Times New Roman"/>
          <w:sz w:val="20"/>
          <w:szCs w:val="20"/>
        </w:rPr>
        <w:t>Table 9</w:t>
      </w:r>
      <w:r w:rsidR="00AA6835" w:rsidRPr="00034B4E">
        <w:rPr>
          <w:rFonts w:ascii="Times New Roman" w:hAnsi="Times New Roman" w:cs="Times New Roman"/>
          <w:sz w:val="20"/>
          <w:szCs w:val="20"/>
        </w:rPr>
        <w:t>.</w:t>
      </w:r>
      <w:proofErr w:type="gramEnd"/>
      <w:r w:rsidR="00AA6835" w:rsidRPr="00034B4E">
        <w:rPr>
          <w:rFonts w:ascii="Times New Roman" w:hAnsi="Times New Roman" w:cs="Times New Roman"/>
          <w:sz w:val="20"/>
          <w:szCs w:val="20"/>
        </w:rPr>
        <w:t xml:space="preserve"> NPDB and HIPDB reports by state for APRNs and physicians*</w:t>
      </w:r>
    </w:p>
    <w:tbl>
      <w:tblPr>
        <w:tblW w:w="8460" w:type="dxa"/>
        <w:jc w:val="center"/>
        <w:tblInd w:w="378" w:type="dxa"/>
        <w:tblLayout w:type="fixed"/>
        <w:tblLook w:val="04A0"/>
      </w:tblPr>
      <w:tblGrid>
        <w:gridCol w:w="810"/>
        <w:gridCol w:w="1350"/>
        <w:gridCol w:w="1260"/>
        <w:gridCol w:w="1260"/>
        <w:gridCol w:w="1260"/>
        <w:gridCol w:w="1260"/>
        <w:gridCol w:w="1260"/>
      </w:tblGrid>
      <w:tr w:rsidR="00AA6835" w:rsidRPr="00034B4E" w:rsidTr="00716C07">
        <w:trPr>
          <w:trHeight w:val="737"/>
          <w:jc w:val="center"/>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State</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Number of APRNs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Number of physicians</w:t>
            </w:r>
            <w:r w:rsidRPr="002550F5">
              <w:rPr>
                <w:rFonts w:ascii="Times New Roman" w:hAnsi="Times New Roman" w:cs="Times New Roman"/>
                <w:sz w:val="20"/>
                <w:szCs w:val="20"/>
                <w:vertAlign w:val="superscript"/>
              </w:rP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NPDB all APRNs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NPDB all physicians</w:t>
            </w:r>
            <w:r w:rsidRPr="002550F5">
              <w:rPr>
                <w:rFonts w:ascii="Times New Roman" w:hAnsi="Times New Roman" w:cs="Times New Roman"/>
                <w:sz w:val="20"/>
                <w:szCs w:val="20"/>
                <w:vertAlign w:val="superscript"/>
              </w:rP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HIPDB all APRNs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HIPDB all physicians</w:t>
            </w:r>
            <w:r w:rsidRPr="002550F5">
              <w:rPr>
                <w:rFonts w:ascii="Times New Roman" w:hAnsi="Times New Roman" w:cs="Times New Roman"/>
                <w:sz w:val="20"/>
                <w:szCs w:val="20"/>
                <w:vertAlign w:val="superscript"/>
              </w:rPr>
              <w:t>~</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AK</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767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1783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15</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AL</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3223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12545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AR</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1616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7254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AZ</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1825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19348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94</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CA</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21534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126893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695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246</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CO</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5125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16775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65</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CT</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3092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16568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16</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DC</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1237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5432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DE</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981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2912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FL</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7051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65122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435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81</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GA</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6787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25306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138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46</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HI</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1037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5028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15</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IA</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1371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8280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27</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ID</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1045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3522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IL</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6679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45705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184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129</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IN</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2841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17802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32</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KS</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3270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8587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19</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KY</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3609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12408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114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51</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LA</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3507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14108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180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27</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MA</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8460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37284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188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27</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MD</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4282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27450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41</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ME</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1659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5353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lastRenderedPageBreak/>
              <w:t>MI</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6203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36450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192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51</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MN</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4429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18979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26</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MO</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5460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19575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42</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MS</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2519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6619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MT</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795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2914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NC</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7515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28995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53</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ND</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670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1938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NE</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1498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5540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NH</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1409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4974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8</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NJ</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5509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36036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273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62</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NM</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1055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6064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27</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NV</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754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6524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22</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NY</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14000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94836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590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122</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OH</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8650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41763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232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147</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OK</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1831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9626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OR</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3058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13947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29</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PA</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6637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53564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320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94</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RI</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927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4938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17</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SC</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4418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12910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SD</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862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2259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TN</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7213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20174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67</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TX</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13395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65622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286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106</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UT</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1856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7233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11</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VA</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7878</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26402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164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103</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VT</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1134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2980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WA</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4553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22791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113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64</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WI</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179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18703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28</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WV</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1131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5813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62</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28</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WY</w:t>
            </w: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423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1351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3</w:t>
            </w:r>
          </w:p>
        </w:tc>
      </w:tr>
      <w:tr w:rsidR="00AA6835" w:rsidRPr="00034B4E" w:rsidTr="00716C07">
        <w:trPr>
          <w:trHeight w:val="30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p>
        </w:tc>
        <w:tc>
          <w:tcPr>
            <w:tcW w:w="135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206,959</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1650B7" w:rsidP="00716C07">
            <w:pPr>
              <w:jc w:val="center"/>
              <w:rPr>
                <w:rFonts w:ascii="Times New Roman" w:hAnsi="Times New Roman" w:cs="Times New Roman"/>
                <w:color w:val="000000"/>
                <w:sz w:val="20"/>
                <w:szCs w:val="20"/>
              </w:rPr>
            </w:pPr>
            <w:r>
              <w:rPr>
                <w:rFonts w:ascii="Times New Roman" w:hAnsi="Times New Roman" w:cs="Times New Roman"/>
                <w:color w:val="000000"/>
                <w:sz w:val="20"/>
                <w:szCs w:val="20"/>
              </w:rPr>
              <w:t>1,06</w:t>
            </w:r>
            <w:r w:rsidR="00AA6835" w:rsidRPr="002550F5">
              <w:rPr>
                <w:rFonts w:ascii="Times New Roman" w:hAnsi="Times New Roman" w:cs="Times New Roman"/>
                <w:color w:val="000000"/>
                <w:sz w:val="20"/>
                <w:szCs w:val="20"/>
              </w:rPr>
              <w:t>4</w:t>
            </w:r>
            <w:r>
              <w:rPr>
                <w:rFonts w:ascii="Times New Roman" w:hAnsi="Times New Roman" w:cs="Times New Roman"/>
                <w:color w:val="000000"/>
                <w:sz w:val="20"/>
                <w:szCs w:val="20"/>
              </w:rPr>
              <w:t>,</w:t>
            </w:r>
            <w:r w:rsidR="00AA6835" w:rsidRPr="002550F5">
              <w:rPr>
                <w:rFonts w:ascii="Times New Roman" w:hAnsi="Times New Roman" w:cs="Times New Roman"/>
                <w:color w:val="000000"/>
                <w:sz w:val="20"/>
                <w:szCs w:val="20"/>
              </w:rPr>
              <w:t>985</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121</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6006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63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AA6835" w:rsidP="00716C07">
            <w:pPr>
              <w:jc w:val="center"/>
              <w:rPr>
                <w:rFonts w:ascii="Times New Roman" w:hAnsi="Times New Roman" w:cs="Times New Roman"/>
                <w:color w:val="000000"/>
                <w:sz w:val="20"/>
                <w:szCs w:val="20"/>
              </w:rPr>
            </w:pPr>
            <w:r w:rsidRPr="002550F5">
              <w:rPr>
                <w:rFonts w:ascii="Times New Roman" w:hAnsi="Times New Roman" w:cs="Times New Roman"/>
                <w:color w:val="000000"/>
                <w:sz w:val="20"/>
                <w:szCs w:val="20"/>
              </w:rPr>
              <w:t>2135</w:t>
            </w:r>
          </w:p>
        </w:tc>
      </w:tr>
      <w:tr w:rsidR="00AA6835" w:rsidRPr="00034B4E" w:rsidTr="00716C07">
        <w:trPr>
          <w:trHeight w:val="300"/>
          <w:jc w:val="center"/>
        </w:trPr>
        <w:tc>
          <w:tcPr>
            <w:tcW w:w="3420" w:type="dxa"/>
            <w:gridSpan w:val="3"/>
            <w:tcBorders>
              <w:top w:val="nil"/>
              <w:left w:val="single" w:sz="4" w:space="0" w:color="auto"/>
              <w:bottom w:val="single" w:sz="4" w:space="0" w:color="auto"/>
              <w:right w:val="single" w:sz="4" w:space="0" w:color="auto"/>
            </w:tcBorders>
            <w:shd w:val="clear" w:color="auto" w:fill="auto"/>
            <w:noWrap/>
            <w:vAlign w:val="center"/>
            <w:hideMark/>
          </w:tcPr>
          <w:p w:rsidR="00AA6835" w:rsidRPr="002550F5" w:rsidRDefault="001650B7" w:rsidP="00716C07">
            <w:pPr>
              <w:jc w:val="center"/>
              <w:rPr>
                <w:rFonts w:ascii="Times New Roman" w:hAnsi="Times New Roman" w:cs="Times New Roman"/>
                <w:color w:val="000000"/>
                <w:sz w:val="20"/>
                <w:szCs w:val="20"/>
              </w:rPr>
            </w:pPr>
            <w:r>
              <w:rPr>
                <w:rFonts w:ascii="Times New Roman" w:hAnsi="Times New Roman" w:cs="Times New Roman"/>
                <w:color w:val="000000"/>
                <w:sz w:val="20"/>
                <w:szCs w:val="20"/>
              </w:rPr>
              <w:t>Rate</w:t>
            </w:r>
            <w:r w:rsidR="00AA6835" w:rsidRPr="002550F5">
              <w:rPr>
                <w:rFonts w:ascii="Times New Roman" w:hAnsi="Times New Roman" w:cs="Times New Roman"/>
                <w:color w:val="000000"/>
                <w:sz w:val="20"/>
                <w:szCs w:val="20"/>
              </w:rPr>
              <w:t xml:space="preserve"> of discipline:</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1650B7" w:rsidP="00716C07">
            <w:pPr>
              <w:jc w:val="center"/>
              <w:rPr>
                <w:rFonts w:ascii="Times New Roman" w:hAnsi="Times New Roman" w:cs="Times New Roman"/>
                <w:color w:val="000000"/>
                <w:sz w:val="20"/>
                <w:szCs w:val="20"/>
              </w:rPr>
            </w:pPr>
            <w:r>
              <w:rPr>
                <w:rFonts w:ascii="Times New Roman" w:hAnsi="Times New Roman" w:cs="Times New Roman"/>
                <w:color w:val="000000"/>
                <w:sz w:val="20"/>
                <w:szCs w:val="20"/>
              </w:rPr>
              <w:t>0.06%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1650B7" w:rsidP="00716C07">
            <w:pPr>
              <w:jc w:val="center"/>
              <w:rPr>
                <w:rFonts w:ascii="Times New Roman" w:hAnsi="Times New Roman" w:cs="Times New Roman"/>
                <w:color w:val="000000"/>
                <w:sz w:val="20"/>
                <w:szCs w:val="20"/>
              </w:rPr>
            </w:pPr>
            <w:r>
              <w:rPr>
                <w:rFonts w:ascii="Times New Roman" w:hAnsi="Times New Roman" w:cs="Times New Roman"/>
                <w:color w:val="000000"/>
                <w:sz w:val="20"/>
                <w:szCs w:val="20"/>
              </w:rPr>
              <w:t>0.56%</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1650B7" w:rsidP="00716C07">
            <w:pPr>
              <w:jc w:val="center"/>
              <w:rPr>
                <w:rFonts w:ascii="Times New Roman" w:hAnsi="Times New Roman" w:cs="Times New Roman"/>
                <w:color w:val="000000"/>
                <w:sz w:val="20"/>
                <w:szCs w:val="20"/>
              </w:rPr>
            </w:pPr>
            <w:r>
              <w:rPr>
                <w:rFonts w:ascii="Times New Roman" w:hAnsi="Times New Roman" w:cs="Times New Roman"/>
                <w:color w:val="000000"/>
                <w:sz w:val="20"/>
                <w:szCs w:val="20"/>
              </w:rPr>
              <w:t>0.03%</w:t>
            </w:r>
          </w:p>
        </w:tc>
        <w:tc>
          <w:tcPr>
            <w:tcW w:w="1260" w:type="dxa"/>
            <w:tcBorders>
              <w:top w:val="nil"/>
              <w:left w:val="nil"/>
              <w:bottom w:val="single" w:sz="4" w:space="0" w:color="auto"/>
              <w:right w:val="single" w:sz="4" w:space="0" w:color="auto"/>
            </w:tcBorders>
            <w:shd w:val="clear" w:color="auto" w:fill="auto"/>
            <w:noWrap/>
            <w:vAlign w:val="center"/>
            <w:hideMark/>
          </w:tcPr>
          <w:p w:rsidR="00AA6835" w:rsidRPr="002550F5" w:rsidRDefault="001650B7" w:rsidP="00716C07">
            <w:pPr>
              <w:jc w:val="center"/>
              <w:rPr>
                <w:rFonts w:ascii="Times New Roman" w:hAnsi="Times New Roman" w:cs="Times New Roman"/>
                <w:color w:val="000000"/>
                <w:sz w:val="20"/>
                <w:szCs w:val="20"/>
              </w:rPr>
            </w:pPr>
            <w:r>
              <w:rPr>
                <w:rFonts w:ascii="Times New Roman" w:hAnsi="Times New Roman" w:cs="Times New Roman"/>
                <w:color w:val="000000"/>
                <w:sz w:val="20"/>
                <w:szCs w:val="20"/>
              </w:rPr>
              <w:t>0.20%</w:t>
            </w:r>
          </w:p>
        </w:tc>
      </w:tr>
    </w:tbl>
    <w:p w:rsidR="00AA6835" w:rsidRPr="00034B4E" w:rsidRDefault="00AA6835" w:rsidP="00AA6835">
      <w:pPr>
        <w:ind w:firstLine="720"/>
        <w:rPr>
          <w:rFonts w:ascii="Times New Roman" w:hAnsi="Times New Roman" w:cs="Times New Roman"/>
          <w:sz w:val="18"/>
          <w:szCs w:val="18"/>
        </w:rPr>
      </w:pPr>
      <w:r w:rsidRPr="00034B4E">
        <w:rPr>
          <w:rFonts w:ascii="Times New Roman" w:hAnsi="Times New Roman" w:cs="Times New Roman"/>
          <w:sz w:val="18"/>
          <w:szCs w:val="18"/>
        </w:rPr>
        <w:t>*NPDB and HIPDB data were obtained from a 5 month period August 1, 2009-January 3, 2010.</w:t>
      </w:r>
    </w:p>
    <w:p w:rsidR="00AA6835" w:rsidRPr="00034B4E" w:rsidRDefault="00AA6835" w:rsidP="00AA6835">
      <w:pPr>
        <w:ind w:firstLine="720"/>
        <w:rPr>
          <w:rFonts w:ascii="Times New Roman" w:hAnsi="Times New Roman" w:cs="Times New Roman"/>
          <w:sz w:val="18"/>
          <w:szCs w:val="18"/>
        </w:rPr>
      </w:pPr>
      <w:r w:rsidRPr="00034B4E">
        <w:rPr>
          <w:rFonts w:ascii="Times New Roman" w:hAnsi="Times New Roman" w:cs="Times New Roman"/>
          <w:sz w:val="18"/>
          <w:szCs w:val="18"/>
          <w:vertAlign w:val="superscript"/>
        </w:rPr>
        <w:t>~</w:t>
      </w:r>
      <w:r w:rsidRPr="00034B4E">
        <w:rPr>
          <w:rFonts w:ascii="Times New Roman" w:hAnsi="Times New Roman" w:cs="Times New Roman"/>
          <w:sz w:val="18"/>
          <w:szCs w:val="18"/>
        </w:rPr>
        <w:t>P</w:t>
      </w:r>
      <w:r>
        <w:rPr>
          <w:rFonts w:ascii="Times New Roman" w:hAnsi="Times New Roman" w:cs="Times New Roman"/>
          <w:sz w:val="18"/>
          <w:szCs w:val="18"/>
        </w:rPr>
        <w:t>hysicians include MDs, DOs,</w:t>
      </w:r>
      <w:r w:rsidRPr="00034B4E">
        <w:rPr>
          <w:rFonts w:ascii="Times New Roman" w:hAnsi="Times New Roman" w:cs="Times New Roman"/>
          <w:sz w:val="18"/>
          <w:szCs w:val="18"/>
        </w:rPr>
        <w:t xml:space="preserve"> resident MD</w:t>
      </w:r>
      <w:r>
        <w:rPr>
          <w:rFonts w:ascii="Times New Roman" w:hAnsi="Times New Roman" w:cs="Times New Roman"/>
          <w:sz w:val="18"/>
          <w:szCs w:val="18"/>
        </w:rPr>
        <w:t>s</w:t>
      </w:r>
      <w:r w:rsidRPr="00034B4E">
        <w:rPr>
          <w:rFonts w:ascii="Times New Roman" w:hAnsi="Times New Roman" w:cs="Times New Roman"/>
          <w:sz w:val="18"/>
          <w:szCs w:val="18"/>
        </w:rPr>
        <w:t xml:space="preserve"> and resident DOs.</w:t>
      </w:r>
    </w:p>
    <w:p w:rsidR="00AA6835" w:rsidRPr="00034B4E" w:rsidRDefault="00AA6835" w:rsidP="00AA6835">
      <w:pPr>
        <w:pStyle w:val="RatText"/>
        <w:tabs>
          <w:tab w:val="left" w:pos="0"/>
        </w:tabs>
        <w:ind w:left="0"/>
      </w:pPr>
    </w:p>
    <w:p w:rsidR="00AA6835" w:rsidRDefault="00AA6835"/>
    <w:p w:rsidR="00E77EF6" w:rsidRDefault="00E77EF6" w:rsidP="00E77EF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rsidR="00AA6835" w:rsidRPr="00EE0F69" w:rsidRDefault="00AA6835" w:rsidP="00AA6835">
      <w:pPr>
        <w:spacing w:line="480" w:lineRule="auto"/>
        <w:rPr>
          <w:rFonts w:ascii="Times New Roman" w:hAnsi="Times New Roman" w:cs="Times New Roman"/>
          <w:sz w:val="24"/>
          <w:szCs w:val="24"/>
        </w:rPr>
      </w:pPr>
      <w:r w:rsidRPr="00EE0F69">
        <w:rPr>
          <w:rFonts w:ascii="Times New Roman" w:hAnsi="Times New Roman" w:cs="Times New Roman"/>
          <w:b/>
          <w:sz w:val="24"/>
          <w:szCs w:val="24"/>
        </w:rPr>
        <w:t xml:space="preserve">Limitations </w:t>
      </w:r>
    </w:p>
    <w:p w:rsidR="00AA6835" w:rsidRPr="00EE0F69" w:rsidRDefault="00533CBC" w:rsidP="00962A79">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Comparing APRNs across states is a difficult process. The way in which one state defines APRN collaboration with a physician</w:t>
      </w:r>
      <w:r w:rsidR="00B05270">
        <w:rPr>
          <w:rFonts w:ascii="Times New Roman" w:hAnsi="Times New Roman" w:cs="Times New Roman"/>
          <w:sz w:val="24"/>
          <w:szCs w:val="24"/>
        </w:rPr>
        <w:t>, for example,</w:t>
      </w:r>
      <w:r>
        <w:rPr>
          <w:rFonts w:ascii="Times New Roman" w:hAnsi="Times New Roman" w:cs="Times New Roman"/>
          <w:sz w:val="24"/>
          <w:szCs w:val="24"/>
        </w:rPr>
        <w:t xml:space="preserve"> can be very different from another state</w:t>
      </w:r>
      <w:r w:rsidR="00B05270">
        <w:rPr>
          <w:rFonts w:ascii="Times New Roman" w:hAnsi="Times New Roman" w:cs="Times New Roman"/>
          <w:sz w:val="24"/>
          <w:szCs w:val="24"/>
        </w:rPr>
        <w:t xml:space="preserve">’s </w:t>
      </w:r>
      <w:r w:rsidR="00B05270">
        <w:rPr>
          <w:rFonts w:ascii="Times New Roman" w:hAnsi="Times New Roman" w:cs="Times New Roman"/>
          <w:sz w:val="24"/>
          <w:szCs w:val="24"/>
        </w:rPr>
        <w:lastRenderedPageBreak/>
        <w:t>definition</w:t>
      </w:r>
      <w:r>
        <w:rPr>
          <w:rFonts w:ascii="Times New Roman" w:hAnsi="Times New Roman" w:cs="Times New Roman"/>
          <w:sz w:val="24"/>
          <w:szCs w:val="24"/>
        </w:rPr>
        <w:t xml:space="preserve">. Assigning states to a pre-defined category for purposes of comparison and analysis was a careful and deliberate process; yet, the categories assigned in this analysis may not truly reflect the intent of the legislation in a state or the manner in which the legislation is enforced. Additionally, a Nurse Practice Act may </w:t>
      </w:r>
      <w:r w:rsidR="00B05270">
        <w:rPr>
          <w:rFonts w:ascii="Times New Roman" w:hAnsi="Times New Roman" w:cs="Times New Roman"/>
          <w:sz w:val="24"/>
          <w:szCs w:val="24"/>
        </w:rPr>
        <w:t xml:space="preserve">state that an APRN </w:t>
      </w:r>
      <w:r w:rsidR="00B05270" w:rsidRPr="00B05270">
        <w:rPr>
          <w:rFonts w:ascii="Times New Roman" w:hAnsi="Times New Roman" w:cs="Times New Roman"/>
          <w:i/>
          <w:sz w:val="24"/>
          <w:szCs w:val="24"/>
        </w:rPr>
        <w:t>may</w:t>
      </w:r>
      <w:r>
        <w:rPr>
          <w:rFonts w:ascii="Times New Roman" w:hAnsi="Times New Roman" w:cs="Times New Roman"/>
          <w:sz w:val="24"/>
          <w:szCs w:val="24"/>
        </w:rPr>
        <w:t xml:space="preserve"> practice </w:t>
      </w:r>
      <w:proofErr w:type="gramStart"/>
      <w:r>
        <w:rPr>
          <w:rFonts w:ascii="Times New Roman" w:hAnsi="Times New Roman" w:cs="Times New Roman"/>
          <w:sz w:val="24"/>
          <w:szCs w:val="24"/>
        </w:rPr>
        <w:t>independently,</w:t>
      </w:r>
      <w:proofErr w:type="gramEnd"/>
      <w:r>
        <w:rPr>
          <w:rFonts w:ascii="Times New Roman" w:hAnsi="Times New Roman" w:cs="Times New Roman"/>
          <w:sz w:val="24"/>
          <w:szCs w:val="24"/>
        </w:rPr>
        <w:t xml:space="preserve"> however, this does not mean that an APRN in that state </w:t>
      </w:r>
      <w:r w:rsidRPr="00533CBC">
        <w:rPr>
          <w:rFonts w:ascii="Times New Roman" w:hAnsi="Times New Roman" w:cs="Times New Roman"/>
          <w:i/>
          <w:sz w:val="24"/>
          <w:szCs w:val="24"/>
        </w:rPr>
        <w:t>is</w:t>
      </w:r>
      <w:r>
        <w:rPr>
          <w:rFonts w:ascii="Times New Roman" w:hAnsi="Times New Roman" w:cs="Times New Roman"/>
          <w:sz w:val="24"/>
          <w:szCs w:val="24"/>
        </w:rPr>
        <w:t xml:space="preserve"> practicing independently. </w:t>
      </w:r>
      <w:r w:rsidR="00962A79">
        <w:rPr>
          <w:rFonts w:ascii="Times New Roman" w:hAnsi="Times New Roman" w:cs="Times New Roman"/>
          <w:sz w:val="24"/>
          <w:szCs w:val="24"/>
        </w:rPr>
        <w:t>As a retrospective study, it is not known how the APRNs who were disciplined, and those who were not disciplined</w:t>
      </w:r>
      <w:r w:rsidR="00B05270">
        <w:rPr>
          <w:rFonts w:ascii="Times New Roman" w:hAnsi="Times New Roman" w:cs="Times New Roman"/>
          <w:sz w:val="24"/>
          <w:szCs w:val="24"/>
        </w:rPr>
        <w:t>,</w:t>
      </w:r>
      <w:r w:rsidR="00962A79">
        <w:rPr>
          <w:rFonts w:ascii="Times New Roman" w:hAnsi="Times New Roman" w:cs="Times New Roman"/>
          <w:sz w:val="24"/>
          <w:szCs w:val="24"/>
        </w:rPr>
        <w:t xml:space="preserve"> were actually practicing in 2009. </w:t>
      </w:r>
      <w:r w:rsidR="00BE26F3">
        <w:rPr>
          <w:rFonts w:ascii="Times New Roman" w:hAnsi="Times New Roman" w:cs="Times New Roman"/>
          <w:sz w:val="24"/>
          <w:szCs w:val="24"/>
        </w:rPr>
        <w:t xml:space="preserve">This study </w:t>
      </w:r>
      <w:r w:rsidR="00962A79">
        <w:rPr>
          <w:rFonts w:ascii="Times New Roman" w:hAnsi="Times New Roman" w:cs="Times New Roman"/>
          <w:sz w:val="24"/>
          <w:szCs w:val="24"/>
        </w:rPr>
        <w:t>encountered other challenges which may make interpretation of the results difficult.</w:t>
      </w:r>
    </w:p>
    <w:p w:rsidR="00AA6835" w:rsidRPr="00962A79" w:rsidRDefault="00AA6835" w:rsidP="009C7D88">
      <w:pPr>
        <w:spacing w:line="480" w:lineRule="auto"/>
        <w:ind w:firstLine="720"/>
        <w:rPr>
          <w:rFonts w:ascii="Times New Roman" w:hAnsi="Times New Roman" w:cs="Times New Roman"/>
          <w:sz w:val="24"/>
          <w:szCs w:val="24"/>
        </w:rPr>
      </w:pPr>
      <w:r w:rsidRPr="00962A79">
        <w:rPr>
          <w:rFonts w:ascii="Times New Roman" w:hAnsi="Times New Roman" w:cs="Times New Roman"/>
          <w:sz w:val="24"/>
          <w:szCs w:val="24"/>
        </w:rPr>
        <w:t xml:space="preserve">The analyses reflect information from the year 2009 only. Looking at trend data may have been helpful; however, it would have required knowing the number of APRNs for each of the previous years of interest, and their level of practice and prescribing autonomy for that corresponding year. </w:t>
      </w:r>
    </w:p>
    <w:p w:rsidR="00AA6835" w:rsidRPr="00962A79" w:rsidRDefault="00AA6835" w:rsidP="00B05270">
      <w:pPr>
        <w:spacing w:line="480" w:lineRule="auto"/>
        <w:ind w:firstLine="720"/>
        <w:rPr>
          <w:rFonts w:ascii="Times New Roman" w:hAnsi="Times New Roman" w:cs="Times New Roman"/>
          <w:sz w:val="24"/>
          <w:szCs w:val="24"/>
        </w:rPr>
      </w:pPr>
      <w:r w:rsidRPr="00962A79">
        <w:rPr>
          <w:rFonts w:ascii="Times New Roman" w:hAnsi="Times New Roman" w:cs="Times New Roman"/>
          <w:sz w:val="24"/>
          <w:szCs w:val="24"/>
        </w:rPr>
        <w:t>States have different requirements for what constitutes cause for disciplinary action by</w:t>
      </w:r>
      <w:r w:rsidRPr="00962A79">
        <w:rPr>
          <w:rFonts w:ascii="Times New Roman" w:hAnsi="Times New Roman" w:cs="Times New Roman"/>
          <w:color w:val="FF0000"/>
          <w:sz w:val="24"/>
          <w:szCs w:val="24"/>
        </w:rPr>
        <w:t xml:space="preserve"> </w:t>
      </w:r>
      <w:r w:rsidRPr="00962A79">
        <w:rPr>
          <w:rFonts w:ascii="Times New Roman" w:hAnsi="Times New Roman" w:cs="Times New Roman"/>
          <w:sz w:val="24"/>
          <w:szCs w:val="24"/>
        </w:rPr>
        <w:t>professional boards. Variations in the rates of discipline among states could be due to the reporting requirements of these boards. Hence, it is possible that any differences in rates of discipline may be partially explained by differences in characteristics o</w:t>
      </w:r>
      <w:r w:rsidR="00BE26F3" w:rsidRPr="00962A79">
        <w:rPr>
          <w:rFonts w:ascii="Times New Roman" w:hAnsi="Times New Roman" w:cs="Times New Roman"/>
          <w:sz w:val="24"/>
          <w:szCs w:val="24"/>
        </w:rPr>
        <w:t>f</w:t>
      </w:r>
      <w:r w:rsidRPr="00962A79">
        <w:rPr>
          <w:rFonts w:ascii="Times New Roman" w:hAnsi="Times New Roman" w:cs="Times New Roman"/>
          <w:sz w:val="24"/>
          <w:szCs w:val="24"/>
        </w:rPr>
        <w:t xml:space="preserve"> the professional boards. </w:t>
      </w:r>
      <w:r w:rsidR="00B05270">
        <w:rPr>
          <w:rFonts w:ascii="Times New Roman" w:hAnsi="Times New Roman" w:cs="Times New Roman"/>
          <w:sz w:val="24"/>
          <w:szCs w:val="24"/>
        </w:rPr>
        <w:t>It is important to consider state variability in discipline reporting requirements, as this may have skewed the results. A state with strict reporting requirements may be over-represented in this analysis, making APRNs in that state appear less safe than in those states with differing requirements for discipline reporting.</w:t>
      </w:r>
    </w:p>
    <w:p w:rsidR="00AA6835" w:rsidRPr="00962A79" w:rsidRDefault="00AA6835" w:rsidP="00962A79">
      <w:pPr>
        <w:spacing w:line="480" w:lineRule="auto"/>
        <w:ind w:firstLine="720"/>
        <w:rPr>
          <w:rFonts w:ascii="Times New Roman" w:hAnsi="Times New Roman" w:cs="Times New Roman"/>
          <w:sz w:val="24"/>
          <w:szCs w:val="24"/>
        </w:rPr>
      </w:pPr>
      <w:r w:rsidRPr="00962A79">
        <w:rPr>
          <w:rFonts w:ascii="Times New Roman" w:hAnsi="Times New Roman" w:cs="Times New Roman"/>
          <w:sz w:val="24"/>
          <w:szCs w:val="24"/>
        </w:rPr>
        <w:t>Chemical dependency is not accurately reflected in these data. Many states have a system in place to refer chemically dependent nurses to a confidential Assistance Program without a</w:t>
      </w:r>
      <w:r w:rsidR="00355382">
        <w:rPr>
          <w:rFonts w:ascii="Times New Roman" w:hAnsi="Times New Roman" w:cs="Times New Roman"/>
          <w:sz w:val="24"/>
          <w:szCs w:val="24"/>
        </w:rPr>
        <w:t xml:space="preserve"> </w:t>
      </w:r>
      <w:r w:rsidRPr="00962A79">
        <w:rPr>
          <w:rFonts w:ascii="Times New Roman" w:hAnsi="Times New Roman" w:cs="Times New Roman"/>
          <w:sz w:val="24"/>
          <w:szCs w:val="24"/>
        </w:rPr>
        <w:lastRenderedPageBreak/>
        <w:t>disciplinary component to the referral—thes</w:t>
      </w:r>
      <w:r w:rsidR="00BE26F3" w:rsidRPr="00962A79">
        <w:rPr>
          <w:rFonts w:ascii="Times New Roman" w:hAnsi="Times New Roman" w:cs="Times New Roman"/>
          <w:sz w:val="24"/>
          <w:szCs w:val="24"/>
        </w:rPr>
        <w:t>e</w:t>
      </w:r>
      <w:r w:rsidRPr="00962A79">
        <w:rPr>
          <w:rFonts w:ascii="Times New Roman" w:hAnsi="Times New Roman" w:cs="Times New Roman"/>
          <w:sz w:val="24"/>
          <w:szCs w:val="24"/>
        </w:rPr>
        <w:t xml:space="preserve"> providers are not able to be captured in this analysis. </w:t>
      </w:r>
    </w:p>
    <w:p w:rsidR="0015672D" w:rsidRPr="00BE26F3" w:rsidRDefault="00AE3780">
      <w:pPr>
        <w:rPr>
          <w:rFonts w:ascii="Times New Roman" w:hAnsi="Times New Roman" w:cs="Times New Roman"/>
          <w:b/>
          <w:sz w:val="24"/>
          <w:szCs w:val="24"/>
        </w:rPr>
      </w:pPr>
      <w:r w:rsidRPr="00BE26F3">
        <w:rPr>
          <w:rFonts w:ascii="Times New Roman" w:hAnsi="Times New Roman" w:cs="Times New Roman"/>
          <w:b/>
          <w:sz w:val="24"/>
          <w:szCs w:val="24"/>
        </w:rPr>
        <w:t>Implications</w:t>
      </w:r>
    </w:p>
    <w:p w:rsidR="003C427D" w:rsidRPr="00BE26F3" w:rsidRDefault="003C427D">
      <w:pPr>
        <w:rPr>
          <w:rFonts w:ascii="Times New Roman" w:hAnsi="Times New Roman" w:cs="Times New Roman"/>
          <w:sz w:val="24"/>
          <w:szCs w:val="24"/>
        </w:rPr>
      </w:pPr>
    </w:p>
    <w:p w:rsidR="00BF5AF1" w:rsidRDefault="00BF5AF1" w:rsidP="00BF5AF1">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study results revealed extremely low rates of APRN discipline—one indication that APRNs are safe healthcare providers. The results of independent practitioners and prescribers having a significantly higher rate of discipline should be interpreted with caution. The large sample size used in this analysis makes small differences among groups statistically significant when in reality the difference</w:t>
      </w:r>
      <w:r w:rsidR="00B256F6">
        <w:rPr>
          <w:rFonts w:ascii="Times New Roman" w:hAnsi="Times New Roman" w:cs="Times New Roman"/>
          <w:sz w:val="24"/>
          <w:szCs w:val="24"/>
        </w:rPr>
        <w:t>s are</w:t>
      </w:r>
      <w:r>
        <w:rPr>
          <w:rFonts w:ascii="Times New Roman" w:hAnsi="Times New Roman" w:cs="Times New Roman"/>
          <w:sz w:val="24"/>
          <w:szCs w:val="24"/>
        </w:rPr>
        <w:t xml:space="preserve"> hundredths of a percent. All the discipline rates were found to be very low, which indicates APRNs are safe providers of healthcare. </w:t>
      </w:r>
    </w:p>
    <w:p w:rsidR="00533CBC" w:rsidRDefault="00B05270" w:rsidP="00BF5A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this study support NCSBN’s Campaign for APRN Consensus. </w:t>
      </w:r>
      <w:r w:rsidR="00B256F6">
        <w:rPr>
          <w:rFonts w:ascii="Times New Roman" w:hAnsi="Times New Roman" w:cs="Times New Roman"/>
          <w:sz w:val="24"/>
          <w:szCs w:val="24"/>
        </w:rPr>
        <w:t xml:space="preserve">The Campaign for Consensus calls for consistency among the states in the licensure, accreditation and certification of APRNs, and the educational requirements for APRNs. Consistent regulation of APRNs will facilitate the </w:t>
      </w:r>
      <w:r w:rsidR="00BE6C48">
        <w:rPr>
          <w:rFonts w:ascii="Times New Roman" w:hAnsi="Times New Roman" w:cs="Times New Roman"/>
          <w:sz w:val="24"/>
          <w:szCs w:val="24"/>
        </w:rPr>
        <w:t>interpretation of information across states regarding APRN practice safety and discipline rates in the future.</w:t>
      </w:r>
    </w:p>
    <w:p w:rsidR="004C148B" w:rsidRPr="00BE26F3" w:rsidRDefault="004C148B" w:rsidP="00BF5AF1">
      <w:pPr>
        <w:spacing w:line="480" w:lineRule="auto"/>
        <w:ind w:firstLine="720"/>
        <w:rPr>
          <w:rFonts w:ascii="Times New Roman" w:hAnsi="Times New Roman" w:cs="Times New Roman"/>
          <w:sz w:val="24"/>
          <w:szCs w:val="24"/>
        </w:rPr>
      </w:pPr>
    </w:p>
    <w:p w:rsidR="00AA6835" w:rsidRPr="00BE26F3" w:rsidRDefault="00AA6835" w:rsidP="00BF5AF1">
      <w:pPr>
        <w:spacing w:line="480" w:lineRule="auto"/>
        <w:rPr>
          <w:rFonts w:ascii="Times New Roman" w:hAnsi="Times New Roman" w:cs="Times New Roman"/>
          <w:sz w:val="24"/>
          <w:szCs w:val="24"/>
        </w:rPr>
      </w:pPr>
    </w:p>
    <w:p w:rsidR="003C427D" w:rsidRPr="00BE26F3" w:rsidRDefault="003C427D" w:rsidP="00BF5AF1">
      <w:pPr>
        <w:spacing w:line="480" w:lineRule="auto"/>
        <w:rPr>
          <w:rFonts w:ascii="Times New Roman" w:hAnsi="Times New Roman" w:cs="Times New Roman"/>
          <w:sz w:val="24"/>
          <w:szCs w:val="24"/>
        </w:rPr>
      </w:pPr>
    </w:p>
    <w:p w:rsidR="00533CBC" w:rsidRDefault="00533CBC">
      <w:pPr>
        <w:rPr>
          <w:rFonts w:ascii="Times New Roman" w:hAnsi="Times New Roman" w:cs="Times New Roman"/>
          <w:b/>
          <w:sz w:val="24"/>
          <w:szCs w:val="24"/>
        </w:rPr>
      </w:pPr>
      <w:r>
        <w:rPr>
          <w:rFonts w:ascii="Times New Roman" w:hAnsi="Times New Roman" w:cs="Times New Roman"/>
          <w:b/>
          <w:sz w:val="24"/>
          <w:szCs w:val="24"/>
        </w:rPr>
        <w:br w:type="page"/>
      </w:r>
    </w:p>
    <w:p w:rsidR="0015672D" w:rsidRPr="00BE26F3" w:rsidRDefault="00A67CA5" w:rsidP="009C7D88">
      <w:pPr>
        <w:jc w:val="center"/>
        <w:rPr>
          <w:rFonts w:ascii="Times New Roman" w:hAnsi="Times New Roman" w:cs="Times New Roman"/>
          <w:b/>
          <w:sz w:val="24"/>
          <w:szCs w:val="24"/>
        </w:rPr>
      </w:pPr>
      <w:r w:rsidRPr="00BE26F3">
        <w:rPr>
          <w:rFonts w:ascii="Times New Roman" w:hAnsi="Times New Roman" w:cs="Times New Roman"/>
          <w:b/>
          <w:sz w:val="24"/>
          <w:szCs w:val="24"/>
        </w:rPr>
        <w:lastRenderedPageBreak/>
        <w:t>References</w:t>
      </w:r>
    </w:p>
    <w:p w:rsidR="0015672D" w:rsidRDefault="0015672D"/>
    <w:p w:rsidR="00F97223" w:rsidRPr="00EE0F69" w:rsidRDefault="00645883" w:rsidP="002B1B09">
      <w:pPr>
        <w:pStyle w:val="Bibliography"/>
        <w:spacing w:line="480" w:lineRule="auto"/>
        <w:ind w:left="720" w:hanging="720"/>
        <w:rPr>
          <w:rFonts w:ascii="Times New Roman" w:hAnsi="Times New Roman" w:cs="Times New Roman"/>
          <w:sz w:val="24"/>
          <w:szCs w:val="24"/>
        </w:rPr>
      </w:pPr>
      <w:r w:rsidRPr="00EE0F69">
        <w:rPr>
          <w:rFonts w:ascii="Times New Roman" w:hAnsi="Times New Roman" w:cs="Times New Roman"/>
          <w:sz w:val="24"/>
          <w:szCs w:val="24"/>
        </w:rPr>
        <w:fldChar w:fldCharType="begin"/>
      </w:r>
      <w:r w:rsidR="00F97223" w:rsidRPr="00EE0F69">
        <w:rPr>
          <w:rFonts w:ascii="Times New Roman" w:hAnsi="Times New Roman" w:cs="Times New Roman"/>
          <w:sz w:val="24"/>
          <w:szCs w:val="24"/>
        </w:rPr>
        <w:instrText xml:space="preserve"> BIBLIOGRAPHY  \l 1033 </w:instrText>
      </w:r>
      <w:r w:rsidRPr="00EE0F69">
        <w:rPr>
          <w:rFonts w:ascii="Times New Roman" w:hAnsi="Times New Roman" w:cs="Times New Roman"/>
          <w:sz w:val="24"/>
          <w:szCs w:val="24"/>
        </w:rPr>
        <w:fldChar w:fldCharType="separate"/>
      </w:r>
      <w:r w:rsidR="00F97223" w:rsidRPr="00EE0F69">
        <w:rPr>
          <w:rFonts w:ascii="Times New Roman" w:hAnsi="Times New Roman" w:cs="Times New Roman"/>
          <w:sz w:val="24"/>
          <w:szCs w:val="24"/>
        </w:rPr>
        <w:t>Brown, S. &amp; Grimes, D. (1995). A meta-analysis of nurse practitioners and nurse-midwives in primary</w:t>
      </w:r>
      <w:r w:rsidR="00F97223">
        <w:rPr>
          <w:rFonts w:ascii="Times New Roman" w:hAnsi="Times New Roman" w:cs="Times New Roman"/>
          <w:sz w:val="24"/>
          <w:szCs w:val="24"/>
        </w:rPr>
        <w:t xml:space="preserve"> </w:t>
      </w:r>
      <w:r w:rsidR="00F97223" w:rsidRPr="00EE0F69">
        <w:rPr>
          <w:rFonts w:ascii="Times New Roman" w:hAnsi="Times New Roman" w:cs="Times New Roman"/>
          <w:sz w:val="24"/>
          <w:szCs w:val="24"/>
        </w:rPr>
        <w:t xml:space="preserve">care. </w:t>
      </w:r>
      <w:r w:rsidR="00F97223" w:rsidRPr="00EE0F69">
        <w:rPr>
          <w:rFonts w:ascii="Times New Roman" w:hAnsi="Times New Roman" w:cs="Times New Roman"/>
          <w:i/>
          <w:iCs/>
          <w:sz w:val="24"/>
          <w:szCs w:val="24"/>
        </w:rPr>
        <w:t>Nursing Research</w:t>
      </w:r>
      <w:r w:rsidR="00F97223" w:rsidRPr="00227259">
        <w:rPr>
          <w:rFonts w:ascii="Times New Roman" w:hAnsi="Times New Roman" w:cs="Times New Roman"/>
          <w:i/>
          <w:sz w:val="24"/>
          <w:szCs w:val="24"/>
        </w:rPr>
        <w:t>, 44,</w:t>
      </w:r>
      <w:r w:rsidR="00F97223">
        <w:rPr>
          <w:rFonts w:ascii="Times New Roman" w:hAnsi="Times New Roman" w:cs="Times New Roman"/>
          <w:sz w:val="24"/>
          <w:szCs w:val="24"/>
        </w:rPr>
        <w:t xml:space="preserve"> </w:t>
      </w:r>
      <w:r w:rsidR="00F97223" w:rsidRPr="00EE0F69">
        <w:rPr>
          <w:rFonts w:ascii="Times New Roman" w:hAnsi="Times New Roman" w:cs="Times New Roman"/>
          <w:sz w:val="24"/>
          <w:szCs w:val="24"/>
        </w:rPr>
        <w:t>332-339.</w:t>
      </w:r>
    </w:p>
    <w:p w:rsidR="00F97223" w:rsidRPr="00EE0F69" w:rsidRDefault="00F97223" w:rsidP="00F97223">
      <w:pPr>
        <w:pStyle w:val="Bibliography"/>
        <w:spacing w:line="480" w:lineRule="auto"/>
        <w:ind w:left="720" w:hanging="720"/>
        <w:rPr>
          <w:rFonts w:ascii="Times New Roman" w:hAnsi="Times New Roman" w:cs="Times New Roman"/>
          <w:noProof/>
          <w:sz w:val="24"/>
          <w:szCs w:val="24"/>
        </w:rPr>
      </w:pPr>
      <w:r w:rsidRPr="00EE0F69">
        <w:rPr>
          <w:rFonts w:ascii="Times New Roman" w:hAnsi="Times New Roman" w:cs="Times New Roman"/>
          <w:noProof/>
          <w:sz w:val="24"/>
          <w:szCs w:val="24"/>
        </w:rPr>
        <w:t xml:space="preserve">Dulisse, B., &amp; Cromwell, J. (2010). No harm found when nurse anesthetists work without supervision by physicians. </w:t>
      </w:r>
      <w:r w:rsidRPr="00EE0F69">
        <w:rPr>
          <w:rFonts w:ascii="Times New Roman" w:hAnsi="Times New Roman" w:cs="Times New Roman"/>
          <w:i/>
          <w:iCs/>
          <w:noProof/>
          <w:sz w:val="24"/>
          <w:szCs w:val="24"/>
        </w:rPr>
        <w:t>Health Affairs</w:t>
      </w:r>
      <w:r w:rsidRPr="00FC213A">
        <w:rPr>
          <w:rFonts w:ascii="Times New Roman" w:hAnsi="Times New Roman" w:cs="Times New Roman"/>
          <w:i/>
          <w:noProof/>
          <w:sz w:val="24"/>
          <w:szCs w:val="24"/>
        </w:rPr>
        <w:t>, 29,</w:t>
      </w:r>
      <w:r w:rsidRPr="00EE0F69">
        <w:rPr>
          <w:rFonts w:ascii="Times New Roman" w:hAnsi="Times New Roman" w:cs="Times New Roman"/>
          <w:noProof/>
          <w:sz w:val="24"/>
          <w:szCs w:val="24"/>
        </w:rPr>
        <w:t xml:space="preserve"> 1469-1475.</w:t>
      </w:r>
      <w:r>
        <w:rPr>
          <w:rFonts w:ascii="Times New Roman" w:hAnsi="Times New Roman" w:cs="Times New Roman"/>
          <w:noProof/>
          <w:sz w:val="24"/>
          <w:szCs w:val="24"/>
        </w:rPr>
        <w:t xml:space="preserve"> doi: </w:t>
      </w:r>
      <w:r w:rsidRPr="00FC213A">
        <w:rPr>
          <w:rFonts w:ascii="Times New Roman" w:hAnsi="Times New Roman" w:cs="Times New Roman"/>
          <w:noProof/>
          <w:sz w:val="24"/>
          <w:szCs w:val="24"/>
        </w:rPr>
        <w:t>10.1377/hlthaff.2008.0966</w:t>
      </w:r>
    </w:p>
    <w:p w:rsidR="00F97223" w:rsidRDefault="00F97223" w:rsidP="00F97223">
      <w:pPr>
        <w:spacing w:line="480" w:lineRule="auto"/>
        <w:ind w:left="720" w:hanging="720"/>
        <w:rPr>
          <w:rFonts w:ascii="Times New Roman" w:hAnsi="Times New Roman" w:cs="Times New Roman"/>
          <w:sz w:val="24"/>
          <w:szCs w:val="24"/>
        </w:rPr>
      </w:pPr>
      <w:r w:rsidRPr="00EE0F69">
        <w:rPr>
          <w:rFonts w:ascii="Times New Roman" w:hAnsi="Times New Roman" w:cs="Times New Roman"/>
          <w:sz w:val="24"/>
          <w:szCs w:val="24"/>
        </w:rPr>
        <w:t xml:space="preserve">Hatem, M., Sandall, J., Devance, D., Soltani, H., </w:t>
      </w:r>
      <w:r>
        <w:rPr>
          <w:rFonts w:ascii="Times New Roman" w:hAnsi="Times New Roman" w:cs="Times New Roman"/>
          <w:sz w:val="24"/>
          <w:szCs w:val="24"/>
        </w:rPr>
        <w:t xml:space="preserve">&amp; </w:t>
      </w:r>
      <w:r w:rsidRPr="00EE0F69">
        <w:rPr>
          <w:rFonts w:ascii="Times New Roman" w:hAnsi="Times New Roman" w:cs="Times New Roman"/>
          <w:sz w:val="24"/>
          <w:szCs w:val="24"/>
        </w:rPr>
        <w:t>Gates, S. (2008). Midwife-led versus other models of</w:t>
      </w:r>
      <w:r>
        <w:rPr>
          <w:rFonts w:ascii="Times New Roman" w:hAnsi="Times New Roman" w:cs="Times New Roman"/>
          <w:sz w:val="24"/>
          <w:szCs w:val="24"/>
        </w:rPr>
        <w:t xml:space="preserve"> </w:t>
      </w:r>
      <w:r w:rsidRPr="00EE0F69">
        <w:rPr>
          <w:rFonts w:ascii="Times New Roman" w:hAnsi="Times New Roman" w:cs="Times New Roman"/>
          <w:sz w:val="24"/>
          <w:szCs w:val="24"/>
        </w:rPr>
        <w:t xml:space="preserve">care for childbearing women. </w:t>
      </w:r>
      <w:r w:rsidRPr="00EE0F69">
        <w:rPr>
          <w:rFonts w:ascii="Times New Roman" w:hAnsi="Times New Roman" w:cs="Times New Roman"/>
          <w:i/>
          <w:iCs/>
          <w:sz w:val="24"/>
          <w:szCs w:val="24"/>
        </w:rPr>
        <w:t>Cochrane Database of Systematic Reviews</w:t>
      </w:r>
      <w:r w:rsidRPr="00EE0F69">
        <w:rPr>
          <w:rFonts w:ascii="Times New Roman" w:hAnsi="Times New Roman" w:cs="Times New Roman"/>
          <w:sz w:val="24"/>
          <w:szCs w:val="24"/>
        </w:rPr>
        <w:t xml:space="preserve">, </w:t>
      </w:r>
      <w:r>
        <w:rPr>
          <w:rFonts w:ascii="Times New Roman" w:hAnsi="Times New Roman" w:cs="Times New Roman"/>
          <w:sz w:val="24"/>
          <w:szCs w:val="24"/>
        </w:rPr>
        <w:t xml:space="preserve">issue </w:t>
      </w:r>
      <w:r w:rsidRPr="00EE0F69">
        <w:rPr>
          <w:rFonts w:ascii="Times New Roman" w:hAnsi="Times New Roman" w:cs="Times New Roman"/>
          <w:sz w:val="24"/>
          <w:szCs w:val="24"/>
        </w:rPr>
        <w:t xml:space="preserve">4. </w:t>
      </w:r>
      <w:r>
        <w:rPr>
          <w:rFonts w:ascii="Times New Roman" w:hAnsi="Times New Roman" w:cs="Times New Roman"/>
          <w:sz w:val="24"/>
          <w:szCs w:val="24"/>
        </w:rPr>
        <w:t>Art. No</w:t>
      </w:r>
      <w:r w:rsidRPr="00EE0F69">
        <w:rPr>
          <w:rFonts w:ascii="Times New Roman" w:hAnsi="Times New Roman" w:cs="Times New Roman"/>
          <w:sz w:val="24"/>
          <w:szCs w:val="24"/>
        </w:rPr>
        <w:t>.: CD004667. DOI:</w:t>
      </w:r>
      <w:r>
        <w:rPr>
          <w:rFonts w:ascii="Times New Roman" w:hAnsi="Times New Roman" w:cs="Times New Roman"/>
          <w:sz w:val="24"/>
          <w:szCs w:val="24"/>
        </w:rPr>
        <w:t xml:space="preserve"> 10.1002/14651858.CD004667.pub2</w:t>
      </w:r>
    </w:p>
    <w:p w:rsidR="00F97223" w:rsidRPr="00EE0F69" w:rsidRDefault="00F97223" w:rsidP="00F97223">
      <w:pPr>
        <w:spacing w:line="480" w:lineRule="auto"/>
        <w:ind w:left="720" w:hanging="720"/>
        <w:rPr>
          <w:rFonts w:ascii="Times New Roman" w:hAnsi="Times New Roman" w:cs="Times New Roman"/>
          <w:sz w:val="24"/>
          <w:szCs w:val="24"/>
        </w:rPr>
      </w:pPr>
      <w:r w:rsidRPr="00EE0F69">
        <w:rPr>
          <w:rFonts w:ascii="Times New Roman" w:hAnsi="Times New Roman" w:cs="Times New Roman"/>
          <w:sz w:val="24"/>
          <w:szCs w:val="24"/>
        </w:rPr>
        <w:t>Horrocks, S., Anderson, E., &amp; Salisbury, C. (2002). Systematic review of whether nurse practitioner</w:t>
      </w:r>
      <w:r>
        <w:rPr>
          <w:rFonts w:ascii="Times New Roman" w:hAnsi="Times New Roman" w:cs="Times New Roman"/>
          <w:sz w:val="24"/>
          <w:szCs w:val="24"/>
        </w:rPr>
        <w:t xml:space="preserve"> </w:t>
      </w:r>
      <w:r w:rsidRPr="00EE0F69">
        <w:rPr>
          <w:rFonts w:ascii="Times New Roman" w:hAnsi="Times New Roman" w:cs="Times New Roman"/>
          <w:sz w:val="24"/>
          <w:szCs w:val="24"/>
        </w:rPr>
        <w:t xml:space="preserve">working in primary care can provide equivalent care to doctors. </w:t>
      </w:r>
      <w:r w:rsidRPr="00EE0F69">
        <w:rPr>
          <w:rFonts w:ascii="Times New Roman" w:hAnsi="Times New Roman" w:cs="Times New Roman"/>
          <w:i/>
          <w:iCs/>
          <w:sz w:val="24"/>
          <w:szCs w:val="24"/>
        </w:rPr>
        <w:t>British Medical Journal</w:t>
      </w:r>
      <w:r w:rsidRPr="008B1CC2">
        <w:rPr>
          <w:rFonts w:ascii="Times New Roman" w:hAnsi="Times New Roman" w:cs="Times New Roman"/>
          <w:i/>
          <w:sz w:val="24"/>
          <w:szCs w:val="24"/>
        </w:rPr>
        <w:t xml:space="preserve">, 324, </w:t>
      </w:r>
      <w:r w:rsidRPr="00EE0F69">
        <w:rPr>
          <w:rFonts w:ascii="Times New Roman" w:hAnsi="Times New Roman" w:cs="Times New Roman"/>
          <w:sz w:val="24"/>
          <w:szCs w:val="24"/>
        </w:rPr>
        <w:t>819-823.</w:t>
      </w:r>
      <w:r>
        <w:rPr>
          <w:rFonts w:ascii="Times New Roman" w:hAnsi="Times New Roman" w:cs="Times New Roman"/>
          <w:sz w:val="24"/>
          <w:szCs w:val="24"/>
        </w:rPr>
        <w:t xml:space="preserve"> </w:t>
      </w:r>
      <w:r w:rsidRPr="007D55C2">
        <w:rPr>
          <w:rFonts w:ascii="Times New Roman" w:hAnsi="Times New Roman" w:cs="Times New Roman"/>
          <w:sz w:val="24"/>
          <w:szCs w:val="24"/>
        </w:rPr>
        <w:t>doi: 10.1136/bmj.324.7341.819</w:t>
      </w:r>
    </w:p>
    <w:p w:rsidR="00F97223" w:rsidRPr="00EE0F69" w:rsidRDefault="00F97223" w:rsidP="00F97223">
      <w:pPr>
        <w:pStyle w:val="Bibliography"/>
        <w:spacing w:line="480" w:lineRule="auto"/>
        <w:ind w:left="720" w:hanging="720"/>
        <w:rPr>
          <w:rFonts w:ascii="Times New Roman" w:hAnsi="Times New Roman" w:cs="Times New Roman"/>
          <w:noProof/>
          <w:sz w:val="24"/>
          <w:szCs w:val="24"/>
        </w:rPr>
      </w:pPr>
      <w:r w:rsidRPr="00EE0F69">
        <w:rPr>
          <w:rFonts w:ascii="Times New Roman" w:hAnsi="Times New Roman" w:cs="Times New Roman"/>
          <w:noProof/>
          <w:sz w:val="24"/>
          <w:szCs w:val="24"/>
        </w:rPr>
        <w:t xml:space="preserve">Hudspeth, R. (2007). Survey of advanced practice registered nurses disciplinary action. </w:t>
      </w:r>
      <w:r w:rsidRPr="00EE0F69">
        <w:rPr>
          <w:rFonts w:ascii="Times New Roman" w:hAnsi="Times New Roman" w:cs="Times New Roman"/>
          <w:i/>
          <w:iCs/>
          <w:noProof/>
          <w:sz w:val="24"/>
          <w:szCs w:val="24"/>
        </w:rPr>
        <w:t>Online Journal of Issues in Nursing</w:t>
      </w:r>
      <w:r w:rsidRPr="008B1CC2">
        <w:rPr>
          <w:rFonts w:ascii="Times New Roman" w:hAnsi="Times New Roman" w:cs="Times New Roman"/>
          <w:i/>
          <w:noProof/>
          <w:sz w:val="24"/>
          <w:szCs w:val="24"/>
        </w:rPr>
        <w:t>, 12,</w:t>
      </w:r>
      <w:r w:rsidRPr="00FD04F7">
        <w:t xml:space="preserve"> </w:t>
      </w:r>
      <w:r w:rsidRPr="00FD04F7">
        <w:rPr>
          <w:rFonts w:ascii="Times New Roman" w:hAnsi="Times New Roman" w:cs="Times New Roman"/>
          <w:bCs/>
          <w:noProof/>
          <w:sz w:val="24"/>
          <w:szCs w:val="24"/>
        </w:rPr>
        <w:t xml:space="preserve">doi: </w:t>
      </w:r>
      <w:r w:rsidRPr="00FD04F7">
        <w:rPr>
          <w:rFonts w:ascii="Times New Roman" w:hAnsi="Times New Roman" w:cs="Times New Roman"/>
          <w:noProof/>
          <w:sz w:val="24"/>
          <w:szCs w:val="24"/>
        </w:rPr>
        <w:t>10.3912/OJIN.Vol12No02PPT02</w:t>
      </w:r>
    </w:p>
    <w:p w:rsidR="00F97223" w:rsidRDefault="00F97223" w:rsidP="00F97223">
      <w:pPr>
        <w:spacing w:line="480" w:lineRule="auto"/>
        <w:ind w:left="720" w:hanging="720"/>
        <w:rPr>
          <w:rFonts w:ascii="Times New Roman" w:hAnsi="Times New Roman" w:cs="Times New Roman"/>
          <w:sz w:val="24"/>
          <w:szCs w:val="24"/>
        </w:rPr>
      </w:pPr>
      <w:r w:rsidRPr="00EE0F69">
        <w:rPr>
          <w:rFonts w:ascii="Times New Roman" w:hAnsi="Times New Roman" w:cs="Times New Roman"/>
          <w:sz w:val="24"/>
          <w:szCs w:val="24"/>
        </w:rPr>
        <w:t>Jordan, L. M., Kremer, M., Crawforth, K.,</w:t>
      </w:r>
      <w:r>
        <w:rPr>
          <w:rFonts w:ascii="Times New Roman" w:hAnsi="Times New Roman" w:cs="Times New Roman"/>
          <w:sz w:val="24"/>
          <w:szCs w:val="24"/>
        </w:rPr>
        <w:t xml:space="preserve"> &amp;</w:t>
      </w:r>
      <w:r w:rsidRPr="00EE0F69">
        <w:rPr>
          <w:rFonts w:ascii="Times New Roman" w:hAnsi="Times New Roman" w:cs="Times New Roman"/>
          <w:sz w:val="24"/>
          <w:szCs w:val="24"/>
        </w:rPr>
        <w:t xml:space="preserve"> Shott, S. (2001). Data-driven practice improvement: the</w:t>
      </w:r>
      <w:r>
        <w:rPr>
          <w:rFonts w:ascii="Times New Roman" w:hAnsi="Times New Roman" w:cs="Times New Roman"/>
          <w:sz w:val="24"/>
          <w:szCs w:val="24"/>
        </w:rPr>
        <w:t xml:space="preserve"> </w:t>
      </w:r>
      <w:r w:rsidRPr="00EE0F69">
        <w:rPr>
          <w:rFonts w:ascii="Times New Roman" w:hAnsi="Times New Roman" w:cs="Times New Roman"/>
          <w:sz w:val="24"/>
          <w:szCs w:val="24"/>
        </w:rPr>
        <w:t xml:space="preserve">AANA Foundation closed malpractice claims study. </w:t>
      </w:r>
      <w:r>
        <w:rPr>
          <w:rFonts w:ascii="Times New Roman" w:hAnsi="Times New Roman" w:cs="Times New Roman"/>
          <w:i/>
          <w:iCs/>
          <w:sz w:val="24"/>
          <w:szCs w:val="24"/>
        </w:rPr>
        <w:t>American Association of Nurse Anesthetists Journal</w:t>
      </w:r>
      <w:r w:rsidRPr="00FD04F7">
        <w:rPr>
          <w:rFonts w:ascii="Times New Roman" w:hAnsi="Times New Roman" w:cs="Times New Roman"/>
          <w:i/>
          <w:sz w:val="24"/>
          <w:szCs w:val="24"/>
        </w:rPr>
        <w:t>, 69,</w:t>
      </w:r>
      <w:r w:rsidRPr="00EE0F69">
        <w:rPr>
          <w:rFonts w:ascii="Times New Roman" w:hAnsi="Times New Roman" w:cs="Times New Roman"/>
          <w:sz w:val="24"/>
          <w:szCs w:val="24"/>
        </w:rPr>
        <w:t xml:space="preserve"> 301-11.</w:t>
      </w:r>
    </w:p>
    <w:p w:rsidR="00F97223" w:rsidRPr="00EE0F69" w:rsidRDefault="00F97223" w:rsidP="00F97223">
      <w:pPr>
        <w:spacing w:line="480" w:lineRule="auto"/>
        <w:ind w:left="720" w:hanging="720"/>
        <w:rPr>
          <w:rFonts w:ascii="Times New Roman" w:hAnsi="Times New Roman" w:cs="Times New Roman"/>
          <w:sz w:val="24"/>
          <w:szCs w:val="24"/>
        </w:rPr>
      </w:pPr>
      <w:r w:rsidRPr="00EE0F69">
        <w:rPr>
          <w:rFonts w:ascii="Times New Roman" w:hAnsi="Times New Roman" w:cs="Times New Roman"/>
          <w:sz w:val="24"/>
          <w:szCs w:val="24"/>
        </w:rPr>
        <w:t xml:space="preserve">Laurant, M., Reeves, D., Hermens, R., Braspenning, J., Grol, R., </w:t>
      </w:r>
      <w:r>
        <w:rPr>
          <w:rFonts w:ascii="Times New Roman" w:hAnsi="Times New Roman" w:cs="Times New Roman"/>
          <w:sz w:val="24"/>
          <w:szCs w:val="24"/>
        </w:rPr>
        <w:t xml:space="preserve">&amp; </w:t>
      </w:r>
      <w:r w:rsidRPr="00EE0F69">
        <w:rPr>
          <w:rFonts w:ascii="Times New Roman" w:hAnsi="Times New Roman" w:cs="Times New Roman"/>
          <w:sz w:val="24"/>
          <w:szCs w:val="24"/>
        </w:rPr>
        <w:t>Sibbald, B. (2005). Substitution of</w:t>
      </w:r>
      <w:r>
        <w:rPr>
          <w:rFonts w:ascii="Times New Roman" w:hAnsi="Times New Roman" w:cs="Times New Roman"/>
          <w:sz w:val="24"/>
          <w:szCs w:val="24"/>
        </w:rPr>
        <w:t xml:space="preserve"> </w:t>
      </w:r>
      <w:r w:rsidRPr="00EE0F69">
        <w:rPr>
          <w:rFonts w:ascii="Times New Roman" w:hAnsi="Times New Roman" w:cs="Times New Roman"/>
          <w:sz w:val="24"/>
          <w:szCs w:val="24"/>
        </w:rPr>
        <w:t xml:space="preserve">doctors by nurses in primary care. </w:t>
      </w:r>
      <w:r w:rsidRPr="00EE0F69">
        <w:rPr>
          <w:rFonts w:ascii="Times New Roman" w:hAnsi="Times New Roman" w:cs="Times New Roman"/>
          <w:i/>
          <w:iCs/>
          <w:sz w:val="24"/>
          <w:szCs w:val="24"/>
        </w:rPr>
        <w:t>The Cochrane Library</w:t>
      </w:r>
      <w:r>
        <w:rPr>
          <w:rFonts w:ascii="Times New Roman" w:hAnsi="Times New Roman" w:cs="Times New Roman"/>
          <w:sz w:val="24"/>
          <w:szCs w:val="24"/>
        </w:rPr>
        <w:t xml:space="preserve">, </w:t>
      </w:r>
      <w:r w:rsidRPr="00A96ECE">
        <w:rPr>
          <w:rFonts w:ascii="Times New Roman" w:hAnsi="Times New Roman" w:cs="Times New Roman"/>
          <w:sz w:val="24"/>
          <w:szCs w:val="24"/>
        </w:rPr>
        <w:t>Issue 2. Art. No.: CD001271. DOI: 10.1002/14651858.CD001271.pub2</w:t>
      </w:r>
    </w:p>
    <w:p w:rsidR="00F97223" w:rsidRPr="00EE0F69" w:rsidRDefault="00F97223" w:rsidP="00F97223">
      <w:pPr>
        <w:pStyle w:val="Bibliography"/>
        <w:spacing w:line="480" w:lineRule="auto"/>
        <w:ind w:left="720" w:hanging="720"/>
        <w:rPr>
          <w:rFonts w:ascii="Times New Roman" w:hAnsi="Times New Roman" w:cs="Times New Roman"/>
          <w:noProof/>
          <w:sz w:val="24"/>
          <w:szCs w:val="24"/>
        </w:rPr>
      </w:pPr>
      <w:r w:rsidRPr="00EE0F69">
        <w:rPr>
          <w:rFonts w:ascii="Times New Roman" w:hAnsi="Times New Roman" w:cs="Times New Roman"/>
          <w:noProof/>
          <w:sz w:val="24"/>
          <w:szCs w:val="24"/>
        </w:rPr>
        <w:t xml:space="preserve">Lenz, E., Mundinger, M., Kane, R., Hopkins, S., &amp; Lin, S. (2004). Primary care outcomes in patients treated by nurse practitioners or physicians: Two-year follow-up. </w:t>
      </w:r>
      <w:r w:rsidRPr="00EE0F69">
        <w:rPr>
          <w:rFonts w:ascii="Times New Roman" w:hAnsi="Times New Roman" w:cs="Times New Roman"/>
          <w:i/>
          <w:iCs/>
          <w:noProof/>
          <w:sz w:val="24"/>
          <w:szCs w:val="24"/>
        </w:rPr>
        <w:t>Medical Care Research &amp; Review</w:t>
      </w:r>
      <w:r w:rsidRPr="00A96ECE">
        <w:rPr>
          <w:rFonts w:ascii="Times New Roman" w:hAnsi="Times New Roman" w:cs="Times New Roman"/>
          <w:i/>
          <w:noProof/>
          <w:sz w:val="24"/>
          <w:szCs w:val="24"/>
        </w:rPr>
        <w:t>, 61,</w:t>
      </w:r>
      <w:r w:rsidRPr="00EE0F69">
        <w:rPr>
          <w:rFonts w:ascii="Times New Roman" w:hAnsi="Times New Roman" w:cs="Times New Roman"/>
          <w:noProof/>
          <w:sz w:val="24"/>
          <w:szCs w:val="24"/>
        </w:rPr>
        <w:t xml:space="preserve"> 332-51.</w:t>
      </w:r>
    </w:p>
    <w:p w:rsidR="00F97223" w:rsidRPr="0025420A" w:rsidRDefault="00F97223" w:rsidP="00F97223">
      <w:pPr>
        <w:pStyle w:val="Bibliography"/>
        <w:spacing w:line="480" w:lineRule="auto"/>
        <w:ind w:left="720" w:hanging="720"/>
        <w:rPr>
          <w:rFonts w:ascii="Times New Roman" w:hAnsi="Times New Roman" w:cs="Times New Roman"/>
          <w:noProof/>
          <w:sz w:val="24"/>
          <w:szCs w:val="24"/>
        </w:rPr>
      </w:pPr>
      <w:r w:rsidRPr="00EE0F69">
        <w:rPr>
          <w:rFonts w:ascii="Times New Roman" w:hAnsi="Times New Roman" w:cs="Times New Roman"/>
          <w:noProof/>
          <w:sz w:val="24"/>
          <w:szCs w:val="24"/>
        </w:rPr>
        <w:lastRenderedPageBreak/>
        <w:t>Mundinger, M. O., Kane, R. L., Lenz, E. R., Totten, A. M., Tsai, W.-Y., Cleary, P. D.,</w:t>
      </w:r>
      <w:r>
        <w:rPr>
          <w:rFonts w:ascii="Times New Roman" w:hAnsi="Times New Roman" w:cs="Times New Roman"/>
          <w:noProof/>
          <w:sz w:val="24"/>
          <w:szCs w:val="24"/>
        </w:rPr>
        <w:t xml:space="preserve"> Friedewald, W. T., Siu, A. L., &amp; </w:t>
      </w:r>
      <w:r w:rsidRPr="00EE0F69">
        <w:rPr>
          <w:rFonts w:ascii="Times New Roman" w:hAnsi="Times New Roman" w:cs="Times New Roman"/>
          <w:noProof/>
          <w:sz w:val="24"/>
          <w:szCs w:val="24"/>
        </w:rPr>
        <w:t xml:space="preserve">Shelanski, M. L. (2000). Primary care outcomes in patients treated by nurse practitioners or physicians: A randomized trial. </w:t>
      </w:r>
      <w:r>
        <w:rPr>
          <w:rFonts w:ascii="Times New Roman" w:hAnsi="Times New Roman" w:cs="Times New Roman"/>
          <w:i/>
          <w:iCs/>
          <w:noProof/>
          <w:sz w:val="24"/>
          <w:szCs w:val="24"/>
        </w:rPr>
        <w:t>Journal of the American Medical Association</w:t>
      </w:r>
      <w:r w:rsidRPr="00A96ECE">
        <w:rPr>
          <w:rFonts w:ascii="Times New Roman" w:hAnsi="Times New Roman" w:cs="Times New Roman"/>
          <w:i/>
          <w:noProof/>
          <w:sz w:val="24"/>
          <w:szCs w:val="24"/>
        </w:rPr>
        <w:t>, 283,</w:t>
      </w:r>
      <w:r w:rsidRPr="00EE0F69">
        <w:rPr>
          <w:rFonts w:ascii="Times New Roman" w:hAnsi="Times New Roman" w:cs="Times New Roman"/>
          <w:noProof/>
          <w:sz w:val="24"/>
          <w:szCs w:val="24"/>
        </w:rPr>
        <w:t xml:space="preserve"> 59-68.</w:t>
      </w:r>
      <w:r>
        <w:rPr>
          <w:rFonts w:ascii="Times New Roman" w:hAnsi="Times New Roman" w:cs="Times New Roman"/>
          <w:noProof/>
          <w:sz w:val="24"/>
          <w:szCs w:val="24"/>
        </w:rPr>
        <w:t xml:space="preserve"> </w:t>
      </w:r>
      <w:r w:rsidRPr="0025420A">
        <w:rPr>
          <w:rFonts w:ascii="Times New Roman" w:hAnsi="Times New Roman" w:cs="Times New Roman"/>
          <w:noProof/>
          <w:sz w:val="24"/>
          <w:szCs w:val="24"/>
        </w:rPr>
        <w:t>doi: 10.1001/jama.283.1.59</w:t>
      </w:r>
    </w:p>
    <w:p w:rsidR="003C1A82" w:rsidRDefault="003C1A82" w:rsidP="003C1A8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National Council of State Boards of Nursing</w:t>
      </w:r>
      <w:r w:rsidR="000D1243">
        <w:rPr>
          <w:rFonts w:ascii="Times New Roman" w:hAnsi="Times New Roman" w:cs="Times New Roman"/>
          <w:sz w:val="24"/>
          <w:szCs w:val="24"/>
        </w:rPr>
        <w:t xml:space="preserve"> Campaign for APRN Consensus, www.ncsbn.org/aprn.htm.</w:t>
      </w:r>
    </w:p>
    <w:p w:rsidR="003C1A82" w:rsidRDefault="003C1A82" w:rsidP="003C1A82">
      <w:pPr>
        <w:spacing w:line="480" w:lineRule="auto"/>
        <w:ind w:left="720" w:hanging="720"/>
        <w:rPr>
          <w:rFonts w:ascii="Times New Roman" w:hAnsi="Times New Roman" w:cs="Times New Roman"/>
          <w:sz w:val="24"/>
          <w:szCs w:val="24"/>
        </w:rPr>
      </w:pPr>
      <w:r w:rsidRPr="003C1A82">
        <w:rPr>
          <w:rFonts w:ascii="Times New Roman" w:hAnsi="Times New Roman" w:cs="Times New Roman"/>
          <w:sz w:val="24"/>
          <w:szCs w:val="24"/>
        </w:rPr>
        <w:t>Newhouse, R.P., Stanik-Hutt, J., White, K.M., Bass, E.B., Zangaro, G., Wilson, R.F., Fountain, L., Steinwachs, D.M., Heindel, L., &amp; Weiner, J.P.</w:t>
      </w:r>
      <w:r>
        <w:rPr>
          <w:rFonts w:ascii="Times New Roman" w:hAnsi="Times New Roman" w:cs="Times New Roman"/>
          <w:sz w:val="24"/>
          <w:szCs w:val="24"/>
        </w:rPr>
        <w:t xml:space="preserve"> (2011). Advanced practice nurse o</w:t>
      </w:r>
      <w:r w:rsidRPr="003C1A82">
        <w:rPr>
          <w:rFonts w:ascii="Times New Roman" w:hAnsi="Times New Roman" w:cs="Times New Roman"/>
          <w:sz w:val="24"/>
          <w:szCs w:val="24"/>
        </w:rPr>
        <w:t>u</w:t>
      </w:r>
      <w:r>
        <w:rPr>
          <w:rFonts w:ascii="Times New Roman" w:hAnsi="Times New Roman" w:cs="Times New Roman"/>
          <w:sz w:val="24"/>
          <w:szCs w:val="24"/>
        </w:rPr>
        <w:t>tcomes 1990-2008: A systematic r</w:t>
      </w:r>
      <w:r w:rsidRPr="003C1A82">
        <w:rPr>
          <w:rFonts w:ascii="Times New Roman" w:hAnsi="Times New Roman" w:cs="Times New Roman"/>
          <w:sz w:val="24"/>
          <w:szCs w:val="24"/>
        </w:rPr>
        <w:t xml:space="preserve">eview. </w:t>
      </w:r>
      <w:r w:rsidRPr="003C1A82">
        <w:rPr>
          <w:rFonts w:ascii="Times New Roman" w:hAnsi="Times New Roman" w:cs="Times New Roman"/>
          <w:i/>
          <w:sz w:val="24"/>
          <w:szCs w:val="24"/>
        </w:rPr>
        <w:t>Nursing Economics</w:t>
      </w:r>
      <w:r w:rsidRPr="003C1A82">
        <w:rPr>
          <w:rFonts w:ascii="Times New Roman" w:hAnsi="Times New Roman" w:cs="Times New Roman"/>
          <w:sz w:val="24"/>
          <w:szCs w:val="24"/>
        </w:rPr>
        <w:t xml:space="preserve">, </w:t>
      </w:r>
      <w:r>
        <w:rPr>
          <w:rFonts w:ascii="Times New Roman" w:hAnsi="Times New Roman" w:cs="Times New Roman"/>
          <w:sz w:val="24"/>
          <w:szCs w:val="24"/>
        </w:rPr>
        <w:t>29 (5), 230-250.</w:t>
      </w:r>
    </w:p>
    <w:p w:rsidR="00F97223" w:rsidRPr="00796943" w:rsidRDefault="00F97223" w:rsidP="00F97223">
      <w:pPr>
        <w:spacing w:line="480" w:lineRule="auto"/>
        <w:ind w:left="720" w:hanging="720"/>
        <w:rPr>
          <w:rFonts w:ascii="Times New Roman" w:hAnsi="Times New Roman" w:cs="Times New Roman"/>
          <w:sz w:val="24"/>
          <w:szCs w:val="24"/>
        </w:rPr>
      </w:pPr>
      <w:r w:rsidRPr="00EE0F69">
        <w:rPr>
          <w:rFonts w:ascii="Times New Roman" w:hAnsi="Times New Roman" w:cs="Times New Roman"/>
          <w:sz w:val="24"/>
          <w:szCs w:val="24"/>
        </w:rPr>
        <w:t xml:space="preserve">O’Grady, E. </w:t>
      </w:r>
      <w:r>
        <w:rPr>
          <w:rFonts w:ascii="Times New Roman" w:hAnsi="Times New Roman" w:cs="Times New Roman"/>
          <w:sz w:val="24"/>
          <w:szCs w:val="24"/>
        </w:rPr>
        <w:t xml:space="preserve">(2008). </w:t>
      </w:r>
      <w:r w:rsidRPr="00EE0F69">
        <w:rPr>
          <w:rFonts w:ascii="Times New Roman" w:hAnsi="Times New Roman" w:cs="Times New Roman"/>
          <w:sz w:val="24"/>
          <w:szCs w:val="24"/>
        </w:rPr>
        <w:t>Advanced practice registered nurses: The impact on patient safety and quality. In Hughes, R. (Ed). (2008</w:t>
      </w:r>
      <w:r w:rsidRPr="00EE0F69">
        <w:rPr>
          <w:rFonts w:ascii="Times New Roman" w:hAnsi="Times New Roman" w:cs="Times New Roman"/>
          <w:i/>
          <w:iCs/>
          <w:sz w:val="24"/>
          <w:szCs w:val="24"/>
        </w:rPr>
        <w:t>). Patient Safety and Quality: An Evidence-Based</w:t>
      </w:r>
      <w:r>
        <w:rPr>
          <w:rFonts w:ascii="Times New Roman" w:hAnsi="Times New Roman" w:cs="Times New Roman"/>
          <w:i/>
          <w:iCs/>
          <w:sz w:val="24"/>
          <w:szCs w:val="24"/>
        </w:rPr>
        <w:t xml:space="preserve"> </w:t>
      </w:r>
      <w:r w:rsidRPr="00EE0F69">
        <w:rPr>
          <w:rFonts w:ascii="Times New Roman" w:hAnsi="Times New Roman" w:cs="Times New Roman"/>
          <w:i/>
          <w:iCs/>
          <w:sz w:val="24"/>
          <w:szCs w:val="24"/>
        </w:rPr>
        <w:t xml:space="preserve">Handbook for Nurses </w:t>
      </w:r>
      <w:r w:rsidRPr="00EE0F69">
        <w:rPr>
          <w:rFonts w:ascii="Times New Roman" w:hAnsi="Times New Roman" w:cs="Times New Roman"/>
          <w:sz w:val="24"/>
          <w:szCs w:val="24"/>
        </w:rPr>
        <w:t xml:space="preserve">(AHRQ Publication No. 08-0043). Agency for </w:t>
      </w:r>
      <w:r>
        <w:rPr>
          <w:rFonts w:ascii="Times New Roman" w:hAnsi="Times New Roman" w:cs="Times New Roman"/>
          <w:sz w:val="24"/>
          <w:szCs w:val="24"/>
        </w:rPr>
        <w:t xml:space="preserve">Healthcare Research and Quality: </w:t>
      </w:r>
      <w:r w:rsidRPr="00EE0F69">
        <w:rPr>
          <w:rFonts w:ascii="Times New Roman" w:hAnsi="Times New Roman" w:cs="Times New Roman"/>
          <w:sz w:val="24"/>
          <w:szCs w:val="24"/>
        </w:rPr>
        <w:t xml:space="preserve">Rockville, MD. </w:t>
      </w:r>
    </w:p>
    <w:p w:rsidR="00F97223" w:rsidRPr="00EE0F69" w:rsidRDefault="00645883" w:rsidP="00F97223">
      <w:pPr>
        <w:spacing w:line="480" w:lineRule="auto"/>
        <w:ind w:left="720" w:hanging="720"/>
        <w:rPr>
          <w:rFonts w:ascii="Times New Roman" w:hAnsi="Times New Roman" w:cs="Times New Roman"/>
          <w:sz w:val="24"/>
          <w:szCs w:val="24"/>
        </w:rPr>
      </w:pPr>
      <w:r w:rsidRPr="00EE0F69">
        <w:rPr>
          <w:rFonts w:ascii="Times New Roman" w:hAnsi="Times New Roman" w:cs="Times New Roman"/>
          <w:sz w:val="24"/>
          <w:szCs w:val="24"/>
        </w:rPr>
        <w:fldChar w:fldCharType="end"/>
      </w:r>
      <w:proofErr w:type="gramStart"/>
      <w:r w:rsidR="00F97223" w:rsidRPr="00EE0F69">
        <w:rPr>
          <w:rFonts w:ascii="Times New Roman" w:hAnsi="Times New Roman" w:cs="Times New Roman"/>
          <w:sz w:val="24"/>
          <w:szCs w:val="24"/>
        </w:rPr>
        <w:t>Sox, H. (1979).</w:t>
      </w:r>
      <w:proofErr w:type="gramEnd"/>
      <w:r w:rsidR="00F97223" w:rsidRPr="00EE0F69">
        <w:rPr>
          <w:rFonts w:ascii="Times New Roman" w:hAnsi="Times New Roman" w:cs="Times New Roman"/>
          <w:sz w:val="24"/>
          <w:szCs w:val="24"/>
        </w:rPr>
        <w:t xml:space="preserve"> Quality of patient care by nurse practitioners and physician’s assistants: A ten-year</w:t>
      </w:r>
      <w:r w:rsidR="00F97223">
        <w:rPr>
          <w:rFonts w:ascii="Times New Roman" w:hAnsi="Times New Roman" w:cs="Times New Roman"/>
          <w:sz w:val="24"/>
          <w:szCs w:val="24"/>
        </w:rPr>
        <w:t xml:space="preserve"> </w:t>
      </w:r>
      <w:r w:rsidR="00F97223" w:rsidRPr="00EE0F69">
        <w:rPr>
          <w:rFonts w:ascii="Times New Roman" w:hAnsi="Times New Roman" w:cs="Times New Roman"/>
          <w:sz w:val="24"/>
          <w:szCs w:val="24"/>
        </w:rPr>
        <w:t xml:space="preserve">perspective. </w:t>
      </w:r>
      <w:r w:rsidR="00F97223" w:rsidRPr="00EE0F69">
        <w:rPr>
          <w:rFonts w:ascii="Times New Roman" w:hAnsi="Times New Roman" w:cs="Times New Roman"/>
          <w:i/>
          <w:iCs/>
          <w:sz w:val="24"/>
          <w:szCs w:val="24"/>
        </w:rPr>
        <w:t>Annals of Internal Medicine</w:t>
      </w:r>
      <w:r w:rsidR="00F97223" w:rsidRPr="00263186">
        <w:rPr>
          <w:rFonts w:ascii="Times New Roman" w:hAnsi="Times New Roman" w:cs="Times New Roman"/>
          <w:i/>
          <w:sz w:val="24"/>
          <w:szCs w:val="24"/>
        </w:rPr>
        <w:t>, 91,</w:t>
      </w:r>
      <w:r w:rsidR="00F97223" w:rsidRPr="00EE0F69">
        <w:rPr>
          <w:rFonts w:ascii="Times New Roman" w:hAnsi="Times New Roman" w:cs="Times New Roman"/>
          <w:sz w:val="24"/>
          <w:szCs w:val="24"/>
        </w:rPr>
        <w:t xml:space="preserve"> 459 – 468.</w:t>
      </w:r>
    </w:p>
    <w:p w:rsidR="00F97223" w:rsidRPr="00EE0F69" w:rsidRDefault="00F97223" w:rsidP="00F97223">
      <w:pPr>
        <w:spacing w:line="480" w:lineRule="auto"/>
        <w:ind w:left="720" w:hanging="720"/>
        <w:rPr>
          <w:rFonts w:ascii="Times New Roman" w:hAnsi="Times New Roman" w:cs="Times New Roman"/>
          <w:sz w:val="24"/>
          <w:szCs w:val="24"/>
        </w:rPr>
      </w:pPr>
      <w:proofErr w:type="gramStart"/>
      <w:r w:rsidRPr="00EE0F69">
        <w:rPr>
          <w:rFonts w:ascii="Times New Roman" w:hAnsi="Times New Roman" w:cs="Times New Roman"/>
          <w:sz w:val="24"/>
          <w:szCs w:val="24"/>
        </w:rPr>
        <w:t>Statehealthfacts.org (</w:t>
      </w:r>
      <w:proofErr w:type="spellStart"/>
      <w:r w:rsidRPr="00EE0F69">
        <w:rPr>
          <w:rFonts w:ascii="Times New Roman" w:hAnsi="Times New Roman" w:cs="Times New Roman"/>
          <w:sz w:val="24"/>
          <w:szCs w:val="24"/>
        </w:rPr>
        <w:t>n.d</w:t>
      </w:r>
      <w:proofErr w:type="spellEnd"/>
      <w:r w:rsidRPr="00EE0F69">
        <w:rPr>
          <w:rFonts w:ascii="Times New Roman" w:hAnsi="Times New Roman" w:cs="Times New Roman"/>
          <w:sz w:val="24"/>
          <w:szCs w:val="24"/>
        </w:rPr>
        <w:t>.).</w:t>
      </w:r>
      <w:proofErr w:type="gramEnd"/>
      <w:r w:rsidRPr="00EE0F69">
        <w:rPr>
          <w:rFonts w:ascii="Times New Roman" w:hAnsi="Times New Roman" w:cs="Times New Roman"/>
          <w:sz w:val="24"/>
          <w:szCs w:val="24"/>
        </w:rPr>
        <w:t xml:space="preserve"> </w:t>
      </w:r>
      <w:proofErr w:type="gramStart"/>
      <w:r w:rsidRPr="00EE0F69">
        <w:rPr>
          <w:rFonts w:ascii="Times New Roman" w:hAnsi="Times New Roman" w:cs="Times New Roman"/>
          <w:i/>
          <w:iCs/>
          <w:sz w:val="24"/>
          <w:szCs w:val="24"/>
        </w:rPr>
        <w:t>Number of nonfederal physicians, 2008</w:t>
      </w:r>
      <w:r w:rsidRPr="00EE0F69">
        <w:rPr>
          <w:rFonts w:ascii="Times New Roman" w:hAnsi="Times New Roman" w:cs="Times New Roman"/>
          <w:sz w:val="24"/>
          <w:szCs w:val="24"/>
        </w:rPr>
        <w:t>.</w:t>
      </w:r>
      <w:proofErr w:type="gramEnd"/>
      <w:r w:rsidRPr="00EE0F69">
        <w:rPr>
          <w:rStyle w:val="pagehead1"/>
          <w:rFonts w:ascii="Times New Roman" w:hAnsi="Times New Roman" w:cs="Times New Roman"/>
          <w:sz w:val="24"/>
          <w:szCs w:val="24"/>
        </w:rPr>
        <w:t xml:space="preserve"> </w:t>
      </w:r>
      <w:r w:rsidRPr="00EE0F69">
        <w:rPr>
          <w:rFonts w:ascii="Times New Roman" w:hAnsi="Times New Roman" w:cs="Times New Roman"/>
          <w:sz w:val="24"/>
          <w:szCs w:val="24"/>
        </w:rPr>
        <w:t xml:space="preserve">Retrieved from: </w:t>
      </w:r>
      <w:hyperlink r:id="rId6" w:history="1">
        <w:r w:rsidRPr="00EE0F69">
          <w:rPr>
            <w:rStyle w:val="Hyperlink"/>
            <w:rFonts w:ascii="Times New Roman" w:hAnsi="Times New Roman" w:cs="Times New Roman"/>
            <w:sz w:val="24"/>
            <w:szCs w:val="24"/>
          </w:rPr>
          <w:t>http://www.statehealthfacts.org/comparemaptable.jsp?ind=429&amp;cat=8</w:t>
        </w:r>
      </w:hyperlink>
    </w:p>
    <w:p w:rsidR="00F97223" w:rsidRPr="00EE0F69" w:rsidRDefault="00F97223" w:rsidP="00F97223">
      <w:pPr>
        <w:spacing w:line="480" w:lineRule="auto"/>
        <w:ind w:left="720" w:hanging="720"/>
        <w:rPr>
          <w:rFonts w:ascii="Times New Roman" w:hAnsi="Times New Roman" w:cs="Times New Roman"/>
          <w:i/>
          <w:iCs/>
          <w:sz w:val="24"/>
          <w:szCs w:val="24"/>
        </w:rPr>
      </w:pPr>
      <w:proofErr w:type="gramStart"/>
      <w:r w:rsidRPr="00EE0F69">
        <w:rPr>
          <w:rFonts w:ascii="Times New Roman" w:hAnsi="Times New Roman" w:cs="Times New Roman"/>
          <w:sz w:val="24"/>
          <w:szCs w:val="24"/>
        </w:rPr>
        <w:t>United States Congress.</w:t>
      </w:r>
      <w:proofErr w:type="gramEnd"/>
      <w:r w:rsidRPr="00EE0F69">
        <w:rPr>
          <w:rFonts w:ascii="Times New Roman" w:hAnsi="Times New Roman" w:cs="Times New Roman"/>
          <w:sz w:val="24"/>
          <w:szCs w:val="24"/>
        </w:rPr>
        <w:t xml:space="preserve"> </w:t>
      </w:r>
      <w:proofErr w:type="gramStart"/>
      <w:r w:rsidRPr="00EE0F69">
        <w:rPr>
          <w:rFonts w:ascii="Times New Roman" w:hAnsi="Times New Roman" w:cs="Times New Roman"/>
          <w:sz w:val="24"/>
          <w:szCs w:val="24"/>
        </w:rPr>
        <w:t>Office of Technology Assessment (1981).</w:t>
      </w:r>
      <w:proofErr w:type="gramEnd"/>
      <w:r w:rsidRPr="00EE0F69">
        <w:rPr>
          <w:rFonts w:ascii="Times New Roman" w:hAnsi="Times New Roman" w:cs="Times New Roman"/>
          <w:sz w:val="24"/>
          <w:szCs w:val="24"/>
        </w:rPr>
        <w:t xml:space="preserve"> </w:t>
      </w:r>
      <w:r w:rsidRPr="00EE0F69">
        <w:rPr>
          <w:rFonts w:ascii="Times New Roman" w:hAnsi="Times New Roman" w:cs="Times New Roman"/>
          <w:i/>
          <w:iCs/>
          <w:sz w:val="24"/>
          <w:szCs w:val="24"/>
        </w:rPr>
        <w:t>The costs and effectiveness of</w:t>
      </w:r>
    </w:p>
    <w:p w:rsidR="00F97223" w:rsidRPr="00EE0F69" w:rsidRDefault="00F97223" w:rsidP="00F97223">
      <w:pPr>
        <w:spacing w:line="480" w:lineRule="auto"/>
        <w:ind w:left="720"/>
        <w:rPr>
          <w:rFonts w:ascii="Times New Roman" w:hAnsi="Times New Roman" w:cs="Times New Roman"/>
          <w:sz w:val="24"/>
          <w:szCs w:val="24"/>
        </w:rPr>
      </w:pPr>
      <w:proofErr w:type="gramStart"/>
      <w:r w:rsidRPr="00EE0F69">
        <w:rPr>
          <w:rFonts w:ascii="Times New Roman" w:hAnsi="Times New Roman" w:cs="Times New Roman"/>
          <w:i/>
          <w:iCs/>
          <w:sz w:val="24"/>
          <w:szCs w:val="24"/>
        </w:rPr>
        <w:t>nurse</w:t>
      </w:r>
      <w:proofErr w:type="gramEnd"/>
      <w:r w:rsidRPr="00EE0F69">
        <w:rPr>
          <w:rFonts w:ascii="Times New Roman" w:hAnsi="Times New Roman" w:cs="Times New Roman"/>
          <w:i/>
          <w:iCs/>
          <w:sz w:val="24"/>
          <w:szCs w:val="24"/>
        </w:rPr>
        <w:t xml:space="preserve"> </w:t>
      </w:r>
      <w:proofErr w:type="spellStart"/>
      <w:r w:rsidRPr="00EE0F69">
        <w:rPr>
          <w:rFonts w:ascii="Times New Roman" w:hAnsi="Times New Roman" w:cs="Times New Roman"/>
          <w:i/>
          <w:iCs/>
          <w:sz w:val="24"/>
          <w:szCs w:val="24"/>
        </w:rPr>
        <w:t>practitioners.</w:t>
      </w:r>
      <w:r w:rsidRPr="00EE0F69">
        <w:rPr>
          <w:rFonts w:ascii="Times New Roman" w:hAnsi="Times New Roman" w:cs="Times New Roman"/>
          <w:sz w:val="24"/>
          <w:szCs w:val="24"/>
        </w:rPr>
        <w:t>Washington</w:t>
      </w:r>
      <w:proofErr w:type="spellEnd"/>
      <w:r w:rsidRPr="00EE0F69">
        <w:rPr>
          <w:rFonts w:ascii="Times New Roman" w:hAnsi="Times New Roman" w:cs="Times New Roman"/>
          <w:sz w:val="24"/>
          <w:szCs w:val="24"/>
        </w:rPr>
        <w:t>, DC: US Government Printing Office.</w:t>
      </w:r>
    </w:p>
    <w:p w:rsidR="00F97223" w:rsidRPr="008B1CC2" w:rsidRDefault="00F97223" w:rsidP="00F97223">
      <w:pPr>
        <w:spacing w:line="480" w:lineRule="auto"/>
        <w:ind w:left="720" w:hanging="720"/>
        <w:rPr>
          <w:rFonts w:ascii="Times New Roman" w:hAnsi="Times New Roman" w:cs="Times New Roman"/>
          <w:i/>
          <w:iCs/>
          <w:sz w:val="24"/>
          <w:szCs w:val="24"/>
        </w:rPr>
      </w:pPr>
      <w:r w:rsidRPr="00EE0F69">
        <w:rPr>
          <w:rFonts w:ascii="Times New Roman" w:hAnsi="Times New Roman" w:cs="Times New Roman"/>
          <w:sz w:val="24"/>
          <w:szCs w:val="24"/>
        </w:rPr>
        <w:t xml:space="preserve">United States Congress, Office of Technology Assessment (1986). </w:t>
      </w:r>
      <w:r w:rsidRPr="00EE0F69">
        <w:rPr>
          <w:rFonts w:ascii="Times New Roman" w:hAnsi="Times New Roman" w:cs="Times New Roman"/>
          <w:i/>
          <w:iCs/>
          <w:sz w:val="24"/>
          <w:szCs w:val="24"/>
        </w:rPr>
        <w:t>Nurse practitioners, physician</w:t>
      </w:r>
      <w:r>
        <w:rPr>
          <w:rFonts w:ascii="Times New Roman" w:hAnsi="Times New Roman" w:cs="Times New Roman"/>
          <w:i/>
          <w:iCs/>
          <w:sz w:val="24"/>
          <w:szCs w:val="24"/>
        </w:rPr>
        <w:t xml:space="preserve"> </w:t>
      </w:r>
      <w:r w:rsidRPr="00EE0F69">
        <w:rPr>
          <w:rFonts w:ascii="Times New Roman" w:hAnsi="Times New Roman" w:cs="Times New Roman"/>
          <w:i/>
          <w:iCs/>
          <w:sz w:val="24"/>
          <w:szCs w:val="24"/>
        </w:rPr>
        <w:t>assistants, and certified nu</w:t>
      </w:r>
      <w:r>
        <w:rPr>
          <w:rFonts w:ascii="Times New Roman" w:hAnsi="Times New Roman" w:cs="Times New Roman"/>
          <w:i/>
          <w:iCs/>
          <w:sz w:val="24"/>
          <w:szCs w:val="24"/>
        </w:rPr>
        <w:t>rse-midwives: A policy analysis.</w:t>
      </w:r>
      <w:r w:rsidRPr="00EE0F69">
        <w:rPr>
          <w:rFonts w:ascii="Times New Roman" w:hAnsi="Times New Roman" w:cs="Times New Roman"/>
          <w:i/>
          <w:iCs/>
          <w:sz w:val="24"/>
          <w:szCs w:val="24"/>
        </w:rPr>
        <w:t xml:space="preserve"> </w:t>
      </w:r>
      <w:r w:rsidRPr="00EE0F69">
        <w:rPr>
          <w:rFonts w:ascii="Times New Roman" w:hAnsi="Times New Roman" w:cs="Times New Roman"/>
          <w:sz w:val="24"/>
          <w:szCs w:val="24"/>
        </w:rPr>
        <w:t>Washington, DC: US Government Printing</w:t>
      </w:r>
      <w:r>
        <w:rPr>
          <w:rFonts w:ascii="Times New Roman" w:hAnsi="Times New Roman" w:cs="Times New Roman"/>
          <w:i/>
          <w:iCs/>
          <w:sz w:val="24"/>
          <w:szCs w:val="24"/>
        </w:rPr>
        <w:t xml:space="preserve"> </w:t>
      </w:r>
      <w:r w:rsidRPr="00EE0F69">
        <w:rPr>
          <w:rFonts w:ascii="Times New Roman" w:hAnsi="Times New Roman" w:cs="Times New Roman"/>
          <w:sz w:val="24"/>
          <w:szCs w:val="24"/>
        </w:rPr>
        <w:t>Office.</w:t>
      </w:r>
    </w:p>
    <w:p w:rsidR="00F97223" w:rsidRPr="00EE0F69" w:rsidRDefault="00F97223" w:rsidP="00F97223">
      <w:pPr>
        <w:spacing w:line="480" w:lineRule="auto"/>
        <w:ind w:left="720" w:hanging="720"/>
        <w:rPr>
          <w:rFonts w:ascii="Times New Roman" w:hAnsi="Times New Roman" w:cs="Times New Roman"/>
          <w:sz w:val="24"/>
          <w:szCs w:val="24"/>
        </w:rPr>
      </w:pPr>
      <w:proofErr w:type="gramStart"/>
      <w:r w:rsidRPr="00EE0F69">
        <w:rPr>
          <w:rFonts w:ascii="Times New Roman" w:hAnsi="Times New Roman" w:cs="Times New Roman"/>
          <w:sz w:val="24"/>
          <w:szCs w:val="24"/>
        </w:rPr>
        <w:lastRenderedPageBreak/>
        <w:t>US Department of Health and Human Services, Health Resources and Services Administration, Healthcare Integrity and Protection Data Bank (2010).</w:t>
      </w:r>
      <w:proofErr w:type="gramEnd"/>
      <w:r w:rsidRPr="00EE0F69">
        <w:rPr>
          <w:rFonts w:ascii="Times New Roman" w:hAnsi="Times New Roman" w:cs="Times New Roman"/>
          <w:sz w:val="24"/>
          <w:szCs w:val="24"/>
        </w:rPr>
        <w:t xml:space="preserve"> </w:t>
      </w:r>
      <w:r w:rsidRPr="00EE0F69">
        <w:rPr>
          <w:rFonts w:ascii="Times New Roman" w:hAnsi="Times New Roman" w:cs="Times New Roman"/>
          <w:i/>
          <w:iCs/>
          <w:sz w:val="24"/>
          <w:szCs w:val="24"/>
        </w:rPr>
        <w:t>HIPDB reports submitted by state agencies and health plans</w:t>
      </w:r>
      <w:r w:rsidRPr="00EE0F69">
        <w:rPr>
          <w:rFonts w:ascii="Times New Roman" w:hAnsi="Times New Roman" w:cs="Times New Roman"/>
          <w:sz w:val="24"/>
          <w:szCs w:val="24"/>
        </w:rPr>
        <w:t xml:space="preserve">. Retrieved from: </w:t>
      </w:r>
      <w:hyperlink r:id="rId7" w:history="1">
        <w:r w:rsidRPr="00EE0F69">
          <w:rPr>
            <w:rStyle w:val="Hyperlink"/>
            <w:rFonts w:ascii="Times New Roman" w:hAnsi="Times New Roman" w:cs="Times New Roman"/>
            <w:sz w:val="24"/>
            <w:szCs w:val="24"/>
          </w:rPr>
          <w:t>http://www.npdb-hipdb.hrsa.gov/resources/reports/HIPDBStateAgencyAndHealthPlanIndividualSubjectSummaryReport.pdf</w:t>
        </w:r>
      </w:hyperlink>
    </w:p>
    <w:p w:rsidR="00F97223" w:rsidRPr="00EE0F69" w:rsidRDefault="00F97223" w:rsidP="00F97223">
      <w:pPr>
        <w:spacing w:line="480" w:lineRule="auto"/>
        <w:ind w:left="720" w:hanging="720"/>
        <w:rPr>
          <w:rFonts w:ascii="Times New Roman" w:hAnsi="Times New Roman" w:cs="Times New Roman"/>
          <w:sz w:val="24"/>
          <w:szCs w:val="24"/>
        </w:rPr>
      </w:pPr>
      <w:proofErr w:type="gramStart"/>
      <w:r w:rsidRPr="00EE0F69">
        <w:rPr>
          <w:rFonts w:ascii="Times New Roman" w:hAnsi="Times New Roman" w:cs="Times New Roman"/>
          <w:sz w:val="24"/>
          <w:szCs w:val="24"/>
        </w:rPr>
        <w:t>US Department of Health and Human Services, Health Resources and Services Administration, Healthcare Integrity and Protection Data Bank (2010).</w:t>
      </w:r>
      <w:proofErr w:type="gramEnd"/>
      <w:r w:rsidRPr="00EE0F69">
        <w:rPr>
          <w:rFonts w:ascii="Times New Roman" w:hAnsi="Times New Roman" w:cs="Times New Roman"/>
          <w:sz w:val="24"/>
          <w:szCs w:val="24"/>
        </w:rPr>
        <w:t xml:space="preserve"> </w:t>
      </w:r>
      <w:proofErr w:type="gramStart"/>
      <w:r w:rsidRPr="00EE0F69">
        <w:rPr>
          <w:rFonts w:ascii="Times New Roman" w:hAnsi="Times New Roman" w:cs="Times New Roman"/>
          <w:i/>
          <w:iCs/>
          <w:sz w:val="24"/>
          <w:szCs w:val="24"/>
        </w:rPr>
        <w:t>HIPDB reports submitted by federal agencies</w:t>
      </w:r>
      <w:r w:rsidRPr="00EE0F69">
        <w:rPr>
          <w:rFonts w:ascii="Times New Roman" w:hAnsi="Times New Roman" w:cs="Times New Roman"/>
          <w:sz w:val="24"/>
          <w:szCs w:val="24"/>
        </w:rPr>
        <w:t>.</w:t>
      </w:r>
      <w:proofErr w:type="gramEnd"/>
      <w:r w:rsidRPr="00EE0F69">
        <w:rPr>
          <w:rFonts w:ascii="Times New Roman" w:hAnsi="Times New Roman" w:cs="Times New Roman"/>
          <w:sz w:val="24"/>
          <w:szCs w:val="24"/>
        </w:rPr>
        <w:t xml:space="preserve"> Retrieved from: </w:t>
      </w:r>
      <w:hyperlink r:id="rId8" w:history="1">
        <w:r w:rsidRPr="00EE0F69">
          <w:rPr>
            <w:rStyle w:val="Hyperlink"/>
            <w:rFonts w:ascii="Times New Roman" w:hAnsi="Times New Roman" w:cs="Times New Roman"/>
            <w:sz w:val="24"/>
            <w:szCs w:val="24"/>
          </w:rPr>
          <w:t>http://www.npdb-hipdb.hrsa.gov/resources/reports/HIPDBFederalAgencyIndividualSubjectSummaryReport.pdf</w:t>
        </w:r>
      </w:hyperlink>
    </w:p>
    <w:p w:rsidR="00F97223" w:rsidRPr="00EE0F69" w:rsidRDefault="00F97223" w:rsidP="00F97223">
      <w:pPr>
        <w:spacing w:line="480" w:lineRule="auto"/>
        <w:ind w:left="720" w:hanging="720"/>
        <w:rPr>
          <w:rFonts w:ascii="Times New Roman" w:hAnsi="Times New Roman" w:cs="Times New Roman"/>
          <w:sz w:val="24"/>
          <w:szCs w:val="24"/>
        </w:rPr>
      </w:pPr>
      <w:proofErr w:type="gramStart"/>
      <w:r w:rsidRPr="00EE0F69">
        <w:rPr>
          <w:rFonts w:ascii="Times New Roman" w:hAnsi="Times New Roman" w:cs="Times New Roman"/>
          <w:sz w:val="24"/>
          <w:szCs w:val="24"/>
        </w:rPr>
        <w:t>US Department of Health and Human Services, Health Resources and Services Administration, National Practitioner Data Bank (2010).</w:t>
      </w:r>
      <w:proofErr w:type="gramEnd"/>
      <w:r w:rsidRPr="00EE0F69">
        <w:rPr>
          <w:rFonts w:ascii="Times New Roman" w:hAnsi="Times New Roman" w:cs="Times New Roman"/>
          <w:sz w:val="24"/>
          <w:szCs w:val="24"/>
        </w:rPr>
        <w:t xml:space="preserve"> </w:t>
      </w:r>
      <w:proofErr w:type="gramStart"/>
      <w:r w:rsidRPr="00EE0F69">
        <w:rPr>
          <w:rFonts w:ascii="Times New Roman" w:hAnsi="Times New Roman" w:cs="Times New Roman"/>
          <w:i/>
          <w:iCs/>
          <w:sz w:val="24"/>
          <w:szCs w:val="24"/>
        </w:rPr>
        <w:t>NPDB summary report</w:t>
      </w:r>
      <w:r w:rsidRPr="00EE0F69">
        <w:rPr>
          <w:rFonts w:ascii="Times New Roman" w:hAnsi="Times New Roman" w:cs="Times New Roman"/>
          <w:sz w:val="24"/>
          <w:szCs w:val="24"/>
        </w:rPr>
        <w:t>.</w:t>
      </w:r>
      <w:proofErr w:type="gramEnd"/>
      <w:r w:rsidRPr="00EE0F69">
        <w:rPr>
          <w:rFonts w:ascii="Times New Roman" w:hAnsi="Times New Roman" w:cs="Times New Roman"/>
          <w:sz w:val="24"/>
          <w:szCs w:val="24"/>
        </w:rPr>
        <w:t xml:space="preserve"> Retrieved from:</w:t>
      </w:r>
      <w:r w:rsidRPr="00EE0F69">
        <w:rPr>
          <w:rFonts w:ascii="Times New Roman" w:hAnsi="Times New Roman" w:cs="Times New Roman"/>
          <w:b/>
          <w:bCs/>
          <w:sz w:val="24"/>
          <w:szCs w:val="24"/>
        </w:rPr>
        <w:t xml:space="preserve"> </w:t>
      </w:r>
      <w:hyperlink r:id="rId9" w:history="1">
        <w:r w:rsidRPr="00EE0F69">
          <w:rPr>
            <w:rStyle w:val="Hyperlink"/>
            <w:rFonts w:ascii="Times New Roman" w:hAnsi="Times New Roman" w:cs="Times New Roman"/>
            <w:sz w:val="24"/>
            <w:szCs w:val="24"/>
          </w:rPr>
          <w:t>http://www.npdb-hipdb.hrsa.gov/resources/reports/NPDBSummaryReport.pdf</w:t>
        </w:r>
      </w:hyperlink>
    </w:p>
    <w:p w:rsidR="00F97223" w:rsidRPr="00EE0F69" w:rsidRDefault="00F97223" w:rsidP="00F97223">
      <w:pPr>
        <w:spacing w:line="480" w:lineRule="auto"/>
        <w:ind w:left="720" w:hanging="720"/>
        <w:rPr>
          <w:rFonts w:ascii="Times New Roman" w:hAnsi="Times New Roman" w:cs="Times New Roman"/>
          <w:sz w:val="24"/>
          <w:szCs w:val="24"/>
        </w:rPr>
      </w:pPr>
      <w:proofErr w:type="gramStart"/>
      <w:r w:rsidRPr="00EE0F69">
        <w:rPr>
          <w:rFonts w:ascii="Times New Roman" w:hAnsi="Times New Roman" w:cs="Times New Roman"/>
          <w:sz w:val="24"/>
          <w:szCs w:val="24"/>
        </w:rPr>
        <w:t>Ventura, M., Feldman, M. &amp; Crosby, F. (1991).</w:t>
      </w:r>
      <w:proofErr w:type="gramEnd"/>
      <w:r w:rsidRPr="00EE0F69">
        <w:rPr>
          <w:rFonts w:ascii="Times New Roman" w:hAnsi="Times New Roman" w:cs="Times New Roman"/>
          <w:sz w:val="24"/>
          <w:szCs w:val="24"/>
        </w:rPr>
        <w:t xml:space="preserve"> </w:t>
      </w:r>
      <w:proofErr w:type="gramStart"/>
      <w:r w:rsidRPr="00EE0F69">
        <w:rPr>
          <w:rFonts w:ascii="Times New Roman" w:hAnsi="Times New Roman" w:cs="Times New Roman"/>
          <w:sz w:val="24"/>
          <w:szCs w:val="24"/>
        </w:rPr>
        <w:t>An information synthesis to evaluate nurse practitioner</w:t>
      </w:r>
      <w:r>
        <w:rPr>
          <w:rFonts w:ascii="Times New Roman" w:hAnsi="Times New Roman" w:cs="Times New Roman"/>
          <w:sz w:val="24"/>
          <w:szCs w:val="24"/>
        </w:rPr>
        <w:t xml:space="preserve"> </w:t>
      </w:r>
      <w:r w:rsidRPr="00EE0F69">
        <w:rPr>
          <w:rFonts w:ascii="Times New Roman" w:hAnsi="Times New Roman" w:cs="Times New Roman"/>
          <w:sz w:val="24"/>
          <w:szCs w:val="24"/>
        </w:rPr>
        <w:t>effectiveness.</w:t>
      </w:r>
      <w:proofErr w:type="gramEnd"/>
      <w:r w:rsidRPr="00EE0F69">
        <w:rPr>
          <w:rFonts w:ascii="Times New Roman" w:hAnsi="Times New Roman" w:cs="Times New Roman"/>
          <w:sz w:val="24"/>
          <w:szCs w:val="24"/>
        </w:rPr>
        <w:t xml:space="preserve"> </w:t>
      </w:r>
      <w:r w:rsidRPr="00EE0F69">
        <w:rPr>
          <w:rFonts w:ascii="Times New Roman" w:hAnsi="Times New Roman" w:cs="Times New Roman"/>
          <w:i/>
          <w:iCs/>
          <w:sz w:val="24"/>
          <w:szCs w:val="24"/>
        </w:rPr>
        <w:t>Military Medicine</w:t>
      </w:r>
      <w:r w:rsidRPr="00687E88">
        <w:rPr>
          <w:rFonts w:ascii="Times New Roman" w:hAnsi="Times New Roman" w:cs="Times New Roman"/>
          <w:i/>
          <w:sz w:val="24"/>
          <w:szCs w:val="24"/>
        </w:rPr>
        <w:t>, 156,</w:t>
      </w:r>
      <w:r w:rsidRPr="00EE0F69">
        <w:rPr>
          <w:rFonts w:ascii="Times New Roman" w:hAnsi="Times New Roman" w:cs="Times New Roman"/>
          <w:sz w:val="24"/>
          <w:szCs w:val="24"/>
        </w:rPr>
        <w:t xml:space="preserve"> 286–291.</w:t>
      </w:r>
    </w:p>
    <w:p w:rsidR="00F97223" w:rsidRPr="00EE0F69" w:rsidRDefault="00F97223" w:rsidP="00F97223">
      <w:pPr>
        <w:rPr>
          <w:rFonts w:ascii="Times New Roman" w:hAnsi="Times New Roman" w:cs="Times New Roman"/>
          <w:sz w:val="24"/>
          <w:szCs w:val="24"/>
        </w:rPr>
      </w:pPr>
    </w:p>
    <w:p w:rsidR="00F97223" w:rsidRPr="00EE0F69" w:rsidRDefault="00F97223" w:rsidP="00F97223">
      <w:pPr>
        <w:rPr>
          <w:rFonts w:ascii="Times New Roman" w:hAnsi="Times New Roman" w:cs="Times New Roman"/>
          <w:sz w:val="24"/>
          <w:szCs w:val="24"/>
        </w:rPr>
      </w:pPr>
    </w:p>
    <w:p w:rsidR="00F97223" w:rsidRPr="00EE0F69" w:rsidRDefault="00F97223" w:rsidP="00F97223">
      <w:pPr>
        <w:ind w:left="720" w:hanging="720"/>
        <w:rPr>
          <w:rFonts w:ascii="Times New Roman" w:hAnsi="Times New Roman" w:cs="Times New Roman"/>
          <w:sz w:val="24"/>
          <w:szCs w:val="24"/>
        </w:rPr>
      </w:pPr>
    </w:p>
    <w:p w:rsidR="00F97223" w:rsidRPr="00EE0F69" w:rsidRDefault="00F97223" w:rsidP="00F97223">
      <w:pPr>
        <w:ind w:left="720" w:hanging="720"/>
        <w:rPr>
          <w:rFonts w:ascii="Times New Roman" w:hAnsi="Times New Roman" w:cs="Times New Roman"/>
          <w:sz w:val="24"/>
          <w:szCs w:val="24"/>
        </w:rPr>
      </w:pPr>
    </w:p>
    <w:p w:rsidR="00F97223" w:rsidRPr="00EE0F69" w:rsidRDefault="00F97223" w:rsidP="00F97223">
      <w:pPr>
        <w:ind w:left="720" w:hanging="720"/>
        <w:rPr>
          <w:rFonts w:ascii="Times New Roman" w:hAnsi="Times New Roman" w:cs="Times New Roman"/>
          <w:sz w:val="24"/>
          <w:szCs w:val="24"/>
        </w:rPr>
      </w:pPr>
    </w:p>
    <w:p w:rsidR="00F97223" w:rsidRPr="00EE0F69" w:rsidRDefault="00F97223" w:rsidP="00F97223">
      <w:pPr>
        <w:ind w:left="720" w:hanging="720"/>
        <w:rPr>
          <w:rFonts w:ascii="Times New Roman" w:hAnsi="Times New Roman" w:cs="Times New Roman"/>
          <w:sz w:val="24"/>
          <w:szCs w:val="24"/>
        </w:rPr>
      </w:pPr>
      <w:r w:rsidRPr="00EE0F69">
        <w:rPr>
          <w:rFonts w:ascii="Times New Roman" w:hAnsi="Times New Roman" w:cs="Times New Roman"/>
          <w:sz w:val="24"/>
          <w:szCs w:val="24"/>
        </w:rPr>
        <w:br w:type="page"/>
      </w:r>
    </w:p>
    <w:p w:rsidR="00F97223" w:rsidRPr="00687E88" w:rsidRDefault="00F97223" w:rsidP="00F97223">
      <w:pPr>
        <w:jc w:val="center"/>
        <w:rPr>
          <w:rFonts w:ascii="Times New Roman" w:hAnsi="Times New Roman" w:cs="Times New Roman"/>
          <w:b/>
          <w:sz w:val="24"/>
          <w:szCs w:val="24"/>
        </w:rPr>
      </w:pPr>
      <w:r w:rsidRPr="00687E88">
        <w:rPr>
          <w:rFonts w:ascii="Times New Roman" w:hAnsi="Times New Roman" w:cs="Times New Roman"/>
          <w:b/>
          <w:sz w:val="24"/>
          <w:szCs w:val="24"/>
        </w:rPr>
        <w:lastRenderedPageBreak/>
        <w:t>Appendix</w:t>
      </w:r>
    </w:p>
    <w:p w:rsidR="00F97223" w:rsidRPr="00EE0F69" w:rsidRDefault="00F97223" w:rsidP="00F97223">
      <w:pPr>
        <w:rPr>
          <w:rFonts w:ascii="Times New Roman" w:hAnsi="Times New Roman" w:cs="Times New Roman"/>
          <w:sz w:val="24"/>
          <w:szCs w:val="24"/>
        </w:rPr>
      </w:pPr>
    </w:p>
    <w:p w:rsidR="00F97223" w:rsidRPr="00EE0F69" w:rsidRDefault="00F97223" w:rsidP="00F97223">
      <w:pPr>
        <w:rPr>
          <w:rFonts w:ascii="Times New Roman" w:hAnsi="Times New Roman" w:cs="Times New Roman"/>
          <w:sz w:val="24"/>
          <w:szCs w:val="24"/>
        </w:rPr>
      </w:pPr>
      <w:r w:rsidRPr="00EE0F69">
        <w:rPr>
          <w:rFonts w:ascii="Times New Roman" w:hAnsi="Times New Roman" w:cs="Times New Roman"/>
          <w:sz w:val="24"/>
          <w:szCs w:val="24"/>
        </w:rPr>
        <w:t>The eight categories of reasons for discipline were established based on themes identified in the data, and are defined as follows:</w:t>
      </w:r>
    </w:p>
    <w:p w:rsidR="00F97223" w:rsidRPr="00EE0F69" w:rsidRDefault="00F97223" w:rsidP="00F97223">
      <w:pPr>
        <w:rPr>
          <w:rFonts w:ascii="Times New Roman" w:hAnsi="Times New Roman" w:cs="Times New Roman"/>
          <w:sz w:val="24"/>
          <w:szCs w:val="24"/>
        </w:rPr>
      </w:pPr>
    </w:p>
    <w:p w:rsidR="00F97223" w:rsidRPr="00EE0F69" w:rsidRDefault="00F97223" w:rsidP="00F97223">
      <w:pPr>
        <w:ind w:left="360" w:hanging="360"/>
        <w:rPr>
          <w:rFonts w:ascii="Times New Roman" w:hAnsi="Times New Roman" w:cs="Times New Roman"/>
          <w:sz w:val="24"/>
          <w:szCs w:val="24"/>
        </w:rPr>
      </w:pPr>
      <w:r w:rsidRPr="00EE0F69">
        <w:rPr>
          <w:rFonts w:ascii="Times New Roman" w:hAnsi="Times New Roman" w:cs="Times New Roman"/>
          <w:sz w:val="24"/>
          <w:szCs w:val="24"/>
        </w:rPr>
        <w:t xml:space="preserve">1.  </w:t>
      </w:r>
      <w:r w:rsidRPr="00EE0F69">
        <w:rPr>
          <w:rFonts w:ascii="Times New Roman" w:hAnsi="Times New Roman" w:cs="Times New Roman"/>
          <w:b/>
          <w:sz w:val="24"/>
          <w:szCs w:val="24"/>
        </w:rPr>
        <w:t>Practice Issues</w:t>
      </w:r>
      <w:r w:rsidRPr="00EE0F69">
        <w:rPr>
          <w:rFonts w:ascii="Times New Roman" w:hAnsi="Times New Roman" w:cs="Times New Roman"/>
          <w:sz w:val="24"/>
          <w:szCs w:val="24"/>
        </w:rPr>
        <w:t>—reasons included in this category: issues related to assessment, diagnosing, ordering and interpreting tests, and plan of care issues (collectively referred to as compromised patient safety), scope of practice issues, documentation issues, and failure to follow hospital policies.</w:t>
      </w:r>
    </w:p>
    <w:p w:rsidR="00F97223" w:rsidRPr="00EE0F69" w:rsidRDefault="00F97223" w:rsidP="00F97223">
      <w:pPr>
        <w:ind w:left="360" w:hanging="360"/>
        <w:rPr>
          <w:rFonts w:ascii="Times New Roman" w:hAnsi="Times New Roman" w:cs="Times New Roman"/>
          <w:sz w:val="24"/>
          <w:szCs w:val="24"/>
        </w:rPr>
      </w:pPr>
      <w:r w:rsidRPr="00EE0F69">
        <w:rPr>
          <w:rFonts w:ascii="Times New Roman" w:hAnsi="Times New Roman" w:cs="Times New Roman"/>
          <w:sz w:val="24"/>
          <w:szCs w:val="24"/>
        </w:rPr>
        <w:t xml:space="preserve">2.  </w:t>
      </w:r>
      <w:r w:rsidRPr="00EE0F69">
        <w:rPr>
          <w:rFonts w:ascii="Times New Roman" w:hAnsi="Times New Roman" w:cs="Times New Roman"/>
          <w:b/>
          <w:sz w:val="24"/>
          <w:szCs w:val="24"/>
        </w:rPr>
        <w:t>Prescribing Issues</w:t>
      </w:r>
      <w:r w:rsidRPr="00EE0F69">
        <w:rPr>
          <w:rFonts w:ascii="Times New Roman" w:hAnsi="Times New Roman" w:cs="Times New Roman"/>
          <w:sz w:val="24"/>
          <w:szCs w:val="24"/>
        </w:rPr>
        <w:t>—reasons in this category include prescribing for people who were not patients, overstepping scope of prescribing authority, compromising patient safety, and prescribing for purposes of drug diversion.</w:t>
      </w:r>
    </w:p>
    <w:p w:rsidR="00F97223" w:rsidRPr="00EE0F69" w:rsidRDefault="00F97223" w:rsidP="00F97223">
      <w:pPr>
        <w:ind w:left="360" w:hanging="360"/>
        <w:rPr>
          <w:rFonts w:ascii="Times New Roman" w:hAnsi="Times New Roman" w:cs="Times New Roman"/>
          <w:sz w:val="24"/>
          <w:szCs w:val="24"/>
        </w:rPr>
      </w:pPr>
      <w:r w:rsidRPr="00EE0F69">
        <w:rPr>
          <w:rFonts w:ascii="Times New Roman" w:hAnsi="Times New Roman" w:cs="Times New Roman"/>
          <w:sz w:val="24"/>
          <w:szCs w:val="24"/>
        </w:rPr>
        <w:t xml:space="preserve">3.  </w:t>
      </w:r>
      <w:r w:rsidRPr="00EE0F69">
        <w:rPr>
          <w:rFonts w:ascii="Times New Roman" w:hAnsi="Times New Roman" w:cs="Times New Roman"/>
          <w:b/>
          <w:sz w:val="24"/>
          <w:szCs w:val="24"/>
        </w:rPr>
        <w:t>Licensing Issues</w:t>
      </w:r>
      <w:r w:rsidRPr="00EE0F69">
        <w:rPr>
          <w:rFonts w:ascii="Times New Roman" w:hAnsi="Times New Roman" w:cs="Times New Roman"/>
          <w:sz w:val="24"/>
          <w:szCs w:val="24"/>
        </w:rPr>
        <w:t>—this category includes disciplinary actions related to maintaining compliance with the licensing rules. Reasons for discipline in this category include: practicing with an expired license, unable to provide proof of meeting continuing education requirements, practicing prior to licensure and practicing with expired national certification (collectively referred to as Practicing without Board Approval). Other licensing issues include collaborative practice violations, and making false statements on licensing applications (initial or renewal).</w:t>
      </w:r>
    </w:p>
    <w:p w:rsidR="00F97223" w:rsidRPr="00EE0F69" w:rsidRDefault="00F97223" w:rsidP="00F97223">
      <w:pPr>
        <w:rPr>
          <w:rFonts w:ascii="Times New Roman" w:hAnsi="Times New Roman" w:cs="Times New Roman"/>
          <w:sz w:val="24"/>
          <w:szCs w:val="24"/>
        </w:rPr>
      </w:pPr>
      <w:r w:rsidRPr="00EE0F69">
        <w:rPr>
          <w:rFonts w:ascii="Times New Roman" w:hAnsi="Times New Roman" w:cs="Times New Roman"/>
          <w:sz w:val="24"/>
          <w:szCs w:val="24"/>
        </w:rPr>
        <w:t xml:space="preserve">4.  </w:t>
      </w:r>
      <w:r w:rsidRPr="00EE0F69">
        <w:rPr>
          <w:rFonts w:ascii="Times New Roman" w:hAnsi="Times New Roman" w:cs="Times New Roman"/>
          <w:b/>
          <w:sz w:val="24"/>
          <w:szCs w:val="24"/>
        </w:rPr>
        <w:t>Criminal Conviction, No Contest or Guilty Plea</w:t>
      </w:r>
    </w:p>
    <w:p w:rsidR="00F97223" w:rsidRPr="00EE0F69" w:rsidRDefault="00F97223" w:rsidP="00F97223">
      <w:pPr>
        <w:ind w:left="360" w:hanging="360"/>
        <w:rPr>
          <w:rFonts w:ascii="Times New Roman" w:hAnsi="Times New Roman" w:cs="Times New Roman"/>
          <w:sz w:val="24"/>
          <w:szCs w:val="24"/>
        </w:rPr>
      </w:pPr>
      <w:r w:rsidRPr="00EE0F69">
        <w:rPr>
          <w:rFonts w:ascii="Times New Roman" w:hAnsi="Times New Roman" w:cs="Times New Roman"/>
          <w:sz w:val="24"/>
          <w:szCs w:val="24"/>
        </w:rPr>
        <w:t xml:space="preserve">5.  </w:t>
      </w:r>
      <w:r w:rsidRPr="00EE0F69">
        <w:rPr>
          <w:rFonts w:ascii="Times New Roman" w:hAnsi="Times New Roman" w:cs="Times New Roman"/>
          <w:b/>
          <w:sz w:val="24"/>
          <w:szCs w:val="24"/>
        </w:rPr>
        <w:t>Failure to Comply with Board Order</w:t>
      </w:r>
      <w:r w:rsidRPr="00EE0F69">
        <w:rPr>
          <w:rFonts w:ascii="Times New Roman" w:hAnsi="Times New Roman" w:cs="Times New Roman"/>
          <w:sz w:val="24"/>
          <w:szCs w:val="24"/>
        </w:rPr>
        <w:t>—examples of reasons related to failure to comply include: failure to maintain license, failure to submit employer reports, and chemical dependency relapse.</w:t>
      </w:r>
    </w:p>
    <w:p w:rsidR="00F97223" w:rsidRPr="00EE0F69" w:rsidRDefault="00F97223" w:rsidP="00F97223">
      <w:pPr>
        <w:ind w:left="360" w:hanging="360"/>
        <w:rPr>
          <w:rFonts w:ascii="Times New Roman" w:hAnsi="Times New Roman" w:cs="Times New Roman"/>
          <w:sz w:val="24"/>
          <w:szCs w:val="24"/>
        </w:rPr>
      </w:pPr>
      <w:r>
        <w:rPr>
          <w:rFonts w:ascii="Times New Roman" w:hAnsi="Times New Roman" w:cs="Times New Roman"/>
          <w:sz w:val="24"/>
          <w:szCs w:val="24"/>
        </w:rPr>
        <w:t>6</w:t>
      </w:r>
      <w:r w:rsidRPr="00EE0F69">
        <w:rPr>
          <w:rFonts w:ascii="Times New Roman" w:hAnsi="Times New Roman" w:cs="Times New Roman"/>
          <w:sz w:val="24"/>
          <w:szCs w:val="24"/>
        </w:rPr>
        <w:t xml:space="preserve">.  </w:t>
      </w:r>
      <w:r w:rsidRPr="00EE0F69">
        <w:rPr>
          <w:rFonts w:ascii="Times New Roman" w:hAnsi="Times New Roman" w:cs="Times New Roman"/>
          <w:b/>
          <w:sz w:val="24"/>
          <w:szCs w:val="24"/>
        </w:rPr>
        <w:t>Chemical Dependency</w:t>
      </w:r>
      <w:r w:rsidRPr="00EE0F69">
        <w:rPr>
          <w:rFonts w:ascii="Times New Roman" w:hAnsi="Times New Roman" w:cs="Times New Roman"/>
          <w:sz w:val="24"/>
          <w:szCs w:val="24"/>
        </w:rPr>
        <w:t xml:space="preserve">—reasons for discipline include practicing while impaired, drug diversion (removing drugs from a </w:t>
      </w:r>
      <w:proofErr w:type="spellStart"/>
      <w:r w:rsidRPr="00EE0F69">
        <w:rPr>
          <w:rFonts w:ascii="Times New Roman" w:hAnsi="Times New Roman" w:cs="Times New Roman"/>
          <w:sz w:val="24"/>
          <w:szCs w:val="24"/>
        </w:rPr>
        <w:t>Pyxis</w:t>
      </w:r>
      <w:proofErr w:type="spellEnd"/>
      <w:r w:rsidRPr="00EE0F69">
        <w:rPr>
          <w:rFonts w:ascii="Times New Roman" w:hAnsi="Times New Roman" w:cs="Times New Roman"/>
          <w:sz w:val="24"/>
          <w:szCs w:val="24"/>
        </w:rPr>
        <w:t xml:space="preserve"> machine or anesthesia cart), and resigning position in lieu of providing specimen for drug screen</w:t>
      </w:r>
    </w:p>
    <w:p w:rsidR="00F97223" w:rsidRPr="00EE0F69" w:rsidRDefault="00F97223" w:rsidP="00F97223">
      <w:pPr>
        <w:ind w:left="360" w:hanging="360"/>
        <w:rPr>
          <w:rFonts w:ascii="Times New Roman" w:hAnsi="Times New Roman" w:cs="Times New Roman"/>
          <w:sz w:val="24"/>
          <w:szCs w:val="24"/>
        </w:rPr>
      </w:pPr>
      <w:r>
        <w:rPr>
          <w:rFonts w:ascii="Times New Roman" w:hAnsi="Times New Roman" w:cs="Times New Roman"/>
          <w:sz w:val="24"/>
          <w:szCs w:val="24"/>
        </w:rPr>
        <w:t>7</w:t>
      </w:r>
      <w:r w:rsidRPr="00EE0F69">
        <w:rPr>
          <w:rFonts w:ascii="Times New Roman" w:hAnsi="Times New Roman" w:cs="Times New Roman"/>
          <w:sz w:val="24"/>
          <w:szCs w:val="24"/>
        </w:rPr>
        <w:t xml:space="preserve">.  </w:t>
      </w:r>
      <w:r w:rsidRPr="00EE0F69">
        <w:rPr>
          <w:rFonts w:ascii="Times New Roman" w:hAnsi="Times New Roman" w:cs="Times New Roman"/>
          <w:b/>
          <w:sz w:val="24"/>
          <w:szCs w:val="24"/>
        </w:rPr>
        <w:t>Other</w:t>
      </w:r>
      <w:r>
        <w:rPr>
          <w:rFonts w:ascii="Times New Roman" w:hAnsi="Times New Roman" w:cs="Times New Roman"/>
          <w:b/>
          <w:sz w:val="24"/>
          <w:szCs w:val="24"/>
        </w:rPr>
        <w:t>/Unknown</w:t>
      </w:r>
      <w:r w:rsidRPr="00EE0F69">
        <w:rPr>
          <w:rFonts w:ascii="Times New Roman" w:hAnsi="Times New Roman" w:cs="Times New Roman"/>
          <w:sz w:val="24"/>
          <w:szCs w:val="24"/>
        </w:rPr>
        <w:t>—this category includes boundary issues, confidentiality violations, submitting forged documents to employers, and other reasons that could not be classified in one of the other main categories.</w:t>
      </w:r>
      <w:r>
        <w:rPr>
          <w:rFonts w:ascii="Times New Roman" w:hAnsi="Times New Roman" w:cs="Times New Roman"/>
          <w:sz w:val="24"/>
          <w:szCs w:val="24"/>
        </w:rPr>
        <w:t xml:space="preserve"> </w:t>
      </w:r>
    </w:p>
    <w:p w:rsidR="00F97223" w:rsidRDefault="00F97223" w:rsidP="00F97223"/>
    <w:p w:rsidR="00F97223" w:rsidRDefault="00F97223"/>
    <w:sectPr w:rsidR="00F97223" w:rsidSect="00D43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55059"/>
    <w:multiLevelType w:val="hybridMultilevel"/>
    <w:tmpl w:val="7470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82447"/>
    <w:multiLevelType w:val="multilevel"/>
    <w:tmpl w:val="E396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096E52"/>
    <w:multiLevelType w:val="hybridMultilevel"/>
    <w:tmpl w:val="0EEC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F43E2"/>
    <w:multiLevelType w:val="hybridMultilevel"/>
    <w:tmpl w:val="EB16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54233"/>
    <w:multiLevelType w:val="hybridMultilevel"/>
    <w:tmpl w:val="BFAE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8653A6"/>
    <w:multiLevelType w:val="hybridMultilevel"/>
    <w:tmpl w:val="470861E0"/>
    <w:lvl w:ilvl="0" w:tplc="4BD4816A">
      <w:start w:val="1"/>
      <w:numFmt w:val="lowerLetter"/>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9C4767"/>
    <w:multiLevelType w:val="multilevel"/>
    <w:tmpl w:val="DD18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2947A0"/>
    <w:multiLevelType w:val="hybridMultilevel"/>
    <w:tmpl w:val="37C4D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24F17"/>
    <w:multiLevelType w:val="hybridMultilevel"/>
    <w:tmpl w:val="4618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8"/>
  </w:num>
  <w:num w:numId="5">
    <w:abstractNumId w:val="0"/>
  </w:num>
  <w:num w:numId="6">
    <w:abstractNumId w:val="2"/>
  </w:num>
  <w:num w:numId="7">
    <w:abstractNumId w:val="1"/>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AMO_XmlVersion" w:val="Empty"/>
  </w:docVars>
  <w:rsids>
    <w:rsidRoot w:val="0015672D"/>
    <w:rsid w:val="00070A76"/>
    <w:rsid w:val="00073743"/>
    <w:rsid w:val="00094BC2"/>
    <w:rsid w:val="000D1243"/>
    <w:rsid w:val="0015672D"/>
    <w:rsid w:val="001650B7"/>
    <w:rsid w:val="00176C35"/>
    <w:rsid w:val="001F25A7"/>
    <w:rsid w:val="001F6214"/>
    <w:rsid w:val="00250015"/>
    <w:rsid w:val="002576B5"/>
    <w:rsid w:val="002B1B09"/>
    <w:rsid w:val="002F7943"/>
    <w:rsid w:val="003323A5"/>
    <w:rsid w:val="003408D0"/>
    <w:rsid w:val="00355382"/>
    <w:rsid w:val="00391E71"/>
    <w:rsid w:val="00396B84"/>
    <w:rsid w:val="003B06D0"/>
    <w:rsid w:val="003C1A82"/>
    <w:rsid w:val="003C1CCE"/>
    <w:rsid w:val="003C427D"/>
    <w:rsid w:val="004033FD"/>
    <w:rsid w:val="00444976"/>
    <w:rsid w:val="00445C97"/>
    <w:rsid w:val="00472E74"/>
    <w:rsid w:val="004C148B"/>
    <w:rsid w:val="004D7FB5"/>
    <w:rsid w:val="00507E14"/>
    <w:rsid w:val="005126E3"/>
    <w:rsid w:val="005202CC"/>
    <w:rsid w:val="00533CBC"/>
    <w:rsid w:val="00540026"/>
    <w:rsid w:val="0055280F"/>
    <w:rsid w:val="0056037F"/>
    <w:rsid w:val="00562642"/>
    <w:rsid w:val="00565C83"/>
    <w:rsid w:val="00575F2E"/>
    <w:rsid w:val="005A4C7C"/>
    <w:rsid w:val="005C2595"/>
    <w:rsid w:val="00645883"/>
    <w:rsid w:val="006D4315"/>
    <w:rsid w:val="006D7EB5"/>
    <w:rsid w:val="006F1A4C"/>
    <w:rsid w:val="00716C07"/>
    <w:rsid w:val="007222BB"/>
    <w:rsid w:val="007B5801"/>
    <w:rsid w:val="007C4A6F"/>
    <w:rsid w:val="008367DC"/>
    <w:rsid w:val="008F65AD"/>
    <w:rsid w:val="00962A79"/>
    <w:rsid w:val="009B5FAA"/>
    <w:rsid w:val="009C7D88"/>
    <w:rsid w:val="009D1A6B"/>
    <w:rsid w:val="00A47487"/>
    <w:rsid w:val="00A67CA5"/>
    <w:rsid w:val="00AA6835"/>
    <w:rsid w:val="00AE3780"/>
    <w:rsid w:val="00AF46E6"/>
    <w:rsid w:val="00B05270"/>
    <w:rsid w:val="00B256F6"/>
    <w:rsid w:val="00B92F48"/>
    <w:rsid w:val="00BC313C"/>
    <w:rsid w:val="00BE26F3"/>
    <w:rsid w:val="00BE2BCC"/>
    <w:rsid w:val="00BE6C48"/>
    <w:rsid w:val="00BF55BD"/>
    <w:rsid w:val="00BF5AF1"/>
    <w:rsid w:val="00C15CF9"/>
    <w:rsid w:val="00C502FE"/>
    <w:rsid w:val="00C6199E"/>
    <w:rsid w:val="00C83FD8"/>
    <w:rsid w:val="00D05DB1"/>
    <w:rsid w:val="00D43AD3"/>
    <w:rsid w:val="00E04DFF"/>
    <w:rsid w:val="00E77EF6"/>
    <w:rsid w:val="00EE4C4B"/>
    <w:rsid w:val="00EF09FE"/>
    <w:rsid w:val="00F11EC5"/>
    <w:rsid w:val="00F97223"/>
    <w:rsid w:val="00FC3DA6"/>
    <w:rsid w:val="00FF7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AD3"/>
  </w:style>
  <w:style w:type="paragraph" w:styleId="Heading2">
    <w:name w:val="heading 2"/>
    <w:basedOn w:val="Normal"/>
    <w:next w:val="Normal"/>
    <w:link w:val="Heading2Char"/>
    <w:uiPriority w:val="9"/>
    <w:semiHidden/>
    <w:unhideWhenUsed/>
    <w:qFormat/>
    <w:rsid w:val="00AA68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68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A68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6835"/>
    <w:rPr>
      <w:rFonts w:ascii="Times New Roman" w:eastAsia="Times New Roman" w:hAnsi="Times New Roman" w:cs="Times New Roman"/>
      <w:b/>
      <w:bCs/>
      <w:sz w:val="27"/>
      <w:szCs w:val="27"/>
    </w:rPr>
  </w:style>
  <w:style w:type="paragraph" w:customStyle="1" w:styleId="RatText">
    <w:name w:val="Rat. Text"/>
    <w:basedOn w:val="BodyText"/>
    <w:rsid w:val="003C427D"/>
    <w:pPr>
      <w:tabs>
        <w:tab w:val="left" w:pos="360"/>
        <w:tab w:val="left" w:pos="720"/>
      </w:tabs>
      <w:spacing w:after="0"/>
      <w:ind w:left="360"/>
      <w:jc w:val="both"/>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C427D"/>
    <w:pPr>
      <w:spacing w:after="120"/>
    </w:pPr>
  </w:style>
  <w:style w:type="character" w:customStyle="1" w:styleId="BodyTextChar">
    <w:name w:val="Body Text Char"/>
    <w:basedOn w:val="DefaultParagraphFont"/>
    <w:link w:val="BodyText"/>
    <w:uiPriority w:val="99"/>
    <w:semiHidden/>
    <w:rsid w:val="003C427D"/>
  </w:style>
  <w:style w:type="paragraph" w:styleId="Bibliography">
    <w:name w:val="Bibliography"/>
    <w:basedOn w:val="Normal"/>
    <w:next w:val="Normal"/>
    <w:uiPriority w:val="37"/>
    <w:unhideWhenUsed/>
    <w:rsid w:val="00A67CA5"/>
  </w:style>
  <w:style w:type="paragraph" w:styleId="ListParagraph">
    <w:name w:val="List Paragraph"/>
    <w:basedOn w:val="Normal"/>
    <w:uiPriority w:val="34"/>
    <w:qFormat/>
    <w:rsid w:val="00565C83"/>
    <w:pPr>
      <w:ind w:left="720"/>
      <w:contextualSpacing/>
    </w:pPr>
  </w:style>
  <w:style w:type="table" w:styleId="TableGrid">
    <w:name w:val="Table Grid"/>
    <w:basedOn w:val="TableNormal"/>
    <w:rsid w:val="00AA683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6835"/>
    <w:rPr>
      <w:rFonts w:ascii="Tahoma" w:hAnsi="Tahoma" w:cs="Tahoma"/>
      <w:sz w:val="16"/>
      <w:szCs w:val="16"/>
    </w:rPr>
  </w:style>
  <w:style w:type="character" w:customStyle="1" w:styleId="BalloonTextChar">
    <w:name w:val="Balloon Text Char"/>
    <w:basedOn w:val="DefaultParagraphFont"/>
    <w:link w:val="BalloonText"/>
    <w:uiPriority w:val="99"/>
    <w:semiHidden/>
    <w:rsid w:val="00AA6835"/>
    <w:rPr>
      <w:rFonts w:ascii="Tahoma" w:hAnsi="Tahoma" w:cs="Tahoma"/>
      <w:sz w:val="16"/>
      <w:szCs w:val="16"/>
    </w:rPr>
  </w:style>
  <w:style w:type="table" w:customStyle="1" w:styleId="LightShading-Accent11">
    <w:name w:val="Light Shading - Accent 11"/>
    <w:basedOn w:val="TableNormal"/>
    <w:uiPriority w:val="99"/>
    <w:rsid w:val="00AA6835"/>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TableList3">
    <w:name w:val="Table List 3"/>
    <w:basedOn w:val="TableNormal"/>
    <w:uiPriority w:val="99"/>
    <w:rsid w:val="00AA6835"/>
    <w:rPr>
      <w:rFonts w:ascii="Calibri" w:eastAsia="Times New Roman" w:hAnsi="Calibri"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styleId="Strong">
    <w:name w:val="Strong"/>
    <w:basedOn w:val="DefaultParagraphFont"/>
    <w:uiPriority w:val="22"/>
    <w:qFormat/>
    <w:rsid w:val="00AA6835"/>
    <w:rPr>
      <w:b/>
      <w:bCs/>
    </w:rPr>
  </w:style>
  <w:style w:type="paragraph" w:styleId="NormalWeb">
    <w:name w:val="Normal (Web)"/>
    <w:basedOn w:val="Normal"/>
    <w:uiPriority w:val="99"/>
    <w:semiHidden/>
    <w:unhideWhenUsed/>
    <w:rsid w:val="00AA683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835"/>
    <w:rPr>
      <w:color w:val="0000FF"/>
      <w:u w:val="single"/>
    </w:rPr>
  </w:style>
  <w:style w:type="character" w:customStyle="1" w:styleId="pagehead1">
    <w:name w:val="pagehead1"/>
    <w:basedOn w:val="DefaultParagraphFont"/>
    <w:rsid w:val="00AA6835"/>
    <w:rPr>
      <w:rFonts w:ascii="Verdana" w:hAnsi="Verdana" w:hint="default"/>
      <w:b/>
      <w:bCs/>
      <w:color w:val="183966"/>
    </w:rPr>
  </w:style>
  <w:style w:type="character" w:styleId="Emphasis">
    <w:name w:val="Emphasis"/>
    <w:basedOn w:val="DefaultParagraphFont"/>
    <w:uiPriority w:val="20"/>
    <w:qFormat/>
    <w:rsid w:val="00AA6835"/>
    <w:rPr>
      <w:i/>
      <w:iCs/>
    </w:rPr>
  </w:style>
  <w:style w:type="character" w:customStyle="1" w:styleId="slug-doi">
    <w:name w:val="slug-doi"/>
    <w:basedOn w:val="DefaultParagraphFont"/>
    <w:rsid w:val="00AA6835"/>
  </w:style>
  <w:style w:type="character" w:customStyle="1" w:styleId="name">
    <w:name w:val="name"/>
    <w:basedOn w:val="DefaultParagraphFont"/>
    <w:rsid w:val="00AA6835"/>
  </w:style>
  <w:style w:type="character" w:customStyle="1" w:styleId="contrib-degrees">
    <w:name w:val="contrib-degrees"/>
    <w:basedOn w:val="DefaultParagraphFont"/>
    <w:rsid w:val="00AA6835"/>
  </w:style>
  <w:style w:type="character" w:customStyle="1" w:styleId="slug-doi-value">
    <w:name w:val="slug-doi-value"/>
    <w:basedOn w:val="DefaultParagraphFont"/>
    <w:rsid w:val="00AA6835"/>
  </w:style>
  <w:style w:type="paragraph" w:styleId="Header">
    <w:name w:val="header"/>
    <w:basedOn w:val="Normal"/>
    <w:link w:val="HeaderChar"/>
    <w:uiPriority w:val="99"/>
    <w:semiHidden/>
    <w:unhideWhenUsed/>
    <w:rsid w:val="00AA6835"/>
    <w:pPr>
      <w:tabs>
        <w:tab w:val="center" w:pos="4680"/>
        <w:tab w:val="right" w:pos="9360"/>
      </w:tabs>
    </w:pPr>
  </w:style>
  <w:style w:type="character" w:customStyle="1" w:styleId="HeaderChar">
    <w:name w:val="Header Char"/>
    <w:basedOn w:val="DefaultParagraphFont"/>
    <w:link w:val="Header"/>
    <w:uiPriority w:val="99"/>
    <w:semiHidden/>
    <w:rsid w:val="00AA6835"/>
  </w:style>
  <w:style w:type="paragraph" w:styleId="Footer">
    <w:name w:val="footer"/>
    <w:basedOn w:val="Normal"/>
    <w:link w:val="FooterChar"/>
    <w:uiPriority w:val="99"/>
    <w:unhideWhenUsed/>
    <w:rsid w:val="00AA6835"/>
    <w:pPr>
      <w:tabs>
        <w:tab w:val="center" w:pos="4680"/>
        <w:tab w:val="right" w:pos="9360"/>
      </w:tabs>
    </w:pPr>
  </w:style>
  <w:style w:type="character" w:customStyle="1" w:styleId="FooterChar">
    <w:name w:val="Footer Char"/>
    <w:basedOn w:val="DefaultParagraphFont"/>
    <w:link w:val="Footer"/>
    <w:uiPriority w:val="99"/>
    <w:rsid w:val="00AA6835"/>
  </w:style>
  <w:style w:type="paragraph" w:styleId="CommentText">
    <w:name w:val="annotation text"/>
    <w:basedOn w:val="Normal"/>
    <w:link w:val="CommentTextChar"/>
    <w:uiPriority w:val="99"/>
    <w:semiHidden/>
    <w:unhideWhenUsed/>
    <w:rsid w:val="00AA6835"/>
    <w:rPr>
      <w:sz w:val="20"/>
      <w:szCs w:val="20"/>
    </w:rPr>
  </w:style>
  <w:style w:type="character" w:customStyle="1" w:styleId="CommentTextChar">
    <w:name w:val="Comment Text Char"/>
    <w:basedOn w:val="DefaultParagraphFont"/>
    <w:link w:val="CommentText"/>
    <w:uiPriority w:val="99"/>
    <w:semiHidden/>
    <w:rsid w:val="00AA6835"/>
    <w:rPr>
      <w:sz w:val="20"/>
      <w:szCs w:val="20"/>
    </w:rPr>
  </w:style>
  <w:style w:type="paragraph" w:styleId="CommentSubject">
    <w:name w:val="annotation subject"/>
    <w:basedOn w:val="CommentText"/>
    <w:next w:val="CommentText"/>
    <w:link w:val="CommentSubjectChar"/>
    <w:uiPriority w:val="99"/>
    <w:semiHidden/>
    <w:unhideWhenUsed/>
    <w:rsid w:val="00AA6835"/>
    <w:rPr>
      <w:b/>
      <w:bCs/>
    </w:rPr>
  </w:style>
  <w:style w:type="character" w:customStyle="1" w:styleId="CommentSubjectChar">
    <w:name w:val="Comment Subject Char"/>
    <w:basedOn w:val="CommentTextChar"/>
    <w:link w:val="CommentSubject"/>
    <w:uiPriority w:val="99"/>
    <w:semiHidden/>
    <w:rsid w:val="00AA6835"/>
    <w:rPr>
      <w:b/>
      <w:bCs/>
    </w:rPr>
  </w:style>
  <w:style w:type="character" w:styleId="CommentReference">
    <w:name w:val="annotation reference"/>
    <w:basedOn w:val="DefaultParagraphFont"/>
    <w:uiPriority w:val="99"/>
    <w:semiHidden/>
    <w:unhideWhenUsed/>
    <w:rsid w:val="00FC3DA6"/>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db-hipdb.hrsa.gov/resources/reports/HIPDBFederalAgencyIndividualSubjectSummaryReport.pdf" TargetMode="External"/><Relationship Id="rId3" Type="http://schemas.openxmlformats.org/officeDocument/2006/relationships/styles" Target="styles.xml"/><Relationship Id="rId7" Type="http://schemas.openxmlformats.org/officeDocument/2006/relationships/hyperlink" Target="http://www.npdb-hipdb.hrsa.gov/resources/reports/HIPDBStateAgencyAndHealthPlanIndividualSubjectSummaryRepor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atehealthfacts.org/comparemaptable.jsp?ind=429&amp;cat=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pdb-hipdb.hrsa.gov/resources/reports/NPDBSummary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Hud07</b:Tag>
    <b:SourceType>JournalArticle</b:SourceType>
    <b:Guid>{C181E4C2-1E91-4DDB-9C93-0C55F497FCED}</b:Guid>
    <b:LCID>0</b:LCID>
    <b:Author>
      <b:Author>
        <b:NameList>
          <b:Person>
            <b:Last>Hudspeth</b:Last>
            <b:First>Randall</b:First>
          </b:Person>
        </b:NameList>
      </b:Author>
    </b:Author>
    <b:Title>Survey of Advanced Practice Registered Nurses Disciplinary Action</b:Title>
    <b:JournalName>Online Journal of Issues in Nursing</b:JournalName>
    <b:Year>April 2, 2007</b:Year>
    <b:Pages>Vol #12, No.2</b:Pages>
    <b:RefOrder>3</b:RefOrder>
  </b:Source>
  <b:Source>
    <b:Tag>Mun00</b:Tag>
    <b:SourceType>JournalArticle</b:SourceType>
    <b:Guid>{41C6D2A4-B0C5-4D67-9DEB-E4BE49E5CA78}</b:Guid>
    <b:LCID>0</b:LCID>
    <b:Author>
      <b:Author>
        <b:NameList>
          <b:Person>
            <b:Last>Mundinger</b:Last>
            <b:First>Mary</b:First>
            <b:Middle>O</b:Middle>
          </b:Person>
          <b:Person>
            <b:Last>Kane</b:Last>
            <b:First>Robert</b:First>
            <b:Middle>L</b:Middle>
          </b:Person>
          <b:Person>
            <b:Last>Lenz</b:Last>
            <b:First>Elizabeth</b:First>
            <b:Middle>R</b:Middle>
          </b:Person>
          <b:Person>
            <b:Last>Totten</b:Last>
            <b:First>Annette</b:First>
            <b:Middle>M</b:Middle>
          </b:Person>
          <b:Person>
            <b:Last>Tsai</b:Last>
            <b:First>Wei-Yann</b:First>
          </b:Person>
          <b:Person>
            <b:Last>Cleary</b:Last>
            <b:First>Paul</b:First>
            <b:Middle>D</b:Middle>
          </b:Person>
          <b:Person>
            <b:Last>Friedewald</b:Last>
            <b:First>William</b:First>
            <b:Middle>T</b:Middle>
          </b:Person>
          <b:Person>
            <b:Last>Siu</b:Last>
            <b:First>Albert</b:First>
            <b:Middle>L</b:Middle>
          </b:Person>
          <b:Person>
            <b:Last>Shelanski</b:Last>
            <b:First>Michael</b:First>
            <b:Middle>L</b:Middle>
          </b:Person>
        </b:NameList>
      </b:Author>
    </b:Author>
    <b:Title>Primary Care Outcomes in Patients treated by Nurse Practitioners or Physicians: A Randomized Trial</b:Title>
    <b:JournalName>JAMA</b:JournalName>
    <b:Year>2000</b:Year>
    <b:Pages>59-68</b:Pages>
    <b:RefOrder>4</b:RefOrder>
  </b:Source>
  <b:Source>
    <b:Tag>Meh09</b:Tag>
    <b:SourceType>JournalArticle</b:SourceType>
    <b:Guid>{43D8BFED-4F92-4CB9-81E9-7781FC13FC4C}</b:Guid>
    <b:LCID>0</b:LCID>
    <b:Author>
      <b:Author>
        <b:NameList>
          <b:Person>
            <b:Last>Mehrotra</b:Last>
            <b:First>Ateev</b:First>
          </b:Person>
          <b:Person>
            <b:Last>Hangsheng</b:Last>
            <b:First>Liu</b:First>
          </b:Person>
          <b:Person>
            <b:Last>Adams</b:Last>
            <b:First>John</b:First>
            <b:Middle>L</b:Middle>
          </b:Person>
          <b:Person>
            <b:Last>Wang</b:Last>
            <b:First>Margaret</b:First>
            <b:Middle>C</b:Middle>
          </b:Person>
          <b:Person>
            <b:Last>Lave</b:Last>
            <b:First>Judith</b:First>
            <b:Middle>R</b:Middle>
          </b:Person>
          <b:Person>
            <b:Last>Thygeson</b:Last>
            <b:First>Marcus</b:First>
          </b:Person>
          <b:Person>
            <b:Last>Solberg</b:Last>
            <b:First>Leif</b:First>
            <b:Middle>I</b:Middle>
          </b:Person>
          <b:Person>
            <b:Last>McGlynn</b:Last>
            <b:First>Elizabeth</b:First>
            <b:Middle>A</b:Middle>
          </b:Person>
        </b:NameList>
      </b:Author>
    </b:Author>
    <b:Title>Comparing Costs and Qulaity of Care at Retail Clinics with that of Other Medical Settings for 3 Common Illnesses</b:Title>
    <b:JournalName>Annals of Internal Medicine</b:JournalName>
    <b:Year>2009</b:Year>
    <b:Pages>321-328</b:Pages>
    <b:RefOrder>5</b:RefOrder>
  </b:Source>
  <b:Source>
    <b:Tag>Dul10</b:Tag>
    <b:SourceType>JournalArticle</b:SourceType>
    <b:Guid>{9D721B3D-CCBB-4A50-A82E-D54333B546A2}</b:Guid>
    <b:LCID>0</b:LCID>
    <b:Author>
      <b:Author>
        <b:NameList>
          <b:Person>
            <b:Last>Dulisse</b:Last>
            <b:First>Brian</b:First>
          </b:Person>
          <b:Person>
            <b:Last>Cromwell</b:Last>
            <b:First>Jerry</b:First>
          </b:Person>
        </b:NameList>
      </b:Author>
    </b:Author>
    <b:Title>No Harm Found when Nurse Anesthetists Work Without Supervision by Physicians</b:Title>
    <b:JournalName>Health Affairs</b:JournalName>
    <b:Year>2010</b:Year>
    <b:Pages>1469-1475</b:Pages>
    <b:RefOrder>1</b:RefOrder>
  </b:Source>
  <b:Source>
    <b:Tag>Phi10</b:Tag>
    <b:SourceType>JournalArticle</b:SourceType>
    <b:Guid>{BC6883E9-8929-4540-878F-334D206680B9}</b:Guid>
    <b:LCID>0</b:LCID>
    <b:Author>
      <b:Author>
        <b:NameList>
          <b:Person>
            <b:Last>Phillips</b:Last>
            <b:First>Susanne</b:First>
            <b:Middle>J</b:Middle>
          </b:Person>
        </b:NameList>
      </b:Author>
    </b:Author>
    <b:Title>22nd Annual Legislative Update</b:Title>
    <b:JournalName>The Nurse Practitioner</b:JournalName>
    <b:Year>2010</b:Year>
    <b:Pages>24-47</b:Pages>
    <b:RefOrder>6</b:RefOrder>
  </b:Source>
  <b:Source>
    <b:Tag>Pea09</b:Tag>
    <b:SourceType>JournalArticle</b:SourceType>
    <b:Guid>{8BBD352C-BB3A-40F0-83A1-CAF6471B8288}</b:Guid>
    <b:LCID>0</b:LCID>
    <b:Author>
      <b:Author>
        <b:NameList>
          <b:Person>
            <b:Last>Pearson</b:Last>
            <b:First>Linda</b:First>
            <b:Middle>J</b:Middle>
          </b:Person>
        </b:NameList>
      </b:Author>
    </b:Author>
    <b:Title>The Pearson Report. A National overview of Nurse Practitioner Legislation and Healthcare Issues</b:Title>
    <b:JournalName>The American Journal for Nurse Practitioners</b:JournalName>
    <b:Year>2009</b:Year>
    <b:Pages>8-82</b:Pages>
    <b:RefOrder>2</b:RefOrder>
  </b:Source>
  <b:Source>
    <b:Tag>Len04</b:Tag>
    <b:SourceType>JournalArticle</b:SourceType>
    <b:Guid>{780734AA-12FC-4CF4-8912-E08933DE079B}</b:Guid>
    <b:LCID>0</b:LCID>
    <b:Author>
      <b:Author>
        <b:NameList>
          <b:Person>
            <b:Last>Lenz</b:Last>
            <b:First>ER</b:First>
          </b:Person>
          <b:Person>
            <b:Last>Mundinger</b:Last>
            <b:First>MO</b:First>
          </b:Person>
          <b:Person>
            <b:Last>Kane</b:Last>
            <b:First>RL</b:First>
          </b:Person>
          <b:Person>
            <b:Last>Hopkins</b:Last>
            <b:First>SC</b:First>
          </b:Person>
          <b:Person>
            <b:Last>Lin</b:Last>
            <b:First>SX</b:First>
          </b:Person>
        </b:NameList>
      </b:Author>
    </b:Author>
    <b:Title>Primary Care Outcomes in PAtients Treated by Nurse Practitioners or Physicians: Two-Year Follow-UP</b:Title>
    <b:JournalName>Medical Care Research &amp; Review</b:JournalName>
    <b:Year>2004</b:Year>
    <b:Pages>332-51</b:Pages>
    <b:RefOrder>7</b:RefOrder>
  </b:Source>
  <b:Source>
    <b:Tag>Cra06</b:Tag>
    <b:SourceType>JournalArticle</b:SourceType>
    <b:Guid>{3A0B41BC-AFEC-4989-90A6-0E363523F584}</b:Guid>
    <b:LCID>0</b:LCID>
    <b:Author>
      <b:Author>
        <b:NameList>
          <b:Person>
            <b:Last>Cragin</b:Last>
            <b:First>Leslie</b:First>
          </b:Person>
          <b:Person>
            <b:Last>Kennedy</b:Last>
            <b:First>Holly</b:First>
            <b:Middle>P</b:Middle>
          </b:Person>
        </b:NameList>
      </b:Author>
    </b:Author>
    <b:Title>Linking Obstetrics and Midwifery Practice with Optimal Outcomes</b:Title>
    <b:JournalName>JOGNN</b:JournalName>
    <b:Year>2006</b:Year>
    <b:Pages>779-785</b:Pages>
    <b:RefOrder>8</b:RefOrder>
  </b:Source>
  <b:Source>
    <b:Tag>Ahe04</b:Tag>
    <b:SourceType>JournalArticle</b:SourceType>
    <b:Guid>{2D3AC784-9F59-4EBD-87C1-469D3EA2F980}</b:Guid>
    <b:LCID>0</b:LCID>
    <b:Author>
      <b:Author>
        <b:NameList>
          <b:Person>
            <b:Last>Ahern</b:Last>
            <b:First>Mary</b:First>
          </b:Person>
          <b:Person>
            <b:Last>Imperial</b:Last>
            <b:First>Joanne</b:First>
          </b:Person>
          <b:Person>
            <b:Last>Lam</b:Last>
            <b:First>Suzanna</b:First>
          </b:Person>
        </b:NameList>
      </b:Author>
    </b:Author>
    <b:Title>Impact of a Designated Hepatology Nurse on the Clinical Course and Quality of Life of Patients Treated with Rebetron Therapy for Chronic Hepatitis C</b:Title>
    <b:JournalName>Gastroenterology Nursing</b:JournalName>
    <b:Year>2004</b:Year>
    <b:Pages>149-155</b:Pages>
    <b:RefOrder>9</b:RefOrder>
  </b:Source>
  <b:Source>
    <b:Tag>Fan06</b:Tag>
    <b:SourceType>JournalArticle</b:SourceType>
    <b:Guid>{14C503AF-6838-4556-8A5F-FBD1FAA1C799}</b:Guid>
    <b:LCID>0</b:LCID>
    <b:Author>
      <b:Author>
        <b:NameList>
          <b:Person>
            <b:Last>Fanta</b:Last>
            <b:First>Kaaren</b:First>
          </b:Person>
          <b:Person>
            <b:Last>Cook</b:Last>
            <b:First>Betty</b:First>
          </b:Person>
          <b:Person>
            <b:Last>Falcone</b:Last>
            <b:First>Richard</b:First>
            <b:Middle>A Jr.</b:Middle>
          </b:Person>
          <b:Person>
            <b:Last>Rickets</b:Last>
            <b:First>Crystal</b:First>
          </b:Person>
          <b:Person>
            <b:Last>Schweer</b:Last>
            <b:First>lynn</b:First>
          </b:Person>
          <b:Person>
            <b:Last>Brown</b:Last>
            <b:First>Rebeccah</b:First>
            <b:Middle>L</b:Middle>
          </b:Person>
          <b:Person>
            <b:Last>Garcia</b:Last>
            <b:First>Victor</b:First>
            <b:Middle>F</b:Middle>
          </b:Person>
        </b:NameList>
      </b:Author>
    </b:Author>
    <b:Title>Pediatric Trauma Nurse Practitioners Provide Excellent Care with Superior Patient Satisfaction for Injured Children</b:Title>
    <b:JournalName>Journal of Pediatric Surgery</b:JournalName>
    <b:Year>2006</b:Year>
    <b:Pages>277-281</b:Pages>
    <b:RefOrder>10</b:RefOrder>
  </b:Source>
  <b:Source>
    <b:Tag>Fel87</b:Tag>
    <b:SourceType>JournalArticle</b:SourceType>
    <b:Guid>{AB5E5A02-5100-4DA9-A3CD-BD87BFC5DB98}</b:Guid>
    <b:LCID>0</b:LCID>
    <b:Author>
      <b:Author>
        <b:NameList>
          <b:Person>
            <b:Last>Feldman</b:Last>
            <b:First>Mary</b:First>
            <b:Middle>Jane</b:Middle>
          </b:Person>
          <b:Person>
            <b:Last>Ventura</b:Last>
            <b:First>Marlene</b:First>
            <b:Middle>R</b:Middle>
          </b:Person>
          <b:Person>
            <b:Last>Crosby</b:Last>
            <b:First>Frances</b:First>
          </b:Person>
        </b:NameList>
      </b:Author>
    </b:Author>
    <b:Title>Studies of Nurse Practitioner Effectiveness</b:Title>
    <b:JournalName>Nursing Research</b:JournalName>
    <b:Year>1987</b:Year>
    <b:Pages>303-308</b:Pages>
    <b:RefOrder>11</b:RefOrder>
  </b:Source>
  <b:Source>
    <b:Tag>Bro95</b:Tag>
    <b:SourceType>JournalArticle</b:SourceType>
    <b:Guid>{62B5A714-3B8C-4EFD-A603-DCDF2BDBA875}</b:Guid>
    <b:LCID>0</b:LCID>
    <b:Author>
      <b:Author>
        <b:NameList>
          <b:Person>
            <b:Last>Brown</b:Last>
            <b:First>SA</b:First>
          </b:Person>
          <b:Person>
            <b:Last>Grimes</b:Last>
            <b:First>DE</b:First>
          </b:Person>
        </b:NameList>
      </b:Author>
    </b:Author>
    <b:Title>A Meta-analysis of Nurse Practitioners and Nurse Midwives in Primary Care</b:Title>
    <b:JournalName>Nursing Research</b:JournalName>
    <b:Year>1995</b:Year>
    <b:Pages>332-339</b:Pages>
    <b:RefOrder>12</b:RefOrder>
  </b:Source>
</b:Sources>
</file>

<file path=customXml/itemProps1.xml><?xml version="1.0" encoding="utf-8"?>
<ds:datastoreItem xmlns:ds="http://schemas.openxmlformats.org/officeDocument/2006/customXml" ds:itemID="{8A6B37DC-093C-4349-82BB-E57096626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18</Pages>
  <Words>4548</Words>
  <Characters>25926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NCSBN</Company>
  <LinksUpToDate>false</LinksUpToDate>
  <CharactersWithSpaces>30414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jhayden</dc:creator>
  <cp:lastModifiedBy>jbudden</cp:lastModifiedBy>
  <cp:revision>53</cp:revision>
  <cp:lastPrinted>2012-01-03T20:00:00Z</cp:lastPrinted>
  <dcterms:created xsi:type="dcterms:W3CDTF">2011-12-28T19:40:00Z</dcterms:created>
  <dcterms:modified xsi:type="dcterms:W3CDTF">2012-01-05T19:35:00Z</dcterms:modified>
</cp:coreProperties>
</file>