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C4B" w:rsidRDefault="00EE4C4B" w:rsidP="004E67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definitions:</w:t>
      </w:r>
    </w:p>
    <w:p w:rsidR="00EE4C4B" w:rsidRDefault="00EE4C4B" w:rsidP="00EE4C4B">
      <w:pPr>
        <w:ind w:left="1620" w:hanging="1260"/>
        <w:jc w:val="both"/>
        <w:rPr>
          <w:rFonts w:ascii="Times New Roman" w:hAnsi="Times New Roman" w:cs="Times New Roman"/>
          <w:sz w:val="24"/>
          <w:szCs w:val="24"/>
        </w:rPr>
      </w:pPr>
      <w:r w:rsidRPr="009A4888">
        <w:rPr>
          <w:rFonts w:ascii="Times New Roman" w:hAnsi="Times New Roman" w:cs="Times New Roman"/>
          <w:sz w:val="24"/>
          <w:szCs w:val="24"/>
        </w:rPr>
        <w:t>Independent—No requirement for a written collaborative agreement, no supervision, no conditions for practice.</w:t>
      </w:r>
    </w:p>
    <w:p w:rsidR="00EE4C4B" w:rsidRPr="009A4888" w:rsidRDefault="00EE4C4B" w:rsidP="00EE4C4B">
      <w:pPr>
        <w:ind w:left="1620" w:hanging="1260"/>
        <w:jc w:val="both"/>
        <w:rPr>
          <w:rFonts w:ascii="Times New Roman" w:hAnsi="Times New Roman" w:cs="Times New Roman"/>
          <w:sz w:val="24"/>
          <w:szCs w:val="24"/>
        </w:rPr>
      </w:pPr>
    </w:p>
    <w:p w:rsidR="00EE4C4B" w:rsidRPr="009A4888" w:rsidRDefault="00EE4C4B" w:rsidP="00EE4C4B">
      <w:pPr>
        <w:ind w:left="1620" w:hanging="1260"/>
        <w:jc w:val="both"/>
        <w:rPr>
          <w:rFonts w:ascii="Times New Roman" w:hAnsi="Times New Roman" w:cs="Times New Roman"/>
          <w:sz w:val="24"/>
          <w:szCs w:val="24"/>
        </w:rPr>
      </w:pPr>
      <w:r w:rsidRPr="009A4888">
        <w:rPr>
          <w:rFonts w:ascii="Times New Roman" w:hAnsi="Times New Roman" w:cs="Times New Roman"/>
          <w:sz w:val="24"/>
          <w:szCs w:val="24"/>
        </w:rPr>
        <w:t>Collaborative—</w:t>
      </w:r>
      <w:proofErr w:type="gramStart"/>
      <w:r w:rsidRPr="009A4888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9A4888">
        <w:rPr>
          <w:rFonts w:ascii="Times New Roman" w:hAnsi="Times New Roman" w:cs="Times New Roman"/>
          <w:sz w:val="24"/>
          <w:szCs w:val="24"/>
        </w:rPr>
        <w:t xml:space="preserve"> time a written agreement exists which specifies scope of practice and medical acts allowed with or without a general supervision requirement by an MD, DO, DDS or podiatrist.</w:t>
      </w:r>
    </w:p>
    <w:p w:rsidR="00EE4C4B" w:rsidRDefault="00EE4C4B" w:rsidP="00EE4C4B">
      <w:pPr>
        <w:ind w:left="1620" w:hanging="1260"/>
        <w:jc w:val="both"/>
        <w:rPr>
          <w:rFonts w:ascii="Times New Roman" w:hAnsi="Times New Roman" w:cs="Times New Roman"/>
          <w:sz w:val="24"/>
          <w:szCs w:val="24"/>
        </w:rPr>
      </w:pPr>
    </w:p>
    <w:p w:rsidR="00EE4C4B" w:rsidRPr="009A4888" w:rsidRDefault="00EE4C4B" w:rsidP="00EE4C4B">
      <w:pPr>
        <w:ind w:left="1620" w:hanging="1260"/>
        <w:jc w:val="both"/>
        <w:rPr>
          <w:rFonts w:ascii="Times New Roman" w:hAnsi="Times New Roman" w:cs="Times New Roman"/>
          <w:sz w:val="24"/>
          <w:szCs w:val="24"/>
        </w:rPr>
      </w:pPr>
      <w:r w:rsidRPr="009A4888">
        <w:rPr>
          <w:rFonts w:ascii="Times New Roman" w:hAnsi="Times New Roman" w:cs="Times New Roman"/>
          <w:sz w:val="24"/>
          <w:szCs w:val="24"/>
        </w:rPr>
        <w:t xml:space="preserve">Supervised—Direct supervision required in the presence of a licensed MD, DO, DDS, or podiatrist, with or without a written practice agreement. </w:t>
      </w:r>
    </w:p>
    <w:p w:rsidR="00EE4C4B" w:rsidRDefault="00EE4C4B" w:rsidP="00EE4C4B">
      <w:pPr>
        <w:ind w:left="1620" w:hanging="1260"/>
        <w:jc w:val="both"/>
        <w:rPr>
          <w:rFonts w:ascii="Times New Roman" w:hAnsi="Times New Roman" w:cs="Times New Roman"/>
          <w:sz w:val="24"/>
          <w:szCs w:val="24"/>
        </w:rPr>
      </w:pPr>
    </w:p>
    <w:p w:rsidR="00070A76" w:rsidRDefault="00EE4C4B" w:rsidP="00AE62BD">
      <w:pPr>
        <w:ind w:left="1620" w:hanging="1260"/>
        <w:jc w:val="both"/>
        <w:rPr>
          <w:rFonts w:ascii="Times New Roman" w:hAnsi="Times New Roman" w:cs="Times New Roman"/>
          <w:sz w:val="24"/>
          <w:szCs w:val="24"/>
        </w:rPr>
      </w:pPr>
      <w:r w:rsidRPr="009A4888">
        <w:rPr>
          <w:rFonts w:ascii="Times New Roman" w:hAnsi="Times New Roman" w:cs="Times New Roman"/>
          <w:sz w:val="24"/>
          <w:szCs w:val="24"/>
        </w:rPr>
        <w:t>No authority—</w:t>
      </w:r>
      <w:proofErr w:type="gramStart"/>
      <w:r w:rsidRPr="009A4888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A4888">
        <w:rPr>
          <w:rFonts w:ascii="Times New Roman" w:hAnsi="Times New Roman" w:cs="Times New Roman"/>
          <w:sz w:val="24"/>
          <w:szCs w:val="24"/>
        </w:rPr>
        <w:t xml:space="preserve"> category was assigned to RNs who have a master’s degree and/or national certification and the state legislation grants title protection, but </w:t>
      </w:r>
      <w:r>
        <w:rPr>
          <w:rFonts w:ascii="Times New Roman" w:hAnsi="Times New Roman" w:cs="Times New Roman"/>
          <w:sz w:val="24"/>
          <w:szCs w:val="24"/>
        </w:rPr>
        <w:t xml:space="preserve">these individuals </w:t>
      </w:r>
      <w:r w:rsidRPr="009A4888">
        <w:rPr>
          <w:rFonts w:ascii="Times New Roman" w:hAnsi="Times New Roman" w:cs="Times New Roman"/>
          <w:sz w:val="24"/>
          <w:szCs w:val="24"/>
        </w:rPr>
        <w:t>are only allowed to practice at the level of RN</w:t>
      </w:r>
      <w:r>
        <w:rPr>
          <w:rFonts w:ascii="Times New Roman" w:hAnsi="Times New Roman" w:cs="Times New Roman"/>
          <w:sz w:val="24"/>
          <w:szCs w:val="24"/>
        </w:rPr>
        <w:t xml:space="preserve"> (i.e., CNSs)</w:t>
      </w:r>
      <w:r w:rsidRPr="009A4888">
        <w:rPr>
          <w:rFonts w:ascii="Times New Roman" w:hAnsi="Times New Roman" w:cs="Times New Roman"/>
          <w:sz w:val="24"/>
          <w:szCs w:val="24"/>
        </w:rPr>
        <w:t>. This category was also used when an APRN was not eligible for prescriptive privileges</w:t>
      </w:r>
      <w:r>
        <w:rPr>
          <w:rFonts w:ascii="Times New Roman" w:hAnsi="Times New Roman" w:cs="Times New Roman"/>
          <w:sz w:val="24"/>
          <w:szCs w:val="24"/>
        </w:rPr>
        <w:t xml:space="preserve"> (i.e., CNSs and CRNAs)</w:t>
      </w:r>
      <w:r w:rsidRPr="009A48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0A76" w:rsidRPr="00EE0F69" w:rsidRDefault="00070A76" w:rsidP="00AA6835">
      <w:pPr>
        <w:rPr>
          <w:rFonts w:ascii="Times New Roman" w:hAnsi="Times New Roman" w:cs="Times New Roman"/>
          <w:sz w:val="24"/>
          <w:szCs w:val="24"/>
        </w:rPr>
      </w:pPr>
    </w:p>
    <w:p w:rsidR="00507E14" w:rsidRPr="00507E14" w:rsidRDefault="00507E14" w:rsidP="00507E1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07E14">
        <w:rPr>
          <w:rFonts w:ascii="Times New Roman" w:hAnsi="Times New Roman" w:cs="Times New Roman"/>
          <w:b/>
          <w:sz w:val="24"/>
          <w:szCs w:val="24"/>
        </w:rPr>
        <w:t>Prac</w:t>
      </w:r>
      <w:r>
        <w:rPr>
          <w:rFonts w:ascii="Times New Roman" w:hAnsi="Times New Roman" w:cs="Times New Roman"/>
          <w:b/>
          <w:sz w:val="24"/>
          <w:szCs w:val="24"/>
        </w:rPr>
        <w:t>tice-related Discipline</w:t>
      </w:r>
      <w:r w:rsidRPr="00507E1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6797" w:rsidRDefault="00AA6835" w:rsidP="00AE62B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495F">
        <w:rPr>
          <w:rFonts w:ascii="Times New Roman" w:hAnsi="Times New Roman" w:cs="Times New Roman"/>
          <w:sz w:val="24"/>
          <w:szCs w:val="24"/>
        </w:rPr>
        <w:t xml:space="preserve">A total of 67 APRNs were disciplined for practice-related reasons in the 43 participating jurisdictions in 2009. Table 5 illustrates the number of APRNs disciplined according to their level of practice autonomy. The overall rate of APRN discipline for practice related issues is </w:t>
      </w:r>
      <w:r w:rsidRPr="006B57A3">
        <w:rPr>
          <w:rFonts w:ascii="Times New Roman" w:hAnsi="Times New Roman" w:cs="Times New Roman"/>
          <w:sz w:val="24"/>
          <w:szCs w:val="24"/>
        </w:rPr>
        <w:t>0.036%, a very</w:t>
      </w:r>
      <w:r w:rsidRPr="008A495F">
        <w:rPr>
          <w:rFonts w:ascii="Times New Roman" w:hAnsi="Times New Roman" w:cs="Times New Roman"/>
          <w:sz w:val="24"/>
          <w:szCs w:val="24"/>
        </w:rPr>
        <w:t xml:space="preserve"> small percentage, indicating APRNs provide safe care. While all three autonomy levels of APRNs had a discipline rate of less than a tenth of a percent over the year, independent practitioners were disciplined more frequently than their collaborative or supervised count</w:t>
      </w:r>
      <w:r>
        <w:rPr>
          <w:rFonts w:ascii="Times New Roman" w:hAnsi="Times New Roman" w:cs="Times New Roman"/>
          <w:sz w:val="24"/>
          <w:szCs w:val="24"/>
        </w:rPr>
        <w:t>erparts</w:t>
      </w:r>
      <w:r w:rsidRPr="008A495F">
        <w:rPr>
          <w:rFonts w:ascii="Times New Roman" w:hAnsi="Times New Roman" w:cs="Times New Roman"/>
          <w:sz w:val="24"/>
          <w:szCs w:val="24"/>
        </w:rPr>
        <w:t xml:space="preserve"> </w:t>
      </w:r>
      <w:r w:rsidRPr="006F7D3A">
        <w:rPr>
          <w:rFonts w:ascii="Times New Roman" w:hAnsi="Times New Roman" w:cs="Times New Roman"/>
          <w:sz w:val="24"/>
          <w:szCs w:val="24"/>
        </w:rPr>
        <w:t>(0.068%, 0.029%</w:t>
      </w:r>
      <w:r w:rsidR="00507E14">
        <w:rPr>
          <w:rFonts w:ascii="Times New Roman" w:hAnsi="Times New Roman" w:cs="Times New Roman"/>
          <w:sz w:val="24"/>
          <w:szCs w:val="24"/>
        </w:rPr>
        <w:t>,</w:t>
      </w:r>
      <w:r w:rsidRPr="006F7D3A">
        <w:rPr>
          <w:rFonts w:ascii="Times New Roman" w:hAnsi="Times New Roman" w:cs="Times New Roman"/>
          <w:sz w:val="24"/>
          <w:szCs w:val="24"/>
        </w:rPr>
        <w:t xml:space="preserve"> and 0.035% respectively).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835" w:rsidRPr="001C3AB1" w:rsidRDefault="00AA6835" w:rsidP="00507E14">
      <w:pPr>
        <w:rPr>
          <w:rFonts w:ascii="Times New Roman" w:hAnsi="Times New Roman" w:cs="Times New Roman"/>
          <w:sz w:val="24"/>
          <w:szCs w:val="24"/>
        </w:rPr>
      </w:pPr>
      <w:r w:rsidRPr="001C3AB1">
        <w:rPr>
          <w:rFonts w:ascii="Times New Roman" w:hAnsi="Times New Roman" w:cs="Times New Roman"/>
          <w:sz w:val="24"/>
          <w:szCs w:val="24"/>
        </w:rPr>
        <w:t xml:space="preserve">Table 5. APRNs disciplined for </w:t>
      </w:r>
      <w:r w:rsidRPr="001C3AB1">
        <w:rPr>
          <w:rFonts w:ascii="Times New Roman" w:hAnsi="Times New Roman" w:cs="Times New Roman"/>
          <w:i/>
          <w:sz w:val="24"/>
          <w:szCs w:val="24"/>
        </w:rPr>
        <w:t>practice</w:t>
      </w:r>
      <w:r w:rsidRPr="001C3AB1">
        <w:rPr>
          <w:rFonts w:ascii="Times New Roman" w:hAnsi="Times New Roman" w:cs="Times New Roman"/>
          <w:sz w:val="24"/>
          <w:szCs w:val="24"/>
        </w:rPr>
        <w:t xml:space="preserve"> related reasons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790"/>
        <w:gridCol w:w="2214"/>
        <w:gridCol w:w="2214"/>
      </w:tblGrid>
      <w:tr w:rsidR="00AA6835" w:rsidRPr="001C3AB1" w:rsidTr="00507E14">
        <w:tc>
          <w:tcPr>
            <w:tcW w:w="1638" w:type="dxa"/>
          </w:tcPr>
          <w:p w:rsidR="00AA6835" w:rsidRPr="001C3AB1" w:rsidRDefault="00AA6835" w:rsidP="00507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AA6835" w:rsidRPr="001C3AB1" w:rsidRDefault="00AA6835" w:rsidP="00507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AB1">
              <w:rPr>
                <w:rFonts w:ascii="Times New Roman" w:hAnsi="Times New Roman" w:cs="Times New Roman"/>
                <w:sz w:val="24"/>
                <w:szCs w:val="24"/>
              </w:rPr>
              <w:t>Number of APRNs disciplined</w:t>
            </w:r>
          </w:p>
        </w:tc>
        <w:tc>
          <w:tcPr>
            <w:tcW w:w="2214" w:type="dxa"/>
          </w:tcPr>
          <w:p w:rsidR="00AA6835" w:rsidRPr="001C3AB1" w:rsidRDefault="00AA6835" w:rsidP="00507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AB1">
              <w:rPr>
                <w:rFonts w:ascii="Times New Roman" w:hAnsi="Times New Roman" w:cs="Times New Roman"/>
                <w:sz w:val="24"/>
                <w:szCs w:val="24"/>
              </w:rPr>
              <w:t>Total number of APRNs</w:t>
            </w:r>
          </w:p>
        </w:tc>
        <w:tc>
          <w:tcPr>
            <w:tcW w:w="2214" w:type="dxa"/>
          </w:tcPr>
          <w:p w:rsidR="00AA6835" w:rsidRPr="001C3AB1" w:rsidRDefault="00AA6835" w:rsidP="00507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AB1">
              <w:rPr>
                <w:rFonts w:ascii="Times New Roman" w:hAnsi="Times New Roman" w:cs="Times New Roman"/>
                <w:sz w:val="24"/>
                <w:szCs w:val="24"/>
              </w:rPr>
              <w:t>Rate of discipline</w:t>
            </w:r>
          </w:p>
        </w:tc>
      </w:tr>
      <w:tr w:rsidR="00AA6835" w:rsidRPr="001C3AB1" w:rsidTr="00507E14">
        <w:tc>
          <w:tcPr>
            <w:tcW w:w="1638" w:type="dxa"/>
          </w:tcPr>
          <w:p w:rsidR="00AA6835" w:rsidRPr="001C3AB1" w:rsidRDefault="00AA6835" w:rsidP="00507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B1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</w:p>
        </w:tc>
        <w:tc>
          <w:tcPr>
            <w:tcW w:w="2790" w:type="dxa"/>
          </w:tcPr>
          <w:p w:rsidR="00AA6835" w:rsidRPr="001C3AB1" w:rsidRDefault="00AA6835" w:rsidP="00507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AB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14" w:type="dxa"/>
          </w:tcPr>
          <w:p w:rsidR="00AA6835" w:rsidRPr="001C3AB1" w:rsidRDefault="00AA6835" w:rsidP="00507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AB1">
              <w:rPr>
                <w:rFonts w:ascii="Times New Roman" w:hAnsi="Times New Roman" w:cs="Times New Roman"/>
                <w:sz w:val="24"/>
                <w:szCs w:val="24"/>
              </w:rPr>
              <w:t>30,950</w:t>
            </w:r>
          </w:p>
        </w:tc>
        <w:tc>
          <w:tcPr>
            <w:tcW w:w="2214" w:type="dxa"/>
          </w:tcPr>
          <w:p w:rsidR="00AA6835" w:rsidRPr="001C3AB1" w:rsidRDefault="00AA6835" w:rsidP="00507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AB1">
              <w:rPr>
                <w:rFonts w:ascii="Times New Roman" w:hAnsi="Times New Roman" w:cs="Times New Roman"/>
                <w:sz w:val="24"/>
                <w:szCs w:val="24"/>
              </w:rPr>
              <w:t>0.068%</w:t>
            </w:r>
          </w:p>
        </w:tc>
      </w:tr>
      <w:tr w:rsidR="00AA6835" w:rsidRPr="001C3AB1" w:rsidTr="00507E14">
        <w:tc>
          <w:tcPr>
            <w:tcW w:w="1638" w:type="dxa"/>
          </w:tcPr>
          <w:p w:rsidR="00AA6835" w:rsidRPr="001C3AB1" w:rsidRDefault="00AA6835" w:rsidP="00507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B1">
              <w:rPr>
                <w:rFonts w:ascii="Times New Roman" w:hAnsi="Times New Roman" w:cs="Times New Roman"/>
                <w:sz w:val="24"/>
                <w:szCs w:val="24"/>
              </w:rPr>
              <w:t>Collaborative</w:t>
            </w:r>
          </w:p>
        </w:tc>
        <w:tc>
          <w:tcPr>
            <w:tcW w:w="2790" w:type="dxa"/>
          </w:tcPr>
          <w:p w:rsidR="00AA6835" w:rsidRPr="001C3AB1" w:rsidRDefault="00AA6835" w:rsidP="00507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214" w:type="dxa"/>
          </w:tcPr>
          <w:p w:rsidR="00AA6835" w:rsidRPr="001C3AB1" w:rsidRDefault="00AA6835" w:rsidP="00507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AB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0,947</w:t>
            </w:r>
          </w:p>
        </w:tc>
        <w:tc>
          <w:tcPr>
            <w:tcW w:w="2214" w:type="dxa"/>
          </w:tcPr>
          <w:p w:rsidR="00AA6835" w:rsidRPr="001C3AB1" w:rsidRDefault="00AA6835" w:rsidP="00507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0.029</w:t>
            </w:r>
            <w:r w:rsidRPr="001C3AB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A6835" w:rsidRPr="001C3AB1" w:rsidTr="00507E14">
        <w:tc>
          <w:tcPr>
            <w:tcW w:w="1638" w:type="dxa"/>
          </w:tcPr>
          <w:p w:rsidR="00AA6835" w:rsidRPr="001C3AB1" w:rsidRDefault="00AA6835" w:rsidP="00507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AB1">
              <w:rPr>
                <w:rFonts w:ascii="Times New Roman" w:hAnsi="Times New Roman" w:cs="Times New Roman"/>
                <w:sz w:val="24"/>
                <w:szCs w:val="24"/>
              </w:rPr>
              <w:t>Supervised</w:t>
            </w:r>
          </w:p>
        </w:tc>
        <w:tc>
          <w:tcPr>
            <w:tcW w:w="2790" w:type="dxa"/>
          </w:tcPr>
          <w:p w:rsidR="00AA6835" w:rsidRPr="001C3AB1" w:rsidRDefault="00AA6835" w:rsidP="00507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14" w:type="dxa"/>
          </w:tcPr>
          <w:p w:rsidR="00AA6835" w:rsidRPr="001C3AB1" w:rsidRDefault="00AA6835" w:rsidP="00507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22,874</w:t>
            </w:r>
          </w:p>
        </w:tc>
        <w:tc>
          <w:tcPr>
            <w:tcW w:w="2214" w:type="dxa"/>
          </w:tcPr>
          <w:p w:rsidR="00AA6835" w:rsidRPr="001C3AB1" w:rsidRDefault="00AA6835" w:rsidP="00507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0.035</w:t>
            </w:r>
            <w:r w:rsidRPr="001C3AB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A6835" w:rsidRPr="00507E14" w:rsidTr="00507E14">
        <w:tc>
          <w:tcPr>
            <w:tcW w:w="1638" w:type="dxa"/>
          </w:tcPr>
          <w:p w:rsidR="00AA6835" w:rsidRPr="00507E14" w:rsidRDefault="00AA6835" w:rsidP="00507E1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14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790" w:type="dxa"/>
          </w:tcPr>
          <w:p w:rsidR="00AA6835" w:rsidRPr="00507E14" w:rsidRDefault="00AA6835" w:rsidP="00507E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14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2214" w:type="dxa"/>
          </w:tcPr>
          <w:p w:rsidR="00AA6835" w:rsidRPr="00507E14" w:rsidRDefault="00AA6835" w:rsidP="00507E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14">
              <w:rPr>
                <w:rFonts w:ascii="Times New Roman" w:hAnsi="Times New Roman" w:cs="Times New Roman"/>
                <w:b/>
                <w:sz w:val="24"/>
                <w:szCs w:val="24"/>
              </w:rPr>
              <w:t>184,771</w:t>
            </w:r>
          </w:p>
        </w:tc>
        <w:tc>
          <w:tcPr>
            <w:tcW w:w="2214" w:type="dxa"/>
          </w:tcPr>
          <w:p w:rsidR="00AA6835" w:rsidRPr="00507E14" w:rsidRDefault="00AA6835" w:rsidP="00507E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14">
              <w:rPr>
                <w:rFonts w:ascii="Times New Roman" w:hAnsi="Times New Roman" w:cs="Times New Roman"/>
                <w:b/>
                <w:sz w:val="24"/>
                <w:szCs w:val="24"/>
              </w:rPr>
              <w:t>0.036%</w:t>
            </w:r>
          </w:p>
        </w:tc>
      </w:tr>
    </w:tbl>
    <w:p w:rsidR="00507E14" w:rsidRPr="004E6797" w:rsidRDefault="00507E14" w:rsidP="004E679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507E14">
        <w:rPr>
          <w:rFonts w:ascii="Times New Roman" w:hAnsi="Times New Roman" w:cs="Times New Roman"/>
          <w:i/>
          <w:sz w:val="20"/>
          <w:szCs w:val="20"/>
        </w:rPr>
        <w:t>Note.</w:t>
      </w:r>
      <w:r>
        <w:rPr>
          <w:rFonts w:ascii="Times New Roman" w:hAnsi="Times New Roman" w:cs="Times New Roman"/>
          <w:sz w:val="20"/>
          <w:szCs w:val="20"/>
        </w:rPr>
        <w:t xml:space="preserve"> 67 of 184,771 (0.036%) APRNs were disciplined for practice-related reasons.</w:t>
      </w:r>
    </w:p>
    <w:p w:rsidR="00E77EF6" w:rsidRPr="00EF09FE" w:rsidRDefault="00BE2BCC" w:rsidP="00EF09F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09FE">
        <w:rPr>
          <w:rFonts w:ascii="Times New Roman" w:hAnsi="Times New Roman" w:cs="Times New Roman"/>
          <w:sz w:val="24"/>
          <w:szCs w:val="24"/>
        </w:rPr>
        <w:t xml:space="preserve">Logistic regression with dummy coding was used to investigate the effects of level of practice autonomy (i.e., independent, collaborative, and supervised) on </w:t>
      </w:r>
      <w:r w:rsidR="005C2595" w:rsidRPr="00EF09FE">
        <w:rPr>
          <w:rFonts w:ascii="Times New Roman" w:hAnsi="Times New Roman" w:cs="Times New Roman"/>
          <w:sz w:val="24"/>
          <w:szCs w:val="24"/>
        </w:rPr>
        <w:t xml:space="preserve">practice-related </w:t>
      </w:r>
      <w:r w:rsidRPr="00EF09FE">
        <w:rPr>
          <w:rFonts w:ascii="Times New Roman" w:hAnsi="Times New Roman" w:cs="Times New Roman"/>
          <w:sz w:val="24"/>
          <w:szCs w:val="24"/>
        </w:rPr>
        <w:t xml:space="preserve">discipline </w:t>
      </w:r>
      <w:r w:rsidRPr="00EF09FE">
        <w:rPr>
          <w:rFonts w:ascii="Times New Roman" w:hAnsi="Times New Roman" w:cs="Times New Roman"/>
          <w:sz w:val="24"/>
          <w:szCs w:val="24"/>
        </w:rPr>
        <w:lastRenderedPageBreak/>
        <w:t xml:space="preserve">(i.e., </w:t>
      </w:r>
      <w:r w:rsidR="00C15CF9" w:rsidRPr="00EF09FE">
        <w:rPr>
          <w:rFonts w:ascii="Times New Roman" w:hAnsi="Times New Roman" w:cs="Times New Roman"/>
          <w:sz w:val="24"/>
          <w:szCs w:val="24"/>
        </w:rPr>
        <w:t>disciplined or not disciplined), where collaborative was the reference group.</w:t>
      </w:r>
      <w:r w:rsidRPr="00EF09FE">
        <w:rPr>
          <w:rFonts w:ascii="Times New Roman" w:hAnsi="Times New Roman" w:cs="Times New Roman"/>
          <w:sz w:val="24"/>
          <w:szCs w:val="24"/>
        </w:rPr>
        <w:t xml:space="preserve"> Given high sample size, non-random assignment to groups, and extremely low overall discipline rates, results should be interpreted with caution. Table </w:t>
      </w:r>
      <w:r w:rsidR="009C7D88" w:rsidRPr="00EF09FE">
        <w:rPr>
          <w:rFonts w:ascii="Times New Roman" w:hAnsi="Times New Roman" w:cs="Times New Roman"/>
          <w:sz w:val="24"/>
          <w:szCs w:val="24"/>
        </w:rPr>
        <w:t>6</w:t>
      </w:r>
      <w:r w:rsidRPr="00EF09FE">
        <w:rPr>
          <w:rFonts w:ascii="Times New Roman" w:hAnsi="Times New Roman" w:cs="Times New Roman"/>
          <w:sz w:val="24"/>
          <w:szCs w:val="24"/>
        </w:rPr>
        <w:t xml:space="preserve"> presents the results which indicated that level of practice autonomy reliably distinguished whether practitioners were disciplined or not, </w:t>
      </w:r>
      <w:r w:rsidRPr="00EF09FE">
        <w:rPr>
          <w:rFonts w:ascii="Times New Roman" w:hAnsi="Times New Roman" w:cs="Times New Roman"/>
          <w:sz w:val="24"/>
          <w:szCs w:val="24"/>
        </w:rPr>
        <w:sym w:font="Symbol" w:char="F063"/>
      </w:r>
      <w:r w:rsidRPr="00EF09FE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EF09FE">
        <w:rPr>
          <w:rFonts w:ascii="Times New Roman" w:hAnsi="Times New Roman" w:cs="Times New Roman"/>
          <w:sz w:val="24"/>
          <w:szCs w:val="24"/>
        </w:rPr>
        <w:t xml:space="preserve">(2, </w:t>
      </w:r>
      <w:r w:rsidRPr="00EF09FE">
        <w:rPr>
          <w:rFonts w:ascii="Times New Roman" w:hAnsi="Times New Roman" w:cs="Times New Roman"/>
          <w:i/>
          <w:sz w:val="24"/>
          <w:szCs w:val="24"/>
        </w:rPr>
        <w:t>N</w:t>
      </w:r>
      <w:r w:rsidRPr="00EF09FE">
        <w:rPr>
          <w:rFonts w:ascii="Times New Roman" w:hAnsi="Times New Roman" w:cs="Times New Roman"/>
          <w:sz w:val="24"/>
          <w:szCs w:val="24"/>
        </w:rPr>
        <w:t xml:space="preserve"> = 184,771) = </w:t>
      </w:r>
      <w:r w:rsidR="00507E14">
        <w:rPr>
          <w:rFonts w:ascii="Times New Roman" w:hAnsi="Times New Roman" w:cs="Times New Roman"/>
          <w:sz w:val="24"/>
          <w:szCs w:val="24"/>
        </w:rPr>
        <w:t>9.87</w:t>
      </w:r>
      <w:r w:rsidRPr="00EF09FE">
        <w:rPr>
          <w:rFonts w:ascii="Times New Roman" w:hAnsi="Times New Roman" w:cs="Times New Roman"/>
          <w:sz w:val="24"/>
          <w:szCs w:val="24"/>
        </w:rPr>
        <w:t xml:space="preserve">, </w:t>
      </w:r>
      <w:r w:rsidRPr="00EF09FE">
        <w:rPr>
          <w:rFonts w:ascii="Times New Roman" w:hAnsi="Times New Roman" w:cs="Times New Roman"/>
          <w:i/>
          <w:sz w:val="24"/>
          <w:szCs w:val="24"/>
        </w:rPr>
        <w:t>p</w:t>
      </w:r>
      <w:r w:rsidR="00507E14">
        <w:rPr>
          <w:rFonts w:ascii="Times New Roman" w:hAnsi="Times New Roman" w:cs="Times New Roman"/>
          <w:sz w:val="24"/>
          <w:szCs w:val="24"/>
        </w:rPr>
        <w:t xml:space="preserve"> = .007</w:t>
      </w:r>
      <w:r w:rsidRPr="00EF09FE">
        <w:rPr>
          <w:rFonts w:ascii="Times New Roman" w:hAnsi="Times New Roman" w:cs="Times New Roman"/>
          <w:sz w:val="24"/>
          <w:szCs w:val="24"/>
        </w:rPr>
        <w:t xml:space="preserve">. Specifically, independent </w:t>
      </w:r>
      <w:proofErr w:type="spellStart"/>
      <w:r w:rsidRPr="00EF09FE">
        <w:rPr>
          <w:rFonts w:ascii="Times New Roman" w:hAnsi="Times New Roman" w:cs="Times New Roman"/>
          <w:sz w:val="24"/>
          <w:szCs w:val="24"/>
        </w:rPr>
        <w:t>practioners</w:t>
      </w:r>
      <w:proofErr w:type="spellEnd"/>
      <w:r w:rsidRPr="00EF09FE">
        <w:rPr>
          <w:rFonts w:ascii="Times New Roman" w:hAnsi="Times New Roman" w:cs="Times New Roman"/>
          <w:sz w:val="24"/>
          <w:szCs w:val="24"/>
        </w:rPr>
        <w:t xml:space="preserve"> were significantly more likely to be disciplined versus </w:t>
      </w:r>
      <w:r w:rsidR="00BF55BD" w:rsidRPr="00EF09FE">
        <w:rPr>
          <w:rFonts w:ascii="Times New Roman" w:hAnsi="Times New Roman" w:cs="Times New Roman"/>
          <w:sz w:val="24"/>
          <w:szCs w:val="24"/>
        </w:rPr>
        <w:t xml:space="preserve">collaborative </w:t>
      </w:r>
      <w:r w:rsidRPr="00EF09FE">
        <w:rPr>
          <w:rFonts w:ascii="Times New Roman" w:hAnsi="Times New Roman" w:cs="Times New Roman"/>
          <w:sz w:val="24"/>
          <w:szCs w:val="24"/>
        </w:rPr>
        <w:t>practitioners (</w:t>
      </w:r>
      <w:r w:rsidRPr="00EF09FE">
        <w:rPr>
          <w:rFonts w:ascii="Times New Roman" w:hAnsi="Times New Roman" w:cs="Times New Roman"/>
          <w:i/>
          <w:sz w:val="24"/>
          <w:szCs w:val="24"/>
        </w:rPr>
        <w:t>B</w:t>
      </w:r>
      <w:r w:rsidRPr="00EF09FE">
        <w:rPr>
          <w:rFonts w:ascii="Times New Roman" w:hAnsi="Times New Roman" w:cs="Times New Roman"/>
          <w:sz w:val="24"/>
          <w:szCs w:val="24"/>
        </w:rPr>
        <w:t xml:space="preserve"> = .</w:t>
      </w:r>
      <w:r w:rsidR="00BF55BD" w:rsidRPr="00EF09FE">
        <w:rPr>
          <w:rFonts w:ascii="Times New Roman" w:hAnsi="Times New Roman" w:cs="Times New Roman"/>
          <w:sz w:val="24"/>
          <w:szCs w:val="24"/>
        </w:rPr>
        <w:t>85</w:t>
      </w:r>
      <w:r w:rsidRPr="00EF09FE">
        <w:rPr>
          <w:rFonts w:ascii="Times New Roman" w:hAnsi="Times New Roman" w:cs="Times New Roman"/>
          <w:sz w:val="24"/>
          <w:szCs w:val="24"/>
        </w:rPr>
        <w:t xml:space="preserve">, </w:t>
      </w:r>
      <w:r w:rsidRPr="00EF09FE">
        <w:rPr>
          <w:rFonts w:ascii="Times New Roman" w:hAnsi="Times New Roman" w:cs="Times New Roman"/>
          <w:i/>
          <w:sz w:val="24"/>
          <w:szCs w:val="24"/>
        </w:rPr>
        <w:t>SE</w:t>
      </w:r>
      <w:r w:rsidRPr="00EF09FE">
        <w:rPr>
          <w:rFonts w:ascii="Times New Roman" w:hAnsi="Times New Roman" w:cs="Times New Roman"/>
          <w:sz w:val="24"/>
          <w:szCs w:val="24"/>
        </w:rPr>
        <w:t xml:space="preserve"> = .</w:t>
      </w:r>
      <w:r w:rsidR="00BF55BD" w:rsidRPr="00EF09FE">
        <w:rPr>
          <w:rFonts w:ascii="Times New Roman" w:hAnsi="Times New Roman" w:cs="Times New Roman"/>
          <w:sz w:val="24"/>
          <w:szCs w:val="24"/>
        </w:rPr>
        <w:t>27</w:t>
      </w:r>
      <w:r w:rsidRPr="00EF09FE">
        <w:rPr>
          <w:rFonts w:ascii="Times New Roman" w:hAnsi="Times New Roman" w:cs="Times New Roman"/>
          <w:sz w:val="24"/>
          <w:szCs w:val="24"/>
        </w:rPr>
        <w:t>) (odds ratio, 2.</w:t>
      </w:r>
      <w:r w:rsidR="00BF55BD" w:rsidRPr="00EF09FE">
        <w:rPr>
          <w:rFonts w:ascii="Times New Roman" w:hAnsi="Times New Roman" w:cs="Times New Roman"/>
          <w:sz w:val="24"/>
          <w:szCs w:val="24"/>
        </w:rPr>
        <w:t>34</w:t>
      </w:r>
      <w:r w:rsidRPr="00EF09FE">
        <w:rPr>
          <w:rFonts w:ascii="Times New Roman" w:hAnsi="Times New Roman" w:cs="Times New Roman"/>
          <w:sz w:val="24"/>
          <w:szCs w:val="24"/>
        </w:rPr>
        <w:t>); where independent practitioners were 2.</w:t>
      </w:r>
      <w:r w:rsidR="00BF55BD" w:rsidRPr="00EF09FE">
        <w:rPr>
          <w:rFonts w:ascii="Times New Roman" w:hAnsi="Times New Roman" w:cs="Times New Roman"/>
          <w:sz w:val="24"/>
          <w:szCs w:val="24"/>
        </w:rPr>
        <w:t>34</w:t>
      </w:r>
      <w:r w:rsidRPr="00EF09FE">
        <w:rPr>
          <w:rFonts w:ascii="Times New Roman" w:hAnsi="Times New Roman" w:cs="Times New Roman"/>
          <w:sz w:val="24"/>
          <w:szCs w:val="24"/>
        </w:rPr>
        <w:t xml:space="preserve"> times more likely to be disciplined versus </w:t>
      </w:r>
      <w:r w:rsidR="00BF55BD" w:rsidRPr="00EF09FE">
        <w:rPr>
          <w:rFonts w:ascii="Times New Roman" w:hAnsi="Times New Roman" w:cs="Times New Roman"/>
          <w:sz w:val="24"/>
          <w:szCs w:val="24"/>
        </w:rPr>
        <w:t>collaborative</w:t>
      </w:r>
      <w:r w:rsidRPr="00EF09FE">
        <w:rPr>
          <w:rFonts w:ascii="Times New Roman" w:hAnsi="Times New Roman" w:cs="Times New Roman"/>
          <w:sz w:val="24"/>
          <w:szCs w:val="24"/>
        </w:rPr>
        <w:t xml:space="preserve"> practitioners. There was no significant difference between collaborative practitioners and supervised practitioners (</w:t>
      </w:r>
      <w:r w:rsidRPr="00EF09FE">
        <w:rPr>
          <w:rFonts w:ascii="Times New Roman" w:hAnsi="Times New Roman" w:cs="Times New Roman"/>
          <w:i/>
          <w:sz w:val="24"/>
          <w:szCs w:val="24"/>
        </w:rPr>
        <w:t>B</w:t>
      </w:r>
      <w:r w:rsidRPr="00EF09FE">
        <w:rPr>
          <w:rFonts w:ascii="Times New Roman" w:hAnsi="Times New Roman" w:cs="Times New Roman"/>
          <w:sz w:val="24"/>
          <w:szCs w:val="24"/>
        </w:rPr>
        <w:t xml:space="preserve"> = </w:t>
      </w:r>
      <w:r w:rsidR="00BF55BD" w:rsidRPr="00EF09FE">
        <w:rPr>
          <w:rFonts w:ascii="Times New Roman" w:hAnsi="Times New Roman" w:cs="Times New Roman"/>
          <w:sz w:val="24"/>
          <w:szCs w:val="24"/>
        </w:rPr>
        <w:t>.19</w:t>
      </w:r>
      <w:r w:rsidRPr="00EF09FE">
        <w:rPr>
          <w:rFonts w:ascii="Times New Roman" w:hAnsi="Times New Roman" w:cs="Times New Roman"/>
          <w:sz w:val="24"/>
          <w:szCs w:val="24"/>
        </w:rPr>
        <w:t xml:space="preserve">, </w:t>
      </w:r>
      <w:r w:rsidRPr="00EF09FE">
        <w:rPr>
          <w:rFonts w:ascii="Times New Roman" w:hAnsi="Times New Roman" w:cs="Times New Roman"/>
          <w:i/>
          <w:sz w:val="24"/>
          <w:szCs w:val="24"/>
        </w:rPr>
        <w:t>SE</w:t>
      </w:r>
      <w:r w:rsidRPr="00EF09FE">
        <w:rPr>
          <w:rFonts w:ascii="Times New Roman" w:hAnsi="Times New Roman" w:cs="Times New Roman"/>
          <w:sz w:val="24"/>
          <w:szCs w:val="24"/>
        </w:rPr>
        <w:t xml:space="preserve"> = </w:t>
      </w:r>
      <w:r w:rsidR="00BF55BD" w:rsidRPr="00EF09FE">
        <w:rPr>
          <w:rFonts w:ascii="Times New Roman" w:hAnsi="Times New Roman" w:cs="Times New Roman"/>
          <w:sz w:val="24"/>
          <w:szCs w:val="24"/>
        </w:rPr>
        <w:t>.39</w:t>
      </w:r>
      <w:r w:rsidRPr="00EF09FE">
        <w:rPr>
          <w:rFonts w:ascii="Times New Roman" w:hAnsi="Times New Roman" w:cs="Times New Roman"/>
          <w:sz w:val="24"/>
          <w:szCs w:val="24"/>
        </w:rPr>
        <w:t>) (odds ratio</w:t>
      </w:r>
      <w:r w:rsidR="00094BC2" w:rsidRPr="00EF09FE">
        <w:rPr>
          <w:rFonts w:ascii="Times New Roman" w:hAnsi="Times New Roman" w:cs="Times New Roman"/>
          <w:sz w:val="24"/>
          <w:szCs w:val="24"/>
        </w:rPr>
        <w:t>,</w:t>
      </w:r>
      <w:r w:rsidRPr="00EF09FE">
        <w:rPr>
          <w:rFonts w:ascii="Times New Roman" w:hAnsi="Times New Roman" w:cs="Times New Roman"/>
          <w:sz w:val="24"/>
          <w:szCs w:val="24"/>
        </w:rPr>
        <w:t xml:space="preserve"> </w:t>
      </w:r>
      <w:r w:rsidR="00BF55BD" w:rsidRPr="00EF09FE">
        <w:rPr>
          <w:rFonts w:ascii="Times New Roman" w:hAnsi="Times New Roman" w:cs="Times New Roman"/>
          <w:sz w:val="24"/>
          <w:szCs w:val="24"/>
        </w:rPr>
        <w:t>1.21</w:t>
      </w:r>
      <w:r w:rsidRPr="00EF09FE">
        <w:rPr>
          <w:rFonts w:ascii="Times New Roman" w:hAnsi="Times New Roman" w:cs="Times New Roman"/>
          <w:sz w:val="24"/>
          <w:szCs w:val="24"/>
        </w:rPr>
        <w:t xml:space="preserve">). 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918"/>
        <w:gridCol w:w="918"/>
        <w:gridCol w:w="918"/>
        <w:gridCol w:w="918"/>
        <w:gridCol w:w="918"/>
        <w:gridCol w:w="918"/>
      </w:tblGrid>
      <w:tr w:rsidR="00BE2BCC" w:rsidRPr="00EF09FE" w:rsidTr="004033FD">
        <w:trPr>
          <w:trHeight w:val="360"/>
        </w:trPr>
        <w:tc>
          <w:tcPr>
            <w:tcW w:w="95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4033F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Table </w:t>
            </w:r>
            <w:r w:rsidR="009C7D88" w:rsidRPr="00EF09F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BE2BCC" w:rsidRPr="00EF09FE" w:rsidTr="004033FD">
        <w:trPr>
          <w:trHeight w:val="360"/>
        </w:trPr>
        <w:tc>
          <w:tcPr>
            <w:tcW w:w="95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2BCC" w:rsidRPr="00EF09FE" w:rsidRDefault="00BE2BCC" w:rsidP="004033FD">
            <w:pPr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Summary of Logistic Regression Analysis for </w:t>
            </w:r>
            <w:r w:rsidRPr="00EF09FE">
              <w:rPr>
                <w:rFonts w:ascii="Times New Roman" w:hAnsi="Times New Roman" w:cs="Times New Roman"/>
                <w:i/>
                <w:sz w:val="20"/>
                <w:szCs w:val="20"/>
              </w:rPr>
              <w:t>Level of Practice Autonomy</w:t>
            </w:r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 Predicting </w:t>
            </w:r>
            <w:r w:rsidR="005C2595" w:rsidRPr="00EF09F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Practice-related </w:t>
            </w:r>
            <w:r w:rsidRPr="00EF09FE">
              <w:rPr>
                <w:rFonts w:ascii="Times New Roman" w:hAnsi="Times New Roman" w:cs="Times New Roman"/>
                <w:i/>
                <w:sz w:val="20"/>
                <w:szCs w:val="20"/>
              </w:rPr>
              <w:t>Discipline</w:t>
            </w:r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 </w:t>
            </w:r>
          </w:p>
        </w:tc>
      </w:tr>
      <w:tr w:rsidR="00BE2BCC" w:rsidRPr="00EF09FE" w:rsidTr="004033FD">
        <w:trPr>
          <w:trHeight w:val="590"/>
        </w:trPr>
        <w:tc>
          <w:tcPr>
            <w:tcW w:w="40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2BCC" w:rsidRPr="00EF09FE" w:rsidRDefault="00BE2BCC" w:rsidP="004033F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Predictor</w:t>
            </w:r>
          </w:p>
        </w:tc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B</w:t>
            </w:r>
          </w:p>
        </w:tc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SE B</w:t>
            </w:r>
          </w:p>
        </w:tc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Wald’s </w:t>
            </w:r>
          </w:p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i/>
                <w:szCs w:val="20"/>
              </w:rPr>
              <w:sym w:font="Symbol" w:char="F063"/>
            </w:r>
            <w:r w:rsidRPr="00EF09FE">
              <w:rPr>
                <w:rFonts w:ascii="Times New Roman" w:eastAsia="Calibri" w:hAnsi="Times New Roman" w:cs="Times New Roman"/>
                <w:i/>
                <w:szCs w:val="20"/>
                <w:vertAlign w:val="superscript"/>
              </w:rPr>
              <w:t>2</w:t>
            </w:r>
          </w:p>
        </w:tc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proofErr w:type="spellStart"/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p</w:t>
            </w:r>
          </w:p>
        </w:tc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e</w:t>
            </w:r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  <w:vertAlign w:val="superscript"/>
              </w:rPr>
              <w:t>B</w:t>
            </w:r>
            <w:proofErr w:type="spellEnd"/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  <w:vertAlign w:val="superscript"/>
              </w:rPr>
              <w:t xml:space="preserve"> </w:t>
            </w:r>
          </w:p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(odds ratio)</w:t>
            </w:r>
          </w:p>
        </w:tc>
      </w:tr>
      <w:tr w:rsidR="00BE2BCC" w:rsidRPr="00EF09FE" w:rsidTr="004033FD">
        <w:trPr>
          <w:trHeight w:val="360"/>
        </w:trPr>
        <w:tc>
          <w:tcPr>
            <w:tcW w:w="4068" w:type="dxa"/>
            <w:tcBorders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4033F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  <w:r w:rsidR="00A47487" w:rsidRPr="00EF09F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47487" w:rsidRPr="00EF09FE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  <w:vAlign w:val="center"/>
          </w:tcPr>
          <w:p w:rsidR="00BE2BCC" w:rsidRPr="00EF09FE" w:rsidRDefault="00A47487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253.88</w:t>
            </w: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.000</w:t>
            </w: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E2BCC" w:rsidRPr="00EF09FE" w:rsidTr="004033FD">
        <w:trPr>
          <w:trHeight w:val="360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4033F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Level of practice autonomy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BCC" w:rsidRPr="00EF09FE" w:rsidRDefault="00A47487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9.87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.00</w:t>
            </w:r>
            <w:r w:rsidR="00A47487" w:rsidRPr="00EF09F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E2BCC" w:rsidRPr="00EF09FE" w:rsidTr="004033FD">
        <w:trPr>
          <w:trHeight w:val="360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A47487">
            <w:pPr>
              <w:ind w:left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 xml:space="preserve">Independent  vs. </w:t>
            </w:r>
            <w:r w:rsidR="00A47487" w:rsidRPr="00EF09FE">
              <w:rPr>
                <w:rFonts w:ascii="Times New Roman" w:hAnsi="Times New Roman" w:cs="Times New Roman"/>
                <w:sz w:val="20"/>
                <w:szCs w:val="20"/>
              </w:rPr>
              <w:t>collaborative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47487" w:rsidRPr="00EF09FE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47487" w:rsidRPr="00EF09FE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BCC" w:rsidRPr="00EF09FE" w:rsidRDefault="00A47487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9.77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47487" w:rsidRPr="00EF09FE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BCC" w:rsidRPr="00EF09FE" w:rsidRDefault="00BE2BCC" w:rsidP="00A47487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2.</w:t>
            </w:r>
            <w:r w:rsidR="00A47487"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34</w:t>
            </w:r>
          </w:p>
        </w:tc>
      </w:tr>
      <w:tr w:rsidR="00BE2BCC" w:rsidRPr="00EF09FE" w:rsidTr="004033FD">
        <w:trPr>
          <w:trHeight w:val="360"/>
        </w:trPr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2BCC" w:rsidRPr="00EF09FE" w:rsidRDefault="00A47487" w:rsidP="00A47487">
            <w:pPr>
              <w:ind w:left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Supervised</w:t>
            </w:r>
            <w:r w:rsidR="00BE2BCC" w:rsidRPr="00EF09FE">
              <w:rPr>
                <w:rFonts w:ascii="Times New Roman" w:hAnsi="Times New Roman" w:cs="Times New Roman"/>
                <w:sz w:val="20"/>
                <w:szCs w:val="20"/>
              </w:rPr>
              <w:t xml:space="preserve"> vs. </w:t>
            </w: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collaborative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.11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.47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.05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2BCC" w:rsidRPr="00EF09FE" w:rsidRDefault="00BE2BCC" w:rsidP="004033F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.817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2BCC" w:rsidRPr="00EF09FE" w:rsidRDefault="00BE2BCC" w:rsidP="0044497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1.</w:t>
            </w:r>
            <w:r w:rsidR="00444976"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</w:p>
        </w:tc>
      </w:tr>
    </w:tbl>
    <w:p w:rsidR="004E6797" w:rsidRDefault="00C6199E" w:rsidP="00AE62BD">
      <w:pPr>
        <w:rPr>
          <w:rFonts w:ascii="Times New Roman" w:hAnsi="Times New Roman" w:cs="Times New Roman"/>
          <w:sz w:val="20"/>
          <w:szCs w:val="20"/>
        </w:rPr>
      </w:pPr>
      <w:r w:rsidRPr="00EF09FE">
        <w:rPr>
          <w:rFonts w:ascii="Times New Roman" w:hAnsi="Times New Roman" w:cs="Times New Roman"/>
          <w:i/>
          <w:sz w:val="20"/>
          <w:szCs w:val="20"/>
        </w:rPr>
        <w:t>Note.</w:t>
      </w:r>
      <w:r w:rsidRPr="00EF09FE">
        <w:rPr>
          <w:rFonts w:ascii="Times New Roman" w:hAnsi="Times New Roman" w:cs="Times New Roman"/>
          <w:sz w:val="20"/>
          <w:szCs w:val="20"/>
        </w:rPr>
        <w:t xml:space="preserve"> To obtain the odds ratio for the independent versus supervised groups</w:t>
      </w:r>
      <w:r w:rsidR="00C502FE" w:rsidRPr="00EF09FE">
        <w:rPr>
          <w:rFonts w:ascii="Times New Roman" w:hAnsi="Times New Roman" w:cs="Times New Roman"/>
          <w:sz w:val="20"/>
          <w:szCs w:val="20"/>
        </w:rPr>
        <w:t xml:space="preserve"> (odds ratio, 1.94, </w:t>
      </w:r>
      <w:r w:rsidR="00C502FE" w:rsidRPr="00EF09FE">
        <w:rPr>
          <w:rFonts w:ascii="Times New Roman" w:hAnsi="Times New Roman" w:cs="Times New Roman"/>
          <w:i/>
          <w:sz w:val="20"/>
          <w:szCs w:val="20"/>
        </w:rPr>
        <w:t>p</w:t>
      </w:r>
      <w:r w:rsidR="00C502FE" w:rsidRPr="00EF09FE">
        <w:rPr>
          <w:rFonts w:ascii="Times New Roman" w:hAnsi="Times New Roman" w:cs="Times New Roman"/>
          <w:sz w:val="20"/>
          <w:szCs w:val="20"/>
        </w:rPr>
        <w:t xml:space="preserve"> = .110)</w:t>
      </w:r>
      <w:r w:rsidR="009D1A6B">
        <w:rPr>
          <w:rFonts w:ascii="Times New Roman" w:hAnsi="Times New Roman" w:cs="Times New Roman"/>
          <w:sz w:val="20"/>
          <w:szCs w:val="20"/>
        </w:rPr>
        <w:t>, the analysis was re-ru</w:t>
      </w:r>
      <w:r w:rsidRPr="00EF09FE">
        <w:rPr>
          <w:rFonts w:ascii="Times New Roman" w:hAnsi="Times New Roman" w:cs="Times New Roman"/>
          <w:sz w:val="20"/>
          <w:szCs w:val="20"/>
        </w:rPr>
        <w:t xml:space="preserve">n where the supervised group was coded as the reference group in the dummy variables. </w:t>
      </w:r>
    </w:p>
    <w:p w:rsidR="00AE62BD" w:rsidRPr="00AE62BD" w:rsidRDefault="00AE62BD" w:rsidP="00AE62BD">
      <w:pPr>
        <w:rPr>
          <w:rFonts w:ascii="Times New Roman" w:hAnsi="Times New Roman" w:cs="Times New Roman"/>
          <w:sz w:val="20"/>
          <w:szCs w:val="20"/>
        </w:rPr>
      </w:pPr>
    </w:p>
    <w:p w:rsidR="00AA6835" w:rsidRPr="008D6A90" w:rsidRDefault="00507E14" w:rsidP="00AA683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Prescribing-related Discipline</w:t>
      </w:r>
    </w:p>
    <w:p w:rsidR="00AA6835" w:rsidRPr="008D6A90" w:rsidRDefault="005126E3" w:rsidP="00AA683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63 </w:t>
      </w:r>
      <w:r w:rsidR="00AA6835" w:rsidRPr="008D6A90">
        <w:rPr>
          <w:rFonts w:ascii="Times New Roman" w:hAnsi="Times New Roman" w:cs="Times New Roman"/>
          <w:sz w:val="24"/>
          <w:szCs w:val="24"/>
        </w:rPr>
        <w:t xml:space="preserve">APRNs who were disciplined </w:t>
      </w:r>
      <w:r>
        <w:rPr>
          <w:rFonts w:ascii="Times New Roman" w:hAnsi="Times New Roman" w:cs="Times New Roman"/>
          <w:sz w:val="24"/>
          <w:szCs w:val="24"/>
        </w:rPr>
        <w:t xml:space="preserve">by BON in 2009 </w:t>
      </w:r>
      <w:r w:rsidR="00AA6835" w:rsidRPr="008D6A90">
        <w:rPr>
          <w:rFonts w:ascii="Times New Roman" w:hAnsi="Times New Roman" w:cs="Times New Roman"/>
          <w:sz w:val="24"/>
          <w:szCs w:val="24"/>
        </w:rPr>
        <w:t>for prescribing reasons were compared according to their level of prescriptive authority. These</w:t>
      </w:r>
      <w:r w:rsidR="00AA6835">
        <w:rPr>
          <w:rFonts w:ascii="Times New Roman" w:hAnsi="Times New Roman" w:cs="Times New Roman"/>
          <w:sz w:val="24"/>
          <w:szCs w:val="24"/>
        </w:rPr>
        <w:t xml:space="preserve"> results are included in Table 7</w:t>
      </w:r>
      <w:r w:rsidR="00AA6835" w:rsidRPr="008D6A90">
        <w:rPr>
          <w:rFonts w:ascii="Times New Roman" w:hAnsi="Times New Roman" w:cs="Times New Roman"/>
          <w:sz w:val="24"/>
          <w:szCs w:val="24"/>
        </w:rPr>
        <w:t xml:space="preserve">. Again, the overall rate of discipline among APRNs is very low—0.034%, indicating that APRNs are safe prescribers. A total of 63 APRNs were disciplined by boards of nursing in 2009 for prescribing related reasons. Independent APRN prescribers had the highest rate of discipline (0.060%), followed by </w:t>
      </w:r>
      <w:r w:rsidR="00AA6835">
        <w:rPr>
          <w:rFonts w:ascii="Times New Roman" w:hAnsi="Times New Roman" w:cs="Times New Roman"/>
          <w:sz w:val="24"/>
          <w:szCs w:val="24"/>
        </w:rPr>
        <w:t>collaborative prescribers (0.034</w:t>
      </w:r>
      <w:r w:rsidR="00AA6835" w:rsidRPr="008D6A90">
        <w:rPr>
          <w:rFonts w:ascii="Times New Roman" w:hAnsi="Times New Roman" w:cs="Times New Roman"/>
          <w:sz w:val="24"/>
          <w:szCs w:val="24"/>
        </w:rPr>
        <w:t xml:space="preserve">%), and supervised prescribers </w:t>
      </w:r>
      <w:r w:rsidR="00AA6835">
        <w:rPr>
          <w:rFonts w:ascii="Times New Roman" w:hAnsi="Times New Roman" w:cs="Times New Roman"/>
          <w:sz w:val="24"/>
          <w:szCs w:val="24"/>
        </w:rPr>
        <w:t>(0.027</w:t>
      </w:r>
      <w:r w:rsidR="00AA6835" w:rsidRPr="008D6A90">
        <w:rPr>
          <w:rFonts w:ascii="Times New Roman" w:hAnsi="Times New Roman" w:cs="Times New Roman"/>
          <w:sz w:val="24"/>
          <w:szCs w:val="24"/>
        </w:rPr>
        <w:t xml:space="preserve">%). </w:t>
      </w:r>
    </w:p>
    <w:p w:rsidR="00507E14" w:rsidRDefault="00507E14" w:rsidP="00AA6835">
      <w:pPr>
        <w:rPr>
          <w:rFonts w:ascii="Times New Roman" w:hAnsi="Times New Roman" w:cs="Times New Roman"/>
          <w:sz w:val="24"/>
          <w:szCs w:val="24"/>
        </w:rPr>
      </w:pPr>
    </w:p>
    <w:p w:rsidR="00AA6835" w:rsidRPr="008D6A90" w:rsidRDefault="00AA6835" w:rsidP="00AA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7</w:t>
      </w:r>
      <w:r w:rsidRPr="008D6A90">
        <w:rPr>
          <w:rFonts w:ascii="Times New Roman" w:hAnsi="Times New Roman" w:cs="Times New Roman"/>
          <w:sz w:val="24"/>
          <w:szCs w:val="24"/>
        </w:rPr>
        <w:t xml:space="preserve">. APRNs disciplined for </w:t>
      </w:r>
      <w:r w:rsidRPr="008D6A90">
        <w:rPr>
          <w:rFonts w:ascii="Times New Roman" w:hAnsi="Times New Roman" w:cs="Times New Roman"/>
          <w:i/>
          <w:sz w:val="24"/>
          <w:szCs w:val="24"/>
        </w:rPr>
        <w:t>prescribing</w:t>
      </w:r>
      <w:r w:rsidRPr="008D6A90">
        <w:rPr>
          <w:rFonts w:ascii="Times New Roman" w:hAnsi="Times New Roman" w:cs="Times New Roman"/>
          <w:sz w:val="24"/>
          <w:szCs w:val="24"/>
        </w:rPr>
        <w:t xml:space="preserve"> related reasons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790"/>
        <w:gridCol w:w="2214"/>
        <w:gridCol w:w="2214"/>
      </w:tblGrid>
      <w:tr w:rsidR="00AA6835" w:rsidRPr="008D6A90" w:rsidTr="00507E14">
        <w:tc>
          <w:tcPr>
            <w:tcW w:w="1870" w:type="dxa"/>
          </w:tcPr>
          <w:p w:rsidR="00AA6835" w:rsidRPr="008D6A90" w:rsidRDefault="00AA6835" w:rsidP="00716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AA6835" w:rsidRPr="008D6A90" w:rsidRDefault="00AA6835" w:rsidP="00716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90">
              <w:rPr>
                <w:rFonts w:ascii="Times New Roman" w:hAnsi="Times New Roman" w:cs="Times New Roman"/>
                <w:sz w:val="24"/>
                <w:szCs w:val="24"/>
              </w:rPr>
              <w:t>Number of APRNs disciplined</w:t>
            </w:r>
          </w:p>
        </w:tc>
        <w:tc>
          <w:tcPr>
            <w:tcW w:w="2214" w:type="dxa"/>
          </w:tcPr>
          <w:p w:rsidR="00AA6835" w:rsidRPr="008D6A90" w:rsidRDefault="00AA6835" w:rsidP="00716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90">
              <w:rPr>
                <w:rFonts w:ascii="Times New Roman" w:hAnsi="Times New Roman" w:cs="Times New Roman"/>
                <w:sz w:val="24"/>
                <w:szCs w:val="24"/>
              </w:rPr>
              <w:t>Total number of APRNs</w:t>
            </w:r>
          </w:p>
        </w:tc>
        <w:tc>
          <w:tcPr>
            <w:tcW w:w="2214" w:type="dxa"/>
          </w:tcPr>
          <w:p w:rsidR="00AA6835" w:rsidRPr="008D6A90" w:rsidRDefault="00AA6835" w:rsidP="00716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90">
              <w:rPr>
                <w:rFonts w:ascii="Times New Roman" w:hAnsi="Times New Roman" w:cs="Times New Roman"/>
                <w:sz w:val="24"/>
                <w:szCs w:val="24"/>
              </w:rPr>
              <w:t>Rate of discipline</w:t>
            </w:r>
          </w:p>
        </w:tc>
      </w:tr>
      <w:tr w:rsidR="00AA6835" w:rsidRPr="008D6A90" w:rsidTr="00507E14">
        <w:tc>
          <w:tcPr>
            <w:tcW w:w="1870" w:type="dxa"/>
          </w:tcPr>
          <w:p w:rsidR="00AA6835" w:rsidRPr="008D6A90" w:rsidRDefault="00AA6835" w:rsidP="00716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A90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</w:p>
        </w:tc>
        <w:tc>
          <w:tcPr>
            <w:tcW w:w="2790" w:type="dxa"/>
          </w:tcPr>
          <w:p w:rsidR="00AA6835" w:rsidRPr="008D6A90" w:rsidRDefault="00AA6835" w:rsidP="00716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9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14" w:type="dxa"/>
          </w:tcPr>
          <w:p w:rsidR="00AA6835" w:rsidRPr="008D6A90" w:rsidRDefault="00AA6835" w:rsidP="00716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90">
              <w:rPr>
                <w:rFonts w:ascii="Times New Roman" w:hAnsi="Times New Roman" w:cs="Times New Roman"/>
                <w:sz w:val="24"/>
                <w:szCs w:val="24"/>
              </w:rPr>
              <w:t>18,400</w:t>
            </w:r>
          </w:p>
        </w:tc>
        <w:tc>
          <w:tcPr>
            <w:tcW w:w="2214" w:type="dxa"/>
          </w:tcPr>
          <w:p w:rsidR="00AA6835" w:rsidRPr="008D6A90" w:rsidRDefault="00AA6835" w:rsidP="00716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90">
              <w:rPr>
                <w:rFonts w:ascii="Times New Roman" w:hAnsi="Times New Roman" w:cs="Times New Roman"/>
                <w:sz w:val="24"/>
                <w:szCs w:val="24"/>
              </w:rPr>
              <w:t>0.060%</w:t>
            </w:r>
          </w:p>
        </w:tc>
      </w:tr>
      <w:tr w:rsidR="00AA6835" w:rsidRPr="008D6A90" w:rsidTr="00507E14">
        <w:tc>
          <w:tcPr>
            <w:tcW w:w="1870" w:type="dxa"/>
          </w:tcPr>
          <w:p w:rsidR="00AA6835" w:rsidRPr="008D6A90" w:rsidRDefault="00AA6835" w:rsidP="00716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A90">
              <w:rPr>
                <w:rFonts w:ascii="Times New Roman" w:hAnsi="Times New Roman" w:cs="Times New Roman"/>
                <w:sz w:val="24"/>
                <w:szCs w:val="24"/>
              </w:rPr>
              <w:t>Collaborative</w:t>
            </w:r>
          </w:p>
        </w:tc>
        <w:tc>
          <w:tcPr>
            <w:tcW w:w="2790" w:type="dxa"/>
          </w:tcPr>
          <w:p w:rsidR="00AA6835" w:rsidRPr="008D6A90" w:rsidRDefault="00AA6835" w:rsidP="00716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214" w:type="dxa"/>
          </w:tcPr>
          <w:p w:rsidR="00AA6835" w:rsidRPr="008D6A90" w:rsidRDefault="00AA6835" w:rsidP="00716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136,460</w:t>
            </w:r>
          </w:p>
        </w:tc>
        <w:tc>
          <w:tcPr>
            <w:tcW w:w="2214" w:type="dxa"/>
          </w:tcPr>
          <w:p w:rsidR="00AA6835" w:rsidRPr="008D6A90" w:rsidRDefault="00AA6835" w:rsidP="00716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90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D6A9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A6835" w:rsidRPr="008D6A90" w:rsidTr="00507E14">
        <w:tc>
          <w:tcPr>
            <w:tcW w:w="1870" w:type="dxa"/>
          </w:tcPr>
          <w:p w:rsidR="00AA6835" w:rsidRPr="008D6A90" w:rsidRDefault="00AA6835" w:rsidP="00716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A90">
              <w:rPr>
                <w:rFonts w:ascii="Times New Roman" w:hAnsi="Times New Roman" w:cs="Times New Roman"/>
                <w:sz w:val="24"/>
                <w:szCs w:val="24"/>
              </w:rPr>
              <w:t>Supervised/None</w:t>
            </w:r>
          </w:p>
        </w:tc>
        <w:tc>
          <w:tcPr>
            <w:tcW w:w="2790" w:type="dxa"/>
          </w:tcPr>
          <w:p w:rsidR="00AA6835" w:rsidRPr="008D6A90" w:rsidRDefault="00AA6835" w:rsidP="00716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14" w:type="dxa"/>
          </w:tcPr>
          <w:p w:rsidR="00AA6835" w:rsidRPr="008D6A90" w:rsidRDefault="00AA6835" w:rsidP="00716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29,911</w:t>
            </w:r>
          </w:p>
        </w:tc>
        <w:tc>
          <w:tcPr>
            <w:tcW w:w="2214" w:type="dxa"/>
          </w:tcPr>
          <w:p w:rsidR="00AA6835" w:rsidRPr="008D6A90" w:rsidRDefault="00AA6835" w:rsidP="00716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  <w:r w:rsidRPr="008D6A9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A6835" w:rsidRPr="00507E14" w:rsidTr="00507E14">
        <w:tc>
          <w:tcPr>
            <w:tcW w:w="1870" w:type="dxa"/>
          </w:tcPr>
          <w:p w:rsidR="00AA6835" w:rsidRPr="00507E14" w:rsidRDefault="00AA6835" w:rsidP="00716C0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14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790" w:type="dxa"/>
          </w:tcPr>
          <w:p w:rsidR="00AA6835" w:rsidRPr="00507E14" w:rsidRDefault="00AA6835" w:rsidP="00716C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14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2214" w:type="dxa"/>
          </w:tcPr>
          <w:p w:rsidR="00AA6835" w:rsidRPr="00507E14" w:rsidRDefault="00AA6835" w:rsidP="00716C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14">
              <w:rPr>
                <w:rFonts w:ascii="Times New Roman" w:hAnsi="Times New Roman" w:cs="Times New Roman"/>
                <w:b/>
                <w:sz w:val="24"/>
                <w:szCs w:val="24"/>
              </w:rPr>
              <w:t>184,771</w:t>
            </w:r>
          </w:p>
        </w:tc>
        <w:tc>
          <w:tcPr>
            <w:tcW w:w="2214" w:type="dxa"/>
          </w:tcPr>
          <w:p w:rsidR="00AA6835" w:rsidRPr="00507E14" w:rsidRDefault="00AA6835" w:rsidP="00716C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14">
              <w:rPr>
                <w:rFonts w:ascii="Times New Roman" w:hAnsi="Times New Roman" w:cs="Times New Roman"/>
                <w:b/>
                <w:sz w:val="24"/>
                <w:szCs w:val="24"/>
              </w:rPr>
              <w:t>0.034%</w:t>
            </w:r>
          </w:p>
        </w:tc>
      </w:tr>
    </w:tbl>
    <w:p w:rsidR="00507E14" w:rsidRPr="00507E14" w:rsidRDefault="00507E14" w:rsidP="00507E1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507E14">
        <w:rPr>
          <w:rFonts w:ascii="Times New Roman" w:hAnsi="Times New Roman" w:cs="Times New Roman"/>
          <w:i/>
          <w:sz w:val="20"/>
          <w:szCs w:val="20"/>
        </w:rPr>
        <w:t>Note.</w:t>
      </w:r>
      <w:r>
        <w:rPr>
          <w:rFonts w:ascii="Times New Roman" w:hAnsi="Times New Roman" w:cs="Times New Roman"/>
          <w:sz w:val="20"/>
          <w:szCs w:val="20"/>
        </w:rPr>
        <w:t xml:space="preserve"> 63 of 184,771 (0.034%) APRNs were disciplined for prescribing-related reasons.</w:t>
      </w:r>
    </w:p>
    <w:p w:rsidR="005C2595" w:rsidRDefault="005C2595" w:rsidP="005C2595">
      <w:pPr>
        <w:rPr>
          <w:rFonts w:ascii="Times New Roman" w:hAnsi="Times New Roman" w:cs="Times New Roman"/>
          <w:sz w:val="24"/>
          <w:szCs w:val="24"/>
        </w:rPr>
      </w:pPr>
    </w:p>
    <w:p w:rsidR="005C2595" w:rsidRPr="00EF09FE" w:rsidRDefault="005C2595" w:rsidP="004E67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09FE">
        <w:rPr>
          <w:rFonts w:ascii="Times New Roman" w:hAnsi="Times New Roman" w:cs="Times New Roman"/>
          <w:sz w:val="24"/>
          <w:szCs w:val="24"/>
        </w:rPr>
        <w:t>Logistic regression with dummy coding was used to investigate the effects of level of practice autonomy (i.e., independent, collaborative, and supervised) on prescribing-related discipline (i.e., di</w:t>
      </w:r>
      <w:r w:rsidR="00C15CF9" w:rsidRPr="00EF09FE">
        <w:rPr>
          <w:rFonts w:ascii="Times New Roman" w:hAnsi="Times New Roman" w:cs="Times New Roman"/>
          <w:sz w:val="24"/>
          <w:szCs w:val="24"/>
        </w:rPr>
        <w:t>sciplined or not disciplined), where supervised was the reference group.</w:t>
      </w:r>
      <w:r w:rsidRPr="00EF09FE">
        <w:rPr>
          <w:rFonts w:ascii="Times New Roman" w:hAnsi="Times New Roman" w:cs="Times New Roman"/>
          <w:sz w:val="24"/>
          <w:szCs w:val="24"/>
        </w:rPr>
        <w:t xml:space="preserve"> Given high sample size, non-random assignment to groups, and extremely low overall discipline rates, results should be interpreted with caution. Table </w:t>
      </w:r>
      <w:r w:rsidR="00E77EF6" w:rsidRPr="00EF09FE">
        <w:rPr>
          <w:rFonts w:ascii="Times New Roman" w:hAnsi="Times New Roman" w:cs="Times New Roman"/>
          <w:sz w:val="24"/>
          <w:szCs w:val="24"/>
        </w:rPr>
        <w:t>8</w:t>
      </w:r>
      <w:r w:rsidRPr="00EF09FE">
        <w:rPr>
          <w:rFonts w:ascii="Times New Roman" w:hAnsi="Times New Roman" w:cs="Times New Roman"/>
          <w:sz w:val="24"/>
          <w:szCs w:val="24"/>
        </w:rPr>
        <w:t xml:space="preserve"> presents the results which indicated that level of practice autonomy</w:t>
      </w:r>
      <w:r w:rsidR="00391E71" w:rsidRPr="00EF09FE">
        <w:rPr>
          <w:rFonts w:ascii="Times New Roman" w:hAnsi="Times New Roman" w:cs="Times New Roman"/>
          <w:sz w:val="24"/>
          <w:szCs w:val="24"/>
        </w:rPr>
        <w:t xml:space="preserve"> </w:t>
      </w:r>
      <w:r w:rsidR="001F6214" w:rsidRPr="00EF09FE">
        <w:rPr>
          <w:rFonts w:ascii="Times New Roman" w:hAnsi="Times New Roman" w:cs="Times New Roman"/>
          <w:i/>
          <w:sz w:val="24"/>
          <w:szCs w:val="24"/>
        </w:rPr>
        <w:t>marginally</w:t>
      </w:r>
      <w:r w:rsidRPr="00EF09FE">
        <w:rPr>
          <w:rFonts w:ascii="Times New Roman" w:hAnsi="Times New Roman" w:cs="Times New Roman"/>
          <w:sz w:val="24"/>
          <w:szCs w:val="24"/>
        </w:rPr>
        <w:t xml:space="preserve"> distinguished whether practitioners were disciplined or not, </w:t>
      </w:r>
      <w:r w:rsidRPr="00EF09FE">
        <w:rPr>
          <w:rFonts w:ascii="Times New Roman" w:hAnsi="Times New Roman" w:cs="Times New Roman"/>
          <w:sz w:val="24"/>
          <w:szCs w:val="24"/>
        </w:rPr>
        <w:sym w:font="Symbol" w:char="F063"/>
      </w:r>
      <w:r w:rsidRPr="00EF09FE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EF09FE">
        <w:rPr>
          <w:rFonts w:ascii="Times New Roman" w:hAnsi="Times New Roman" w:cs="Times New Roman"/>
          <w:sz w:val="24"/>
          <w:szCs w:val="24"/>
        </w:rPr>
        <w:t xml:space="preserve">(2, </w:t>
      </w:r>
      <w:r w:rsidRPr="00EF09FE">
        <w:rPr>
          <w:rFonts w:ascii="Times New Roman" w:hAnsi="Times New Roman" w:cs="Times New Roman"/>
          <w:i/>
          <w:sz w:val="24"/>
          <w:szCs w:val="24"/>
        </w:rPr>
        <w:t>N</w:t>
      </w:r>
      <w:r w:rsidRPr="00EF09FE">
        <w:rPr>
          <w:rFonts w:ascii="Times New Roman" w:hAnsi="Times New Roman" w:cs="Times New Roman"/>
          <w:sz w:val="24"/>
          <w:szCs w:val="24"/>
        </w:rPr>
        <w:t xml:space="preserve"> = 184,771) = </w:t>
      </w:r>
      <w:r w:rsidR="00391E71" w:rsidRPr="00EF09FE">
        <w:rPr>
          <w:rFonts w:ascii="Times New Roman" w:hAnsi="Times New Roman" w:cs="Times New Roman"/>
          <w:sz w:val="24"/>
          <w:szCs w:val="24"/>
        </w:rPr>
        <w:t>5.07</w:t>
      </w:r>
      <w:r w:rsidRPr="00EF09FE">
        <w:rPr>
          <w:rFonts w:ascii="Times New Roman" w:hAnsi="Times New Roman" w:cs="Times New Roman"/>
          <w:sz w:val="24"/>
          <w:szCs w:val="24"/>
        </w:rPr>
        <w:t xml:space="preserve">, </w:t>
      </w:r>
      <w:r w:rsidRPr="00EF09FE">
        <w:rPr>
          <w:rFonts w:ascii="Times New Roman" w:hAnsi="Times New Roman" w:cs="Times New Roman"/>
          <w:i/>
          <w:sz w:val="24"/>
          <w:szCs w:val="24"/>
        </w:rPr>
        <w:t>p</w:t>
      </w:r>
      <w:r w:rsidR="00391E71" w:rsidRPr="00EF09FE">
        <w:rPr>
          <w:rFonts w:ascii="Times New Roman" w:hAnsi="Times New Roman" w:cs="Times New Roman"/>
          <w:sz w:val="24"/>
          <w:szCs w:val="24"/>
        </w:rPr>
        <w:t xml:space="preserve"> = .079</w:t>
      </w:r>
      <w:r w:rsidRPr="00EF09FE">
        <w:rPr>
          <w:rFonts w:ascii="Times New Roman" w:hAnsi="Times New Roman" w:cs="Times New Roman"/>
          <w:sz w:val="24"/>
          <w:szCs w:val="24"/>
        </w:rPr>
        <w:t>.</w:t>
      </w:r>
      <w:r w:rsidR="00B92F48" w:rsidRPr="00EF09FE">
        <w:rPr>
          <w:rFonts w:ascii="Times New Roman" w:hAnsi="Times New Roman" w:cs="Times New Roman"/>
          <w:sz w:val="24"/>
          <w:szCs w:val="24"/>
        </w:rPr>
        <w:t xml:space="preserve"> Given that this test approached significan</w:t>
      </w:r>
      <w:r w:rsidR="009D1A6B">
        <w:rPr>
          <w:rFonts w:ascii="Times New Roman" w:hAnsi="Times New Roman" w:cs="Times New Roman"/>
          <w:sz w:val="24"/>
          <w:szCs w:val="24"/>
        </w:rPr>
        <w:t xml:space="preserve">ce, group comparisons were made, however, should be interpreted with caution. </w:t>
      </w:r>
      <w:r w:rsidRPr="00EF09FE">
        <w:rPr>
          <w:rFonts w:ascii="Times New Roman" w:hAnsi="Times New Roman" w:cs="Times New Roman"/>
          <w:sz w:val="24"/>
          <w:szCs w:val="24"/>
        </w:rPr>
        <w:t xml:space="preserve">Specifically, independent </w:t>
      </w:r>
      <w:proofErr w:type="spellStart"/>
      <w:r w:rsidRPr="00EF09FE">
        <w:rPr>
          <w:rFonts w:ascii="Times New Roman" w:hAnsi="Times New Roman" w:cs="Times New Roman"/>
          <w:sz w:val="24"/>
          <w:szCs w:val="24"/>
        </w:rPr>
        <w:t>practioners</w:t>
      </w:r>
      <w:proofErr w:type="spellEnd"/>
      <w:r w:rsidRPr="00EF09FE">
        <w:rPr>
          <w:rFonts w:ascii="Times New Roman" w:hAnsi="Times New Roman" w:cs="Times New Roman"/>
          <w:sz w:val="24"/>
          <w:szCs w:val="24"/>
        </w:rPr>
        <w:t xml:space="preserve"> were significantly more likely to be disciplined versus </w:t>
      </w:r>
      <w:r w:rsidR="00B92F48" w:rsidRPr="00EF09FE">
        <w:rPr>
          <w:rFonts w:ascii="Times New Roman" w:hAnsi="Times New Roman" w:cs="Times New Roman"/>
          <w:sz w:val="24"/>
          <w:szCs w:val="24"/>
        </w:rPr>
        <w:t>supervised</w:t>
      </w:r>
      <w:r w:rsidRPr="00EF09FE">
        <w:rPr>
          <w:rFonts w:ascii="Times New Roman" w:hAnsi="Times New Roman" w:cs="Times New Roman"/>
          <w:sz w:val="24"/>
          <w:szCs w:val="24"/>
        </w:rPr>
        <w:t xml:space="preserve"> practitioners (</w:t>
      </w:r>
      <w:r w:rsidRPr="00EF09FE">
        <w:rPr>
          <w:rFonts w:ascii="Times New Roman" w:hAnsi="Times New Roman" w:cs="Times New Roman"/>
          <w:i/>
          <w:sz w:val="24"/>
          <w:szCs w:val="24"/>
        </w:rPr>
        <w:t>B</w:t>
      </w:r>
      <w:r w:rsidRPr="00EF09FE">
        <w:rPr>
          <w:rFonts w:ascii="Times New Roman" w:hAnsi="Times New Roman" w:cs="Times New Roman"/>
          <w:sz w:val="24"/>
          <w:szCs w:val="24"/>
        </w:rPr>
        <w:t xml:space="preserve"> = </w:t>
      </w:r>
      <w:r w:rsidR="00B92F48" w:rsidRPr="00EF09FE">
        <w:rPr>
          <w:rFonts w:ascii="Times New Roman" w:hAnsi="Times New Roman" w:cs="Times New Roman"/>
          <w:sz w:val="24"/>
          <w:szCs w:val="24"/>
        </w:rPr>
        <w:t>1.09</w:t>
      </w:r>
      <w:r w:rsidRPr="00EF09FE">
        <w:rPr>
          <w:rFonts w:ascii="Times New Roman" w:hAnsi="Times New Roman" w:cs="Times New Roman"/>
          <w:sz w:val="24"/>
          <w:szCs w:val="24"/>
        </w:rPr>
        <w:t xml:space="preserve">, </w:t>
      </w:r>
      <w:r w:rsidRPr="00EF09FE">
        <w:rPr>
          <w:rFonts w:ascii="Times New Roman" w:hAnsi="Times New Roman" w:cs="Times New Roman"/>
          <w:i/>
          <w:sz w:val="24"/>
          <w:szCs w:val="24"/>
        </w:rPr>
        <w:t>SE</w:t>
      </w:r>
      <w:r w:rsidRPr="00EF09FE">
        <w:rPr>
          <w:rFonts w:ascii="Times New Roman" w:hAnsi="Times New Roman" w:cs="Times New Roman"/>
          <w:sz w:val="24"/>
          <w:szCs w:val="24"/>
        </w:rPr>
        <w:t xml:space="preserve"> = .</w:t>
      </w:r>
      <w:r w:rsidR="00B92F48" w:rsidRPr="00EF09FE">
        <w:rPr>
          <w:rFonts w:ascii="Times New Roman" w:hAnsi="Times New Roman" w:cs="Times New Roman"/>
          <w:sz w:val="24"/>
          <w:szCs w:val="24"/>
        </w:rPr>
        <w:t>51</w:t>
      </w:r>
      <w:r w:rsidRPr="00EF09FE">
        <w:rPr>
          <w:rFonts w:ascii="Times New Roman" w:hAnsi="Times New Roman" w:cs="Times New Roman"/>
          <w:sz w:val="24"/>
          <w:szCs w:val="24"/>
        </w:rPr>
        <w:t xml:space="preserve">) (odds ratio, </w:t>
      </w:r>
      <w:r w:rsidR="00B92F48" w:rsidRPr="00EF09FE">
        <w:rPr>
          <w:rFonts w:ascii="Times New Roman" w:hAnsi="Times New Roman" w:cs="Times New Roman"/>
          <w:sz w:val="24"/>
          <w:szCs w:val="24"/>
        </w:rPr>
        <w:t>2.98</w:t>
      </w:r>
      <w:r w:rsidRPr="00EF09FE">
        <w:rPr>
          <w:rFonts w:ascii="Times New Roman" w:hAnsi="Times New Roman" w:cs="Times New Roman"/>
          <w:sz w:val="24"/>
          <w:szCs w:val="24"/>
        </w:rPr>
        <w:t>); where independent practitioners were 2.</w:t>
      </w:r>
      <w:r w:rsidR="00B92F48" w:rsidRPr="00EF09FE">
        <w:rPr>
          <w:rFonts w:ascii="Times New Roman" w:hAnsi="Times New Roman" w:cs="Times New Roman"/>
          <w:sz w:val="24"/>
          <w:szCs w:val="24"/>
        </w:rPr>
        <w:t>98</w:t>
      </w:r>
      <w:r w:rsidRPr="00EF09FE">
        <w:rPr>
          <w:rFonts w:ascii="Times New Roman" w:hAnsi="Times New Roman" w:cs="Times New Roman"/>
          <w:sz w:val="24"/>
          <w:szCs w:val="24"/>
        </w:rPr>
        <w:t xml:space="preserve"> times more likely to be disciplined versus </w:t>
      </w:r>
      <w:r w:rsidR="00B92F48" w:rsidRPr="00EF09FE">
        <w:rPr>
          <w:rFonts w:ascii="Times New Roman" w:hAnsi="Times New Roman" w:cs="Times New Roman"/>
          <w:sz w:val="24"/>
          <w:szCs w:val="24"/>
        </w:rPr>
        <w:t>supervised</w:t>
      </w:r>
      <w:r w:rsidRPr="00EF09FE">
        <w:rPr>
          <w:rFonts w:ascii="Times New Roman" w:hAnsi="Times New Roman" w:cs="Times New Roman"/>
          <w:sz w:val="24"/>
          <w:szCs w:val="24"/>
        </w:rPr>
        <w:t xml:space="preserve"> practitioners. There was no significant difference between collaborative practitioners and supervised practitioners (</w:t>
      </w:r>
      <w:r w:rsidRPr="00EF09FE">
        <w:rPr>
          <w:rFonts w:ascii="Times New Roman" w:hAnsi="Times New Roman" w:cs="Times New Roman"/>
          <w:i/>
          <w:sz w:val="24"/>
          <w:szCs w:val="24"/>
        </w:rPr>
        <w:t>B</w:t>
      </w:r>
      <w:r w:rsidRPr="00EF09FE">
        <w:rPr>
          <w:rFonts w:ascii="Times New Roman" w:hAnsi="Times New Roman" w:cs="Times New Roman"/>
          <w:sz w:val="24"/>
          <w:szCs w:val="24"/>
        </w:rPr>
        <w:t xml:space="preserve"> = </w:t>
      </w:r>
      <w:r w:rsidR="00B92F48" w:rsidRPr="00EF09FE">
        <w:rPr>
          <w:rFonts w:ascii="Times New Roman" w:hAnsi="Times New Roman" w:cs="Times New Roman"/>
          <w:sz w:val="24"/>
          <w:szCs w:val="24"/>
        </w:rPr>
        <w:t>.52</w:t>
      </w:r>
      <w:r w:rsidRPr="00EF09FE">
        <w:rPr>
          <w:rFonts w:ascii="Times New Roman" w:hAnsi="Times New Roman" w:cs="Times New Roman"/>
          <w:sz w:val="24"/>
          <w:szCs w:val="24"/>
        </w:rPr>
        <w:t xml:space="preserve">, </w:t>
      </w:r>
      <w:r w:rsidRPr="00EF09FE">
        <w:rPr>
          <w:rFonts w:ascii="Times New Roman" w:hAnsi="Times New Roman" w:cs="Times New Roman"/>
          <w:i/>
          <w:sz w:val="24"/>
          <w:szCs w:val="24"/>
        </w:rPr>
        <w:t>SE</w:t>
      </w:r>
      <w:r w:rsidRPr="00EF09FE">
        <w:rPr>
          <w:rFonts w:ascii="Times New Roman" w:hAnsi="Times New Roman" w:cs="Times New Roman"/>
          <w:sz w:val="24"/>
          <w:szCs w:val="24"/>
        </w:rPr>
        <w:t xml:space="preserve"> = </w:t>
      </w:r>
      <w:r w:rsidR="00B92F48" w:rsidRPr="00EF09FE">
        <w:rPr>
          <w:rFonts w:ascii="Times New Roman" w:hAnsi="Times New Roman" w:cs="Times New Roman"/>
          <w:sz w:val="24"/>
          <w:szCs w:val="24"/>
        </w:rPr>
        <w:t>.43</w:t>
      </w:r>
      <w:r w:rsidRPr="00EF09FE">
        <w:rPr>
          <w:rFonts w:ascii="Times New Roman" w:hAnsi="Times New Roman" w:cs="Times New Roman"/>
          <w:sz w:val="24"/>
          <w:szCs w:val="24"/>
        </w:rPr>
        <w:t>) (odds r</w:t>
      </w:r>
      <w:r w:rsidR="00B92F48" w:rsidRPr="00EF09FE">
        <w:rPr>
          <w:rFonts w:ascii="Times New Roman" w:hAnsi="Times New Roman" w:cs="Times New Roman"/>
          <w:sz w:val="24"/>
          <w:szCs w:val="24"/>
        </w:rPr>
        <w:t>atio</w:t>
      </w:r>
      <w:r w:rsidR="00094BC2" w:rsidRPr="00EF09FE">
        <w:rPr>
          <w:rFonts w:ascii="Times New Roman" w:hAnsi="Times New Roman" w:cs="Times New Roman"/>
          <w:sz w:val="24"/>
          <w:szCs w:val="24"/>
        </w:rPr>
        <w:t>,</w:t>
      </w:r>
      <w:r w:rsidR="00B92F48" w:rsidRPr="00EF09FE">
        <w:rPr>
          <w:rFonts w:ascii="Times New Roman" w:hAnsi="Times New Roman" w:cs="Times New Roman"/>
          <w:sz w:val="24"/>
          <w:szCs w:val="24"/>
        </w:rPr>
        <w:t xml:space="preserve"> 1.68</w:t>
      </w:r>
      <w:r w:rsidRPr="00EF09FE">
        <w:rPr>
          <w:rFonts w:ascii="Times New Roman" w:hAnsi="Times New Roman" w:cs="Times New Roman"/>
          <w:sz w:val="24"/>
          <w:szCs w:val="24"/>
        </w:rPr>
        <w:t xml:space="preserve">). 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918"/>
        <w:gridCol w:w="918"/>
        <w:gridCol w:w="918"/>
        <w:gridCol w:w="918"/>
        <w:gridCol w:w="918"/>
        <w:gridCol w:w="918"/>
      </w:tblGrid>
      <w:tr w:rsidR="005C2595" w:rsidRPr="00EF09FE" w:rsidTr="001F6214">
        <w:trPr>
          <w:trHeight w:val="360"/>
        </w:trPr>
        <w:tc>
          <w:tcPr>
            <w:tcW w:w="95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595" w:rsidRPr="00EF09FE" w:rsidRDefault="005C2595" w:rsidP="001F621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Table </w:t>
            </w:r>
            <w:r w:rsidR="00E77EF6" w:rsidRPr="00EF09F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5C2595" w:rsidRPr="00EF09FE" w:rsidTr="001F6214">
        <w:trPr>
          <w:trHeight w:val="360"/>
        </w:trPr>
        <w:tc>
          <w:tcPr>
            <w:tcW w:w="95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2595" w:rsidRPr="00EF09FE" w:rsidRDefault="005C2595" w:rsidP="001F6214">
            <w:pPr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Summary of Logistic Regression Analysis for </w:t>
            </w:r>
            <w:r w:rsidRPr="00EF09FE">
              <w:rPr>
                <w:rFonts w:ascii="Times New Roman" w:hAnsi="Times New Roman" w:cs="Times New Roman"/>
                <w:i/>
                <w:sz w:val="20"/>
                <w:szCs w:val="20"/>
              </w:rPr>
              <w:t>Level of Practice Autonomy</w:t>
            </w:r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 Predicting prescribing-related </w:t>
            </w:r>
            <w:r w:rsidRPr="00EF09FE">
              <w:rPr>
                <w:rFonts w:ascii="Times New Roman" w:hAnsi="Times New Roman" w:cs="Times New Roman"/>
                <w:i/>
                <w:sz w:val="20"/>
                <w:szCs w:val="20"/>
              </w:rPr>
              <w:t>Discipline</w:t>
            </w:r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 </w:t>
            </w:r>
          </w:p>
        </w:tc>
      </w:tr>
      <w:tr w:rsidR="005C2595" w:rsidRPr="00EF09FE" w:rsidTr="001F6214">
        <w:trPr>
          <w:trHeight w:val="590"/>
        </w:trPr>
        <w:tc>
          <w:tcPr>
            <w:tcW w:w="40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595" w:rsidRPr="00EF09FE" w:rsidRDefault="005C2595" w:rsidP="001F621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Predictor</w:t>
            </w:r>
          </w:p>
        </w:tc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B</w:t>
            </w:r>
          </w:p>
        </w:tc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SE B</w:t>
            </w:r>
          </w:p>
        </w:tc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Wald’s </w:t>
            </w:r>
          </w:p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i/>
                <w:szCs w:val="20"/>
              </w:rPr>
              <w:sym w:font="Symbol" w:char="F063"/>
            </w:r>
            <w:r w:rsidRPr="00EF09FE">
              <w:rPr>
                <w:rFonts w:ascii="Times New Roman" w:eastAsia="Calibri" w:hAnsi="Times New Roman" w:cs="Times New Roman"/>
                <w:i/>
                <w:szCs w:val="20"/>
                <w:vertAlign w:val="superscript"/>
              </w:rPr>
              <w:t>2</w:t>
            </w:r>
          </w:p>
        </w:tc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proofErr w:type="spellStart"/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p</w:t>
            </w:r>
          </w:p>
        </w:tc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e</w:t>
            </w:r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  <w:vertAlign w:val="superscript"/>
              </w:rPr>
              <w:t>B</w:t>
            </w:r>
            <w:proofErr w:type="spellEnd"/>
            <w:r w:rsidRPr="00EF09FE">
              <w:rPr>
                <w:rFonts w:ascii="Times New Roman" w:eastAsia="Calibri" w:hAnsi="Times New Roman" w:cs="Times New Roman"/>
                <w:i/>
                <w:sz w:val="20"/>
                <w:szCs w:val="20"/>
                <w:vertAlign w:val="superscript"/>
              </w:rPr>
              <w:t xml:space="preserve"> </w:t>
            </w:r>
          </w:p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(odds ratio)</w:t>
            </w:r>
          </w:p>
        </w:tc>
      </w:tr>
      <w:tr w:rsidR="005C2595" w:rsidRPr="00EF09FE" w:rsidTr="001F6214">
        <w:trPr>
          <w:trHeight w:val="360"/>
        </w:trPr>
        <w:tc>
          <w:tcPr>
            <w:tcW w:w="4068" w:type="dxa"/>
            <w:tcBorders>
              <w:left w:val="nil"/>
              <w:bottom w:val="nil"/>
              <w:right w:val="nil"/>
            </w:tcBorders>
            <w:vAlign w:val="center"/>
          </w:tcPr>
          <w:p w:rsidR="005C2595" w:rsidRPr="00EF09FE" w:rsidRDefault="005C2595" w:rsidP="001F621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  <w:vAlign w:val="center"/>
          </w:tcPr>
          <w:p w:rsidR="005C2595" w:rsidRPr="00EF09FE" w:rsidRDefault="00B92F48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6.90</w:t>
            </w: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  <w:vAlign w:val="center"/>
          </w:tcPr>
          <w:p w:rsidR="005C2595" w:rsidRPr="00EF09FE" w:rsidRDefault="00B92F48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.53</w:t>
            </w: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  <w:vAlign w:val="center"/>
          </w:tcPr>
          <w:p w:rsidR="005C2595" w:rsidRPr="00EF09FE" w:rsidRDefault="00B92F48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170.52</w:t>
            </w: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  <w:vAlign w:val="center"/>
          </w:tcPr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  <w:vAlign w:val="center"/>
          </w:tcPr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.000</w:t>
            </w: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  <w:vAlign w:val="center"/>
          </w:tcPr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C2595" w:rsidRPr="00EF09FE" w:rsidTr="001F6214">
        <w:trPr>
          <w:trHeight w:val="360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595" w:rsidRPr="00EF09FE" w:rsidRDefault="005C2595" w:rsidP="001F621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Level of practice autonomy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595" w:rsidRPr="00EF09FE" w:rsidRDefault="00B92F48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5.07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92F48" w:rsidRPr="00EF09FE">
              <w:rPr>
                <w:rFonts w:ascii="Times New Roman" w:hAnsi="Times New Roman" w:cs="Times New Roman"/>
                <w:sz w:val="20"/>
                <w:szCs w:val="20"/>
              </w:rPr>
              <w:t>079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C2595" w:rsidRPr="00EF09FE" w:rsidTr="001F6214">
        <w:trPr>
          <w:trHeight w:val="360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595" w:rsidRPr="00EF09FE" w:rsidRDefault="005C2595" w:rsidP="00C15CF9">
            <w:pPr>
              <w:ind w:left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 xml:space="preserve">Independent  vs. </w:t>
            </w:r>
            <w:r w:rsidR="00C15CF9" w:rsidRPr="00EF09FE">
              <w:rPr>
                <w:rFonts w:ascii="Times New Roman" w:hAnsi="Times New Roman" w:cs="Times New Roman"/>
                <w:sz w:val="20"/>
                <w:szCs w:val="20"/>
              </w:rPr>
              <w:t>supervised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595" w:rsidRPr="00EF09FE" w:rsidRDefault="00B92F48" w:rsidP="00B92F4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595" w:rsidRPr="00EF09FE" w:rsidRDefault="00B92F48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.51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595" w:rsidRPr="00EF09FE" w:rsidRDefault="00B92F48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4.63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595" w:rsidRPr="00EF09FE" w:rsidRDefault="00B92F48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.031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595" w:rsidRPr="00EF09FE" w:rsidRDefault="005C2595" w:rsidP="00B92F4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2.</w:t>
            </w:r>
            <w:r w:rsidR="00B92F48"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98</w:t>
            </w:r>
          </w:p>
        </w:tc>
      </w:tr>
      <w:tr w:rsidR="005C2595" w:rsidRPr="00EF09FE" w:rsidTr="001F6214">
        <w:trPr>
          <w:trHeight w:val="360"/>
        </w:trPr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2595" w:rsidRPr="00EF09FE" w:rsidRDefault="00C15CF9" w:rsidP="00C15CF9">
            <w:pPr>
              <w:ind w:left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collaborative</w:t>
            </w:r>
            <w:r w:rsidR="005C2595" w:rsidRPr="00EF09FE">
              <w:rPr>
                <w:rFonts w:ascii="Times New Roman" w:hAnsi="Times New Roman" w:cs="Times New Roman"/>
                <w:sz w:val="20"/>
                <w:szCs w:val="20"/>
              </w:rPr>
              <w:t xml:space="preserve"> vs. </w:t>
            </w: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supervised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2595" w:rsidRPr="00EF09FE" w:rsidRDefault="00B92F48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.52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2595" w:rsidRPr="00EF09FE" w:rsidRDefault="00B92F48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.43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2595" w:rsidRPr="00EF09FE" w:rsidRDefault="00B92F48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1.43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2595" w:rsidRPr="00EF09FE" w:rsidRDefault="005C2595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2595" w:rsidRPr="00EF09FE" w:rsidRDefault="00B92F48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hAnsi="Times New Roman" w:cs="Times New Roman"/>
                <w:sz w:val="20"/>
                <w:szCs w:val="20"/>
              </w:rPr>
              <w:t>.232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2595" w:rsidRPr="00EF09FE" w:rsidRDefault="00B92F48" w:rsidP="001F621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09FE">
              <w:rPr>
                <w:rFonts w:ascii="Times New Roman" w:eastAsia="Calibri" w:hAnsi="Times New Roman" w:cs="Times New Roman"/>
                <w:sz w:val="20"/>
                <w:szCs w:val="20"/>
              </w:rPr>
              <w:t>1.68</w:t>
            </w:r>
          </w:p>
        </w:tc>
      </w:tr>
    </w:tbl>
    <w:p w:rsidR="005C2595" w:rsidRPr="00AE62BD" w:rsidRDefault="00C15CF9" w:rsidP="00AE62BD">
      <w:pPr>
        <w:rPr>
          <w:rFonts w:ascii="Times New Roman" w:hAnsi="Times New Roman" w:cs="Times New Roman"/>
          <w:sz w:val="20"/>
          <w:szCs w:val="20"/>
        </w:rPr>
      </w:pPr>
      <w:r w:rsidRPr="00EF09FE">
        <w:rPr>
          <w:rFonts w:ascii="Times New Roman" w:hAnsi="Times New Roman" w:cs="Times New Roman"/>
          <w:i/>
          <w:sz w:val="20"/>
          <w:szCs w:val="20"/>
        </w:rPr>
        <w:t>Note.</w:t>
      </w:r>
      <w:r w:rsidR="00C6199E" w:rsidRPr="00EF09FE">
        <w:rPr>
          <w:rFonts w:ascii="Times New Roman" w:hAnsi="Times New Roman" w:cs="Times New Roman"/>
          <w:sz w:val="20"/>
          <w:szCs w:val="20"/>
        </w:rPr>
        <w:t xml:space="preserve"> To obtain the odds ratio for</w:t>
      </w:r>
      <w:r w:rsidR="009B5FAA" w:rsidRPr="00EF09FE">
        <w:rPr>
          <w:rFonts w:ascii="Times New Roman" w:hAnsi="Times New Roman" w:cs="Times New Roman"/>
          <w:sz w:val="20"/>
          <w:szCs w:val="20"/>
        </w:rPr>
        <w:t xml:space="preserve"> the independent versus collaborative </w:t>
      </w:r>
      <w:r w:rsidR="00C6199E" w:rsidRPr="00EF09FE">
        <w:rPr>
          <w:rFonts w:ascii="Times New Roman" w:hAnsi="Times New Roman" w:cs="Times New Roman"/>
          <w:sz w:val="20"/>
          <w:szCs w:val="20"/>
        </w:rPr>
        <w:t>groups</w:t>
      </w:r>
      <w:r w:rsidR="00C502FE" w:rsidRPr="00EF09FE">
        <w:rPr>
          <w:rFonts w:ascii="Times New Roman" w:hAnsi="Times New Roman" w:cs="Times New Roman"/>
          <w:sz w:val="20"/>
          <w:szCs w:val="20"/>
        </w:rPr>
        <w:t xml:space="preserve"> (odds ratio, 1.77, </w:t>
      </w:r>
      <w:r w:rsidR="00C502FE" w:rsidRPr="00EF09FE">
        <w:rPr>
          <w:rFonts w:ascii="Times New Roman" w:hAnsi="Times New Roman" w:cs="Times New Roman"/>
          <w:i/>
          <w:sz w:val="20"/>
          <w:szCs w:val="20"/>
        </w:rPr>
        <w:t>p</w:t>
      </w:r>
      <w:r w:rsidR="00C502FE" w:rsidRPr="00EF09FE">
        <w:rPr>
          <w:rFonts w:ascii="Times New Roman" w:hAnsi="Times New Roman" w:cs="Times New Roman"/>
          <w:sz w:val="20"/>
          <w:szCs w:val="20"/>
        </w:rPr>
        <w:t xml:space="preserve"> = .088)</w:t>
      </w:r>
      <w:r w:rsidR="003B06D0" w:rsidRPr="00EF09FE">
        <w:rPr>
          <w:rFonts w:ascii="Times New Roman" w:hAnsi="Times New Roman" w:cs="Times New Roman"/>
          <w:sz w:val="20"/>
          <w:szCs w:val="20"/>
        </w:rPr>
        <w:t xml:space="preserve">, </w:t>
      </w:r>
      <w:r w:rsidR="00C6199E" w:rsidRPr="00EF09FE">
        <w:rPr>
          <w:rFonts w:ascii="Times New Roman" w:hAnsi="Times New Roman" w:cs="Times New Roman"/>
          <w:sz w:val="20"/>
          <w:szCs w:val="20"/>
        </w:rPr>
        <w:t>the analysis was</w:t>
      </w:r>
      <w:r w:rsidR="009D1A6B">
        <w:rPr>
          <w:rFonts w:ascii="Times New Roman" w:hAnsi="Times New Roman" w:cs="Times New Roman"/>
          <w:sz w:val="20"/>
          <w:szCs w:val="20"/>
        </w:rPr>
        <w:t xml:space="preserve"> re-ru</w:t>
      </w:r>
      <w:r w:rsidR="003B06D0" w:rsidRPr="00EF09FE">
        <w:rPr>
          <w:rFonts w:ascii="Times New Roman" w:hAnsi="Times New Roman" w:cs="Times New Roman"/>
          <w:sz w:val="20"/>
          <w:szCs w:val="20"/>
        </w:rPr>
        <w:t xml:space="preserve">n where the collaborative group was coded </w:t>
      </w:r>
      <w:r w:rsidR="009B5FAA" w:rsidRPr="00EF09FE">
        <w:rPr>
          <w:rFonts w:ascii="Times New Roman" w:hAnsi="Times New Roman" w:cs="Times New Roman"/>
          <w:sz w:val="20"/>
          <w:szCs w:val="20"/>
        </w:rPr>
        <w:t>as the reference group</w:t>
      </w:r>
      <w:r w:rsidR="003B06D0" w:rsidRPr="00EF09FE">
        <w:rPr>
          <w:rFonts w:ascii="Times New Roman" w:hAnsi="Times New Roman" w:cs="Times New Roman"/>
          <w:sz w:val="20"/>
          <w:szCs w:val="20"/>
        </w:rPr>
        <w:t xml:space="preserve"> in the dummy variables</w:t>
      </w:r>
      <w:r w:rsidR="009B5FAA" w:rsidRPr="00EF09FE">
        <w:rPr>
          <w:rFonts w:ascii="Times New Roman" w:hAnsi="Times New Roman" w:cs="Times New Roman"/>
          <w:sz w:val="20"/>
          <w:szCs w:val="20"/>
        </w:rPr>
        <w:t>.</w:t>
      </w:r>
      <w:r w:rsidR="00C6199E" w:rsidRPr="00EF09FE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:rsidR="00AA6835" w:rsidRPr="00D73299" w:rsidRDefault="00355382" w:rsidP="00AA68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="00AA6835" w:rsidRPr="00D73299">
        <w:rPr>
          <w:rFonts w:ascii="Times New Roman" w:hAnsi="Times New Roman" w:cs="Times New Roman"/>
          <w:b/>
          <w:sz w:val="24"/>
          <w:szCs w:val="24"/>
        </w:rPr>
        <w:t>hysician</w:t>
      </w:r>
      <w:r>
        <w:rPr>
          <w:rFonts w:ascii="Times New Roman" w:hAnsi="Times New Roman" w:cs="Times New Roman"/>
          <w:b/>
          <w:sz w:val="24"/>
          <w:szCs w:val="24"/>
        </w:rPr>
        <w:t xml:space="preserve"> versus APRN Reporting R</w:t>
      </w:r>
      <w:r w:rsidR="00AA6835" w:rsidRPr="00D73299">
        <w:rPr>
          <w:rFonts w:ascii="Times New Roman" w:hAnsi="Times New Roman" w:cs="Times New Roman"/>
          <w:b/>
          <w:sz w:val="24"/>
          <w:szCs w:val="24"/>
        </w:rPr>
        <w:t>ates</w:t>
      </w:r>
    </w:p>
    <w:p w:rsidR="00AA6835" w:rsidRPr="00D73299" w:rsidRDefault="00AA6835" w:rsidP="00AA6835">
      <w:pPr>
        <w:rPr>
          <w:rFonts w:ascii="Times New Roman" w:hAnsi="Times New Roman" w:cs="Times New Roman"/>
          <w:b/>
          <w:sz w:val="24"/>
          <w:szCs w:val="24"/>
        </w:rPr>
      </w:pPr>
    </w:p>
    <w:p w:rsidR="00AA6835" w:rsidRPr="00D73299" w:rsidRDefault="005126E3" w:rsidP="00E77EF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NPDB and HIPDB reports were compared for APRNs and physicians. </w:t>
      </w:r>
      <w:r w:rsidR="00AA6835">
        <w:rPr>
          <w:rFonts w:ascii="Times New Roman" w:hAnsi="Times New Roman" w:cs="Times New Roman"/>
          <w:sz w:val="24"/>
          <w:szCs w:val="24"/>
        </w:rPr>
        <w:t>Table 9</w:t>
      </w:r>
      <w:r w:rsidR="00AA6835" w:rsidRPr="00D73299">
        <w:rPr>
          <w:rFonts w:ascii="Times New Roman" w:hAnsi="Times New Roman" w:cs="Times New Roman"/>
          <w:sz w:val="24"/>
          <w:szCs w:val="24"/>
        </w:rPr>
        <w:t xml:space="preserve"> depicts the number of discipline </w:t>
      </w:r>
      <w:r w:rsidR="00AA6835">
        <w:rPr>
          <w:rFonts w:ascii="Times New Roman" w:hAnsi="Times New Roman" w:cs="Times New Roman"/>
          <w:sz w:val="24"/>
          <w:szCs w:val="24"/>
        </w:rPr>
        <w:t xml:space="preserve">NPDB and HIPDB </w:t>
      </w:r>
      <w:r w:rsidR="00AA6835" w:rsidRPr="00D73299">
        <w:rPr>
          <w:rFonts w:ascii="Times New Roman" w:hAnsi="Times New Roman" w:cs="Times New Roman"/>
          <w:sz w:val="24"/>
          <w:szCs w:val="24"/>
        </w:rPr>
        <w:t>reports, and the number of healthcare pro</w:t>
      </w:r>
      <w:r w:rsidR="00AA6835">
        <w:rPr>
          <w:rFonts w:ascii="Times New Roman" w:hAnsi="Times New Roman" w:cs="Times New Roman"/>
          <w:sz w:val="24"/>
          <w:szCs w:val="24"/>
        </w:rPr>
        <w:t xml:space="preserve">viders for all 51 jurisdictions over a five month period of time, August 1, 2009 through January 3, 2010. </w:t>
      </w:r>
    </w:p>
    <w:p w:rsidR="00E04DFF" w:rsidRPr="00EF09FE" w:rsidRDefault="007C4A6F" w:rsidP="003553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09FE">
        <w:rPr>
          <w:rFonts w:ascii="Times New Roman" w:hAnsi="Times New Roman" w:cs="Times New Roman"/>
          <w:sz w:val="24"/>
          <w:szCs w:val="24"/>
        </w:rPr>
        <w:t xml:space="preserve">Logistic regression with dummy coding was used to investigate the effects of level of practice (i.e., physician and APRN) on </w:t>
      </w:r>
      <w:r w:rsidR="006F1A4C" w:rsidRPr="00EF09FE">
        <w:rPr>
          <w:rFonts w:ascii="Times New Roman" w:hAnsi="Times New Roman" w:cs="Times New Roman"/>
          <w:sz w:val="24"/>
          <w:szCs w:val="24"/>
        </w:rPr>
        <w:t xml:space="preserve">NPDB reporting </w:t>
      </w:r>
      <w:r w:rsidRPr="00EF09FE">
        <w:rPr>
          <w:rFonts w:ascii="Times New Roman" w:hAnsi="Times New Roman" w:cs="Times New Roman"/>
          <w:sz w:val="24"/>
          <w:szCs w:val="24"/>
        </w:rPr>
        <w:t xml:space="preserve">(i.e., </w:t>
      </w:r>
      <w:r w:rsidR="006F1A4C" w:rsidRPr="00EF09FE">
        <w:rPr>
          <w:rFonts w:ascii="Times New Roman" w:hAnsi="Times New Roman" w:cs="Times New Roman"/>
          <w:sz w:val="24"/>
          <w:szCs w:val="24"/>
        </w:rPr>
        <w:t>reported</w:t>
      </w:r>
      <w:r w:rsidRPr="00EF09FE">
        <w:rPr>
          <w:rFonts w:ascii="Times New Roman" w:hAnsi="Times New Roman" w:cs="Times New Roman"/>
          <w:sz w:val="24"/>
          <w:szCs w:val="24"/>
        </w:rPr>
        <w:t xml:space="preserve"> or not </w:t>
      </w:r>
      <w:r w:rsidR="006F1A4C" w:rsidRPr="00EF09FE">
        <w:rPr>
          <w:rFonts w:ascii="Times New Roman" w:hAnsi="Times New Roman" w:cs="Times New Roman"/>
          <w:sz w:val="24"/>
          <w:szCs w:val="24"/>
        </w:rPr>
        <w:t>reported</w:t>
      </w:r>
      <w:r w:rsidRPr="00EF09FE">
        <w:rPr>
          <w:rFonts w:ascii="Times New Roman" w:hAnsi="Times New Roman" w:cs="Times New Roman"/>
          <w:sz w:val="24"/>
          <w:szCs w:val="24"/>
        </w:rPr>
        <w:t xml:space="preserve">). </w:t>
      </w:r>
      <w:r w:rsidR="00EF09FE" w:rsidRPr="00EF09FE">
        <w:rPr>
          <w:rFonts w:ascii="Times New Roman" w:hAnsi="Times New Roman" w:cs="Times New Roman"/>
          <w:sz w:val="24"/>
          <w:szCs w:val="24"/>
        </w:rPr>
        <w:t>R</w:t>
      </w:r>
      <w:r w:rsidRPr="00EF09FE">
        <w:rPr>
          <w:rFonts w:ascii="Times New Roman" w:hAnsi="Times New Roman" w:cs="Times New Roman"/>
          <w:sz w:val="24"/>
          <w:szCs w:val="24"/>
        </w:rPr>
        <w:t xml:space="preserve">esults indicated that level of practice reliably distinguished whether practitioners were </w:t>
      </w:r>
      <w:r w:rsidR="003323A5" w:rsidRPr="00EF09FE">
        <w:rPr>
          <w:rFonts w:ascii="Times New Roman" w:hAnsi="Times New Roman" w:cs="Times New Roman"/>
          <w:sz w:val="24"/>
          <w:szCs w:val="24"/>
        </w:rPr>
        <w:t>reported</w:t>
      </w:r>
      <w:r w:rsidRPr="00EF09FE">
        <w:rPr>
          <w:rFonts w:ascii="Times New Roman" w:hAnsi="Times New Roman" w:cs="Times New Roman"/>
          <w:sz w:val="24"/>
          <w:szCs w:val="24"/>
        </w:rPr>
        <w:t xml:space="preserve"> or not, </w:t>
      </w:r>
      <w:r w:rsidRPr="00EF09FE">
        <w:rPr>
          <w:rFonts w:ascii="Times New Roman" w:hAnsi="Times New Roman" w:cs="Times New Roman"/>
          <w:sz w:val="24"/>
          <w:szCs w:val="24"/>
        </w:rPr>
        <w:sym w:font="Symbol" w:char="F063"/>
      </w:r>
      <w:r w:rsidRPr="00EF09FE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EF09FE">
        <w:rPr>
          <w:rFonts w:ascii="Times New Roman" w:hAnsi="Times New Roman" w:cs="Times New Roman"/>
          <w:sz w:val="24"/>
          <w:szCs w:val="24"/>
        </w:rPr>
        <w:t xml:space="preserve">(1, </w:t>
      </w:r>
      <w:r w:rsidRPr="00EF09FE">
        <w:rPr>
          <w:rFonts w:ascii="Times New Roman" w:hAnsi="Times New Roman" w:cs="Times New Roman"/>
          <w:i/>
          <w:sz w:val="24"/>
          <w:szCs w:val="24"/>
        </w:rPr>
        <w:t>N</w:t>
      </w:r>
      <w:r w:rsidRPr="00EF09FE">
        <w:rPr>
          <w:rFonts w:ascii="Times New Roman" w:hAnsi="Times New Roman" w:cs="Times New Roman"/>
          <w:sz w:val="24"/>
          <w:szCs w:val="24"/>
        </w:rPr>
        <w:t xml:space="preserve"> = </w:t>
      </w:r>
      <w:r w:rsidR="00445C97" w:rsidRPr="00EF09FE">
        <w:rPr>
          <w:rFonts w:ascii="Times New Roman" w:hAnsi="Times New Roman" w:cs="Times New Roman"/>
          <w:sz w:val="24"/>
          <w:szCs w:val="24"/>
        </w:rPr>
        <w:t>1,271,944</w:t>
      </w:r>
      <w:r w:rsidRPr="00EF09FE">
        <w:rPr>
          <w:rFonts w:ascii="Times New Roman" w:hAnsi="Times New Roman" w:cs="Times New Roman"/>
          <w:sz w:val="24"/>
          <w:szCs w:val="24"/>
        </w:rPr>
        <w:t xml:space="preserve">) = </w:t>
      </w:r>
      <w:r w:rsidR="00445C97" w:rsidRPr="00EF09FE">
        <w:rPr>
          <w:rFonts w:ascii="Times New Roman" w:hAnsi="Times New Roman" w:cs="Times New Roman"/>
          <w:sz w:val="24"/>
          <w:szCs w:val="24"/>
        </w:rPr>
        <w:t>611.63</w:t>
      </w:r>
      <w:r w:rsidRPr="00EF09FE">
        <w:rPr>
          <w:rFonts w:ascii="Times New Roman" w:hAnsi="Times New Roman" w:cs="Times New Roman"/>
          <w:sz w:val="24"/>
          <w:szCs w:val="24"/>
        </w:rPr>
        <w:t xml:space="preserve">, </w:t>
      </w:r>
      <w:r w:rsidRPr="00EF09FE">
        <w:rPr>
          <w:rFonts w:ascii="Times New Roman" w:hAnsi="Times New Roman" w:cs="Times New Roman"/>
          <w:i/>
          <w:sz w:val="24"/>
          <w:szCs w:val="24"/>
        </w:rPr>
        <w:t>p</w:t>
      </w:r>
      <w:r w:rsidRPr="00EF09FE">
        <w:rPr>
          <w:rFonts w:ascii="Times New Roman" w:hAnsi="Times New Roman" w:cs="Times New Roman"/>
          <w:sz w:val="24"/>
          <w:szCs w:val="24"/>
        </w:rPr>
        <w:t xml:space="preserve"> = .000. Specifically, physicians were significantly more likely to be </w:t>
      </w:r>
      <w:r w:rsidR="00445C97" w:rsidRPr="00EF09FE">
        <w:rPr>
          <w:rFonts w:ascii="Times New Roman" w:hAnsi="Times New Roman" w:cs="Times New Roman"/>
          <w:sz w:val="24"/>
          <w:szCs w:val="24"/>
        </w:rPr>
        <w:t>reported</w:t>
      </w:r>
      <w:r w:rsidRPr="00EF09FE">
        <w:rPr>
          <w:rFonts w:ascii="Times New Roman" w:hAnsi="Times New Roman" w:cs="Times New Roman"/>
          <w:sz w:val="24"/>
          <w:szCs w:val="24"/>
        </w:rPr>
        <w:t xml:space="preserve"> versus APRNs (</w:t>
      </w:r>
      <w:r w:rsidRPr="00EF09FE">
        <w:rPr>
          <w:rFonts w:ascii="Times New Roman" w:hAnsi="Times New Roman" w:cs="Times New Roman"/>
          <w:i/>
          <w:sz w:val="24"/>
          <w:szCs w:val="24"/>
        </w:rPr>
        <w:t>B</w:t>
      </w:r>
      <w:r w:rsidRPr="00EF09FE">
        <w:rPr>
          <w:rFonts w:ascii="Times New Roman" w:hAnsi="Times New Roman" w:cs="Times New Roman"/>
          <w:sz w:val="24"/>
          <w:szCs w:val="24"/>
        </w:rPr>
        <w:t xml:space="preserve"> = 2.</w:t>
      </w:r>
      <w:r w:rsidR="00445C97" w:rsidRPr="00EF09FE">
        <w:rPr>
          <w:rFonts w:ascii="Times New Roman" w:hAnsi="Times New Roman" w:cs="Times New Roman"/>
          <w:sz w:val="24"/>
          <w:szCs w:val="24"/>
        </w:rPr>
        <w:t>27</w:t>
      </w:r>
      <w:r w:rsidRPr="00EF09FE">
        <w:rPr>
          <w:rFonts w:ascii="Times New Roman" w:hAnsi="Times New Roman" w:cs="Times New Roman"/>
          <w:sz w:val="24"/>
          <w:szCs w:val="24"/>
        </w:rPr>
        <w:t xml:space="preserve">, </w:t>
      </w:r>
      <w:r w:rsidRPr="00EF09FE">
        <w:rPr>
          <w:rFonts w:ascii="Times New Roman" w:hAnsi="Times New Roman" w:cs="Times New Roman"/>
          <w:i/>
          <w:sz w:val="24"/>
          <w:szCs w:val="24"/>
        </w:rPr>
        <w:t>SE</w:t>
      </w:r>
      <w:r w:rsidRPr="00EF09FE">
        <w:rPr>
          <w:rFonts w:ascii="Times New Roman" w:hAnsi="Times New Roman" w:cs="Times New Roman"/>
          <w:sz w:val="24"/>
          <w:szCs w:val="24"/>
        </w:rPr>
        <w:t xml:space="preserve"> = .</w:t>
      </w:r>
      <w:r w:rsidR="00445C97" w:rsidRPr="00EF09FE">
        <w:rPr>
          <w:rFonts w:ascii="Times New Roman" w:hAnsi="Times New Roman" w:cs="Times New Roman"/>
          <w:sz w:val="24"/>
          <w:szCs w:val="24"/>
        </w:rPr>
        <w:t>09</w:t>
      </w:r>
      <w:r w:rsidRPr="00EF09FE">
        <w:rPr>
          <w:rFonts w:ascii="Times New Roman" w:hAnsi="Times New Roman" w:cs="Times New Roman"/>
          <w:sz w:val="24"/>
          <w:szCs w:val="24"/>
        </w:rPr>
        <w:t xml:space="preserve">) (odds ratio, </w:t>
      </w:r>
      <w:r w:rsidR="00445C97" w:rsidRPr="00EF09FE">
        <w:rPr>
          <w:rFonts w:ascii="Times New Roman" w:hAnsi="Times New Roman" w:cs="Times New Roman"/>
          <w:sz w:val="24"/>
          <w:szCs w:val="24"/>
        </w:rPr>
        <w:t>9.70</w:t>
      </w:r>
      <w:r w:rsidRPr="00EF09FE">
        <w:rPr>
          <w:rFonts w:ascii="Times New Roman" w:hAnsi="Times New Roman" w:cs="Times New Roman"/>
          <w:sz w:val="24"/>
          <w:szCs w:val="24"/>
        </w:rPr>
        <w:t xml:space="preserve">); where physicians were </w:t>
      </w:r>
      <w:r w:rsidR="00445C97" w:rsidRPr="00EF09FE">
        <w:rPr>
          <w:rFonts w:ascii="Times New Roman" w:hAnsi="Times New Roman" w:cs="Times New Roman"/>
          <w:sz w:val="24"/>
          <w:szCs w:val="24"/>
        </w:rPr>
        <w:t>9.70</w:t>
      </w:r>
      <w:r w:rsidRPr="00EF09FE">
        <w:rPr>
          <w:rFonts w:ascii="Times New Roman" w:hAnsi="Times New Roman" w:cs="Times New Roman"/>
          <w:sz w:val="24"/>
          <w:szCs w:val="24"/>
        </w:rPr>
        <w:t xml:space="preserve"> times more likely to be </w:t>
      </w:r>
      <w:r w:rsidR="00445C97" w:rsidRPr="00EF09FE">
        <w:rPr>
          <w:rFonts w:ascii="Times New Roman" w:hAnsi="Times New Roman" w:cs="Times New Roman"/>
          <w:sz w:val="24"/>
          <w:szCs w:val="24"/>
        </w:rPr>
        <w:t>reported</w:t>
      </w:r>
      <w:r w:rsidRPr="00EF09FE">
        <w:rPr>
          <w:rFonts w:ascii="Times New Roman" w:hAnsi="Times New Roman" w:cs="Times New Roman"/>
          <w:sz w:val="24"/>
          <w:szCs w:val="24"/>
        </w:rPr>
        <w:t xml:space="preserve"> versus APRNs. </w:t>
      </w:r>
      <w:r w:rsidR="00355382">
        <w:rPr>
          <w:rFonts w:ascii="Times New Roman" w:hAnsi="Times New Roman" w:cs="Times New Roman"/>
          <w:sz w:val="24"/>
          <w:szCs w:val="24"/>
        </w:rPr>
        <w:t>Additionally, l</w:t>
      </w:r>
      <w:r w:rsidR="00E04DFF" w:rsidRPr="00EF09FE">
        <w:rPr>
          <w:rFonts w:ascii="Times New Roman" w:hAnsi="Times New Roman" w:cs="Times New Roman"/>
          <w:sz w:val="24"/>
          <w:szCs w:val="24"/>
        </w:rPr>
        <w:t xml:space="preserve">ogistic regression with dummy coding was used to investigate the effects of level of practice (i.e., physician and APRN) on </w:t>
      </w:r>
      <w:r w:rsidR="003323A5" w:rsidRPr="00EF09FE">
        <w:rPr>
          <w:rFonts w:ascii="Times New Roman" w:hAnsi="Times New Roman" w:cs="Times New Roman"/>
          <w:sz w:val="24"/>
          <w:szCs w:val="24"/>
        </w:rPr>
        <w:t>HIPDB</w:t>
      </w:r>
      <w:r w:rsidR="00E04DFF" w:rsidRPr="00EF09FE">
        <w:rPr>
          <w:rFonts w:ascii="Times New Roman" w:hAnsi="Times New Roman" w:cs="Times New Roman"/>
          <w:sz w:val="24"/>
          <w:szCs w:val="24"/>
        </w:rPr>
        <w:t xml:space="preserve"> reporting (i.e., reported or not reported). </w:t>
      </w:r>
      <w:r w:rsidR="003323A5" w:rsidRPr="00EF09FE">
        <w:rPr>
          <w:rFonts w:ascii="Times New Roman" w:hAnsi="Times New Roman" w:cs="Times New Roman"/>
          <w:sz w:val="24"/>
          <w:szCs w:val="24"/>
        </w:rPr>
        <w:t>R</w:t>
      </w:r>
      <w:r w:rsidR="00E04DFF" w:rsidRPr="00EF09FE">
        <w:rPr>
          <w:rFonts w:ascii="Times New Roman" w:hAnsi="Times New Roman" w:cs="Times New Roman"/>
          <w:sz w:val="24"/>
          <w:szCs w:val="24"/>
        </w:rPr>
        <w:t>esults</w:t>
      </w:r>
      <w:r w:rsidR="00EF09FE" w:rsidRPr="00EF09FE">
        <w:rPr>
          <w:rFonts w:ascii="Times New Roman" w:hAnsi="Times New Roman" w:cs="Times New Roman"/>
          <w:sz w:val="24"/>
          <w:szCs w:val="24"/>
        </w:rPr>
        <w:t xml:space="preserve"> </w:t>
      </w:r>
      <w:r w:rsidR="00E04DFF" w:rsidRPr="00EF09FE">
        <w:rPr>
          <w:rFonts w:ascii="Times New Roman" w:hAnsi="Times New Roman" w:cs="Times New Roman"/>
          <w:sz w:val="24"/>
          <w:szCs w:val="24"/>
        </w:rPr>
        <w:t xml:space="preserve">indicated that level of practice reliably distinguished whether practitioners were </w:t>
      </w:r>
      <w:r w:rsidR="003323A5" w:rsidRPr="00EF09FE">
        <w:rPr>
          <w:rFonts w:ascii="Times New Roman" w:hAnsi="Times New Roman" w:cs="Times New Roman"/>
          <w:sz w:val="24"/>
          <w:szCs w:val="24"/>
        </w:rPr>
        <w:t>reported</w:t>
      </w:r>
      <w:r w:rsidR="00E04DFF" w:rsidRPr="00EF09FE">
        <w:rPr>
          <w:rFonts w:ascii="Times New Roman" w:hAnsi="Times New Roman" w:cs="Times New Roman"/>
          <w:sz w:val="24"/>
          <w:szCs w:val="24"/>
        </w:rPr>
        <w:t xml:space="preserve"> or not, </w:t>
      </w:r>
      <w:r w:rsidR="00E04DFF" w:rsidRPr="00EF09FE">
        <w:rPr>
          <w:rFonts w:ascii="Times New Roman" w:hAnsi="Times New Roman" w:cs="Times New Roman"/>
          <w:sz w:val="24"/>
          <w:szCs w:val="24"/>
        </w:rPr>
        <w:sym w:font="Symbol" w:char="F063"/>
      </w:r>
      <w:r w:rsidR="00E04DFF" w:rsidRPr="00EF09FE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E04DFF" w:rsidRPr="00EF09FE">
        <w:rPr>
          <w:rFonts w:ascii="Times New Roman" w:hAnsi="Times New Roman" w:cs="Times New Roman"/>
          <w:sz w:val="24"/>
          <w:szCs w:val="24"/>
        </w:rPr>
        <w:t xml:space="preserve">(1, </w:t>
      </w:r>
      <w:r w:rsidR="00E04DFF" w:rsidRPr="00EF09FE">
        <w:rPr>
          <w:rFonts w:ascii="Times New Roman" w:hAnsi="Times New Roman" w:cs="Times New Roman"/>
          <w:i/>
          <w:sz w:val="24"/>
          <w:szCs w:val="24"/>
        </w:rPr>
        <w:t>N</w:t>
      </w:r>
      <w:r w:rsidR="00E04DFF" w:rsidRPr="00EF09FE">
        <w:rPr>
          <w:rFonts w:ascii="Times New Roman" w:hAnsi="Times New Roman" w:cs="Times New Roman"/>
          <w:sz w:val="24"/>
          <w:szCs w:val="24"/>
        </w:rPr>
        <w:t xml:space="preserve"> = 1,271,944) = </w:t>
      </w:r>
      <w:r w:rsidR="00F11EC5" w:rsidRPr="00EF09FE">
        <w:rPr>
          <w:rFonts w:ascii="Times New Roman" w:hAnsi="Times New Roman" w:cs="Times New Roman"/>
          <w:sz w:val="24"/>
          <w:szCs w:val="24"/>
        </w:rPr>
        <w:t>217.71</w:t>
      </w:r>
      <w:r w:rsidR="00E04DFF" w:rsidRPr="00EF09FE">
        <w:rPr>
          <w:rFonts w:ascii="Times New Roman" w:hAnsi="Times New Roman" w:cs="Times New Roman"/>
          <w:sz w:val="24"/>
          <w:szCs w:val="24"/>
        </w:rPr>
        <w:t xml:space="preserve">, </w:t>
      </w:r>
      <w:r w:rsidR="00E04DFF" w:rsidRPr="00EF09FE">
        <w:rPr>
          <w:rFonts w:ascii="Times New Roman" w:hAnsi="Times New Roman" w:cs="Times New Roman"/>
          <w:i/>
          <w:sz w:val="24"/>
          <w:szCs w:val="24"/>
        </w:rPr>
        <w:t>p</w:t>
      </w:r>
      <w:r w:rsidR="00E04DFF" w:rsidRPr="00EF09FE">
        <w:rPr>
          <w:rFonts w:ascii="Times New Roman" w:hAnsi="Times New Roman" w:cs="Times New Roman"/>
          <w:sz w:val="24"/>
          <w:szCs w:val="24"/>
        </w:rPr>
        <w:t xml:space="preserve"> = .000. Specifically, physicians were significantly more likely to be reported versus APRNs (</w:t>
      </w:r>
      <w:r w:rsidR="00E04DFF" w:rsidRPr="00EF09FE">
        <w:rPr>
          <w:rFonts w:ascii="Times New Roman" w:hAnsi="Times New Roman" w:cs="Times New Roman"/>
          <w:i/>
          <w:sz w:val="24"/>
          <w:szCs w:val="24"/>
        </w:rPr>
        <w:t>B</w:t>
      </w:r>
      <w:r w:rsidR="00E04DFF" w:rsidRPr="00EF09FE">
        <w:rPr>
          <w:rFonts w:ascii="Times New Roman" w:hAnsi="Times New Roman" w:cs="Times New Roman"/>
          <w:sz w:val="24"/>
          <w:szCs w:val="24"/>
        </w:rPr>
        <w:t xml:space="preserve"> = </w:t>
      </w:r>
      <w:r w:rsidR="00F11EC5" w:rsidRPr="00EF09FE">
        <w:rPr>
          <w:rFonts w:ascii="Times New Roman" w:hAnsi="Times New Roman" w:cs="Times New Roman"/>
          <w:sz w:val="24"/>
          <w:szCs w:val="24"/>
        </w:rPr>
        <w:t>1.89</w:t>
      </w:r>
      <w:r w:rsidR="00E04DFF" w:rsidRPr="00EF09FE">
        <w:rPr>
          <w:rFonts w:ascii="Times New Roman" w:hAnsi="Times New Roman" w:cs="Times New Roman"/>
          <w:sz w:val="24"/>
          <w:szCs w:val="24"/>
        </w:rPr>
        <w:t xml:space="preserve">, </w:t>
      </w:r>
      <w:r w:rsidR="00E04DFF" w:rsidRPr="00EF09FE">
        <w:rPr>
          <w:rFonts w:ascii="Times New Roman" w:hAnsi="Times New Roman" w:cs="Times New Roman"/>
          <w:i/>
          <w:sz w:val="24"/>
          <w:szCs w:val="24"/>
        </w:rPr>
        <w:t>SE</w:t>
      </w:r>
      <w:r w:rsidR="00E04DFF" w:rsidRPr="00EF09FE">
        <w:rPr>
          <w:rFonts w:ascii="Times New Roman" w:hAnsi="Times New Roman" w:cs="Times New Roman"/>
          <w:sz w:val="24"/>
          <w:szCs w:val="24"/>
        </w:rPr>
        <w:t xml:space="preserve"> = .</w:t>
      </w:r>
      <w:r w:rsidR="00F11EC5" w:rsidRPr="00EF09FE">
        <w:rPr>
          <w:rFonts w:ascii="Times New Roman" w:hAnsi="Times New Roman" w:cs="Times New Roman"/>
          <w:sz w:val="24"/>
          <w:szCs w:val="24"/>
        </w:rPr>
        <w:t>13</w:t>
      </w:r>
      <w:r w:rsidR="00E04DFF" w:rsidRPr="00EF09FE">
        <w:rPr>
          <w:rFonts w:ascii="Times New Roman" w:hAnsi="Times New Roman" w:cs="Times New Roman"/>
          <w:sz w:val="24"/>
          <w:szCs w:val="24"/>
        </w:rPr>
        <w:t xml:space="preserve">) (odds ratio, </w:t>
      </w:r>
      <w:r w:rsidR="00F11EC5" w:rsidRPr="00EF09FE">
        <w:rPr>
          <w:rFonts w:ascii="Times New Roman" w:hAnsi="Times New Roman" w:cs="Times New Roman"/>
          <w:sz w:val="24"/>
          <w:szCs w:val="24"/>
        </w:rPr>
        <w:t>6.59</w:t>
      </w:r>
      <w:r w:rsidR="00E04DFF" w:rsidRPr="00EF09FE">
        <w:rPr>
          <w:rFonts w:ascii="Times New Roman" w:hAnsi="Times New Roman" w:cs="Times New Roman"/>
          <w:sz w:val="24"/>
          <w:szCs w:val="24"/>
        </w:rPr>
        <w:t xml:space="preserve">); where physicians were </w:t>
      </w:r>
      <w:r w:rsidR="00F11EC5" w:rsidRPr="00EF09FE">
        <w:rPr>
          <w:rFonts w:ascii="Times New Roman" w:hAnsi="Times New Roman" w:cs="Times New Roman"/>
          <w:sz w:val="24"/>
          <w:szCs w:val="24"/>
        </w:rPr>
        <w:t>6.59</w:t>
      </w:r>
      <w:r w:rsidR="00E04DFF" w:rsidRPr="00EF09FE">
        <w:rPr>
          <w:rFonts w:ascii="Times New Roman" w:hAnsi="Times New Roman" w:cs="Times New Roman"/>
          <w:sz w:val="24"/>
          <w:szCs w:val="24"/>
        </w:rPr>
        <w:t xml:space="preserve"> times more likely to be reported versus APRNs. </w:t>
      </w:r>
    </w:p>
    <w:p w:rsidR="007C4A6F" w:rsidRDefault="00EF09FE" w:rsidP="00355382">
      <w:pPr>
        <w:spacing w:line="480" w:lineRule="auto"/>
        <w:ind w:firstLine="720"/>
        <w:rPr>
          <w:rFonts w:ascii="Times New Roman" w:hAnsi="Times New Roman" w:cs="Times New Roman"/>
        </w:rPr>
      </w:pPr>
      <w:r w:rsidRPr="00EF09FE">
        <w:rPr>
          <w:rFonts w:ascii="Times New Roman" w:hAnsi="Times New Roman" w:cs="Times New Roman"/>
          <w:sz w:val="24"/>
          <w:szCs w:val="24"/>
        </w:rPr>
        <w:t>D</w:t>
      </w:r>
      <w:r w:rsidR="007C4A6F" w:rsidRPr="00EF09FE">
        <w:rPr>
          <w:rFonts w:ascii="Times New Roman" w:hAnsi="Times New Roman" w:cs="Times New Roman"/>
          <w:sz w:val="24"/>
          <w:szCs w:val="24"/>
        </w:rPr>
        <w:t>espite these significant differences, unlike comparing independent</w:t>
      </w:r>
      <w:r w:rsidRPr="00EF09FE">
        <w:rPr>
          <w:rFonts w:ascii="Times New Roman" w:hAnsi="Times New Roman" w:cs="Times New Roman"/>
          <w:sz w:val="24"/>
          <w:szCs w:val="24"/>
        </w:rPr>
        <w:t>, collaborative, and supervised</w:t>
      </w:r>
      <w:r w:rsidR="007C4A6F" w:rsidRPr="00EF09FE">
        <w:rPr>
          <w:rFonts w:ascii="Times New Roman" w:hAnsi="Times New Roman" w:cs="Times New Roman"/>
          <w:sz w:val="24"/>
          <w:szCs w:val="24"/>
        </w:rPr>
        <w:t xml:space="preserve"> APRN practitioners</w:t>
      </w:r>
      <w:r w:rsidRPr="00EF09FE">
        <w:rPr>
          <w:rFonts w:ascii="Times New Roman" w:hAnsi="Times New Roman" w:cs="Times New Roman"/>
          <w:sz w:val="24"/>
          <w:szCs w:val="24"/>
        </w:rPr>
        <w:t xml:space="preserve"> – </w:t>
      </w:r>
      <w:r w:rsidR="007C4A6F" w:rsidRPr="00EF09FE">
        <w:rPr>
          <w:rFonts w:ascii="Times New Roman" w:hAnsi="Times New Roman" w:cs="Times New Roman"/>
          <w:sz w:val="24"/>
          <w:szCs w:val="24"/>
        </w:rPr>
        <w:t xml:space="preserve">which </w:t>
      </w:r>
      <w:r w:rsidRPr="00EF09FE">
        <w:rPr>
          <w:rFonts w:ascii="Times New Roman" w:hAnsi="Times New Roman" w:cs="Times New Roman"/>
          <w:sz w:val="24"/>
          <w:szCs w:val="24"/>
        </w:rPr>
        <w:t>are similar roles. P</w:t>
      </w:r>
      <w:r w:rsidR="007C4A6F" w:rsidRPr="00EF09FE">
        <w:rPr>
          <w:rFonts w:ascii="Times New Roman" w:hAnsi="Times New Roman" w:cs="Times New Roman"/>
          <w:sz w:val="24"/>
          <w:szCs w:val="24"/>
        </w:rPr>
        <w:t>hysicians and APRNs have different roles</w:t>
      </w:r>
      <w:r w:rsidRPr="00EF09FE">
        <w:rPr>
          <w:rFonts w:ascii="Times New Roman" w:hAnsi="Times New Roman" w:cs="Times New Roman"/>
          <w:sz w:val="24"/>
          <w:szCs w:val="24"/>
        </w:rPr>
        <w:t xml:space="preserve"> and requirements (e.g., physicians </w:t>
      </w:r>
      <w:r w:rsidR="00355382">
        <w:rPr>
          <w:rFonts w:ascii="Times New Roman" w:hAnsi="Times New Roman" w:cs="Times New Roman"/>
          <w:sz w:val="24"/>
          <w:szCs w:val="24"/>
        </w:rPr>
        <w:t xml:space="preserve">may </w:t>
      </w:r>
      <w:r w:rsidRPr="00EF09FE">
        <w:rPr>
          <w:rFonts w:ascii="Times New Roman" w:hAnsi="Times New Roman" w:cs="Times New Roman"/>
          <w:sz w:val="24"/>
          <w:szCs w:val="24"/>
        </w:rPr>
        <w:t>take more difficult/serious cases)</w:t>
      </w:r>
      <w:r w:rsidR="007C4A6F" w:rsidRPr="00EF09FE">
        <w:rPr>
          <w:rFonts w:ascii="Times New Roman" w:hAnsi="Times New Roman" w:cs="Times New Roman"/>
          <w:sz w:val="24"/>
          <w:szCs w:val="24"/>
        </w:rPr>
        <w:t xml:space="preserve">, which may explain </w:t>
      </w:r>
      <w:r w:rsidRPr="00EF09FE">
        <w:rPr>
          <w:rFonts w:ascii="Times New Roman" w:hAnsi="Times New Roman" w:cs="Times New Roman"/>
          <w:sz w:val="24"/>
          <w:szCs w:val="24"/>
        </w:rPr>
        <w:t>any difference</w:t>
      </w:r>
      <w:r w:rsidR="007C4A6F" w:rsidRPr="00EF09FE">
        <w:rPr>
          <w:rFonts w:ascii="Times New Roman" w:hAnsi="Times New Roman" w:cs="Times New Roman"/>
          <w:sz w:val="24"/>
          <w:szCs w:val="24"/>
        </w:rPr>
        <w:t xml:space="preserve"> in </w:t>
      </w:r>
      <w:r w:rsidR="00C83FD8" w:rsidRPr="00EF09FE">
        <w:rPr>
          <w:rFonts w:ascii="Times New Roman" w:hAnsi="Times New Roman" w:cs="Times New Roman"/>
          <w:sz w:val="24"/>
          <w:szCs w:val="24"/>
        </w:rPr>
        <w:t>reporting</w:t>
      </w:r>
      <w:r w:rsidR="007C4A6F" w:rsidRPr="00EF09FE">
        <w:rPr>
          <w:rFonts w:ascii="Times New Roman" w:hAnsi="Times New Roman" w:cs="Times New Roman"/>
          <w:sz w:val="24"/>
          <w:szCs w:val="24"/>
        </w:rPr>
        <w:t xml:space="preserve"> rates. </w:t>
      </w:r>
    </w:p>
    <w:sectPr w:rsidR="007C4A6F" w:rsidSect="00D4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55059"/>
    <w:multiLevelType w:val="hybridMultilevel"/>
    <w:tmpl w:val="7470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82447"/>
    <w:multiLevelType w:val="multilevel"/>
    <w:tmpl w:val="E396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96E52"/>
    <w:multiLevelType w:val="hybridMultilevel"/>
    <w:tmpl w:val="0EECE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F43E2"/>
    <w:multiLevelType w:val="hybridMultilevel"/>
    <w:tmpl w:val="EB16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54233"/>
    <w:multiLevelType w:val="hybridMultilevel"/>
    <w:tmpl w:val="BFAE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653A6"/>
    <w:multiLevelType w:val="hybridMultilevel"/>
    <w:tmpl w:val="470861E0"/>
    <w:lvl w:ilvl="0" w:tplc="4BD4816A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C4767"/>
    <w:multiLevelType w:val="multilevel"/>
    <w:tmpl w:val="DD18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947A0"/>
    <w:multiLevelType w:val="hybridMultilevel"/>
    <w:tmpl w:val="37C4D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24F17"/>
    <w:multiLevelType w:val="hybridMultilevel"/>
    <w:tmpl w:val="4618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AMO_XmlVersion" w:val="Empty"/>
  </w:docVars>
  <w:rsids>
    <w:rsidRoot w:val="0015672D"/>
    <w:rsid w:val="00070A76"/>
    <w:rsid w:val="00073743"/>
    <w:rsid w:val="00094BC2"/>
    <w:rsid w:val="000D1243"/>
    <w:rsid w:val="0015672D"/>
    <w:rsid w:val="001650B7"/>
    <w:rsid w:val="00176C35"/>
    <w:rsid w:val="001F25A7"/>
    <w:rsid w:val="001F6214"/>
    <w:rsid w:val="00250015"/>
    <w:rsid w:val="002576B5"/>
    <w:rsid w:val="002B1B09"/>
    <w:rsid w:val="002F7943"/>
    <w:rsid w:val="003323A5"/>
    <w:rsid w:val="003408D0"/>
    <w:rsid w:val="00355382"/>
    <w:rsid w:val="00391E71"/>
    <w:rsid w:val="00396B84"/>
    <w:rsid w:val="003B06D0"/>
    <w:rsid w:val="003C1A82"/>
    <w:rsid w:val="003C1CCE"/>
    <w:rsid w:val="003C427D"/>
    <w:rsid w:val="004033FD"/>
    <w:rsid w:val="00444976"/>
    <w:rsid w:val="00445C97"/>
    <w:rsid w:val="00472E74"/>
    <w:rsid w:val="004C148B"/>
    <w:rsid w:val="004D7FB5"/>
    <w:rsid w:val="004E6797"/>
    <w:rsid w:val="00507E14"/>
    <w:rsid w:val="005126E3"/>
    <w:rsid w:val="005202CC"/>
    <w:rsid w:val="00533CBC"/>
    <w:rsid w:val="00540026"/>
    <w:rsid w:val="0055280F"/>
    <w:rsid w:val="0056037F"/>
    <w:rsid w:val="00562642"/>
    <w:rsid w:val="00565C83"/>
    <w:rsid w:val="00575F2E"/>
    <w:rsid w:val="005A4C7C"/>
    <w:rsid w:val="005C2595"/>
    <w:rsid w:val="00645883"/>
    <w:rsid w:val="006D4315"/>
    <w:rsid w:val="006D7EB5"/>
    <w:rsid w:val="006F1A4C"/>
    <w:rsid w:val="00716C07"/>
    <w:rsid w:val="007222BB"/>
    <w:rsid w:val="007B5801"/>
    <w:rsid w:val="007C4A6F"/>
    <w:rsid w:val="008367DC"/>
    <w:rsid w:val="008F65AD"/>
    <w:rsid w:val="00962A79"/>
    <w:rsid w:val="009B5FAA"/>
    <w:rsid w:val="009C7D88"/>
    <w:rsid w:val="009D1A6B"/>
    <w:rsid w:val="00A47487"/>
    <w:rsid w:val="00A67CA5"/>
    <w:rsid w:val="00AA6835"/>
    <w:rsid w:val="00AE3780"/>
    <w:rsid w:val="00AE62BD"/>
    <w:rsid w:val="00AF46E6"/>
    <w:rsid w:val="00B05270"/>
    <w:rsid w:val="00B256F6"/>
    <w:rsid w:val="00B92F48"/>
    <w:rsid w:val="00BC313C"/>
    <w:rsid w:val="00BE26F3"/>
    <w:rsid w:val="00BE2BCC"/>
    <w:rsid w:val="00BE6C48"/>
    <w:rsid w:val="00BF55BD"/>
    <w:rsid w:val="00BF5AF1"/>
    <w:rsid w:val="00C15CF9"/>
    <w:rsid w:val="00C502FE"/>
    <w:rsid w:val="00C6199E"/>
    <w:rsid w:val="00C83FD8"/>
    <w:rsid w:val="00D05DB1"/>
    <w:rsid w:val="00D43AD3"/>
    <w:rsid w:val="00E04DFF"/>
    <w:rsid w:val="00E77EF6"/>
    <w:rsid w:val="00EE4C4B"/>
    <w:rsid w:val="00EF09FE"/>
    <w:rsid w:val="00F11EC5"/>
    <w:rsid w:val="00F97223"/>
    <w:rsid w:val="00FC3DA6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6AA1FB-15C4-4C57-B644-B87F112D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A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8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683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A6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83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atText">
    <w:name w:val="Rat. Text"/>
    <w:basedOn w:val="BodyText"/>
    <w:rsid w:val="003C427D"/>
    <w:pPr>
      <w:tabs>
        <w:tab w:val="left" w:pos="360"/>
        <w:tab w:val="left" w:pos="720"/>
      </w:tabs>
      <w:spacing w:after="0"/>
      <w:ind w:left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C42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427D"/>
  </w:style>
  <w:style w:type="paragraph" w:styleId="Bibliography">
    <w:name w:val="Bibliography"/>
    <w:basedOn w:val="Normal"/>
    <w:next w:val="Normal"/>
    <w:uiPriority w:val="37"/>
    <w:unhideWhenUsed/>
    <w:rsid w:val="00A67CA5"/>
  </w:style>
  <w:style w:type="paragraph" w:styleId="ListParagraph">
    <w:name w:val="List Paragraph"/>
    <w:basedOn w:val="Normal"/>
    <w:uiPriority w:val="34"/>
    <w:qFormat/>
    <w:rsid w:val="00565C83"/>
    <w:pPr>
      <w:ind w:left="720"/>
      <w:contextualSpacing/>
    </w:pPr>
  </w:style>
  <w:style w:type="table" w:styleId="TableGrid">
    <w:name w:val="Table Grid"/>
    <w:basedOn w:val="TableNormal"/>
    <w:rsid w:val="00AA683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68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835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99"/>
    <w:rsid w:val="00AA6835"/>
    <w:rPr>
      <w:rFonts w:ascii="Calibri" w:eastAsia="Calibri" w:hAnsi="Calibri"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List3">
    <w:name w:val="Table List 3"/>
    <w:basedOn w:val="TableNormal"/>
    <w:uiPriority w:val="99"/>
    <w:rsid w:val="00AA6835"/>
    <w:rPr>
      <w:rFonts w:ascii="Calibri" w:eastAsia="Times New Roman" w:hAnsi="Calibri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AA68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68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6835"/>
    <w:rPr>
      <w:color w:val="0000FF"/>
      <w:u w:val="single"/>
    </w:rPr>
  </w:style>
  <w:style w:type="character" w:customStyle="1" w:styleId="pagehead1">
    <w:name w:val="pagehead1"/>
    <w:basedOn w:val="DefaultParagraphFont"/>
    <w:rsid w:val="00AA6835"/>
    <w:rPr>
      <w:rFonts w:ascii="Verdana" w:hAnsi="Verdana" w:hint="default"/>
      <w:b/>
      <w:bCs/>
      <w:color w:val="183966"/>
    </w:rPr>
  </w:style>
  <w:style w:type="character" w:styleId="Emphasis">
    <w:name w:val="Emphasis"/>
    <w:basedOn w:val="DefaultParagraphFont"/>
    <w:uiPriority w:val="20"/>
    <w:qFormat/>
    <w:rsid w:val="00AA6835"/>
    <w:rPr>
      <w:i/>
      <w:iCs/>
    </w:rPr>
  </w:style>
  <w:style w:type="character" w:customStyle="1" w:styleId="slug-doi">
    <w:name w:val="slug-doi"/>
    <w:basedOn w:val="DefaultParagraphFont"/>
    <w:rsid w:val="00AA6835"/>
  </w:style>
  <w:style w:type="character" w:customStyle="1" w:styleId="name">
    <w:name w:val="name"/>
    <w:basedOn w:val="DefaultParagraphFont"/>
    <w:rsid w:val="00AA6835"/>
  </w:style>
  <w:style w:type="character" w:customStyle="1" w:styleId="contrib-degrees">
    <w:name w:val="contrib-degrees"/>
    <w:basedOn w:val="DefaultParagraphFont"/>
    <w:rsid w:val="00AA6835"/>
  </w:style>
  <w:style w:type="character" w:customStyle="1" w:styleId="slug-doi-value">
    <w:name w:val="slug-doi-value"/>
    <w:basedOn w:val="DefaultParagraphFont"/>
    <w:rsid w:val="00AA6835"/>
  </w:style>
  <w:style w:type="paragraph" w:styleId="Header">
    <w:name w:val="header"/>
    <w:basedOn w:val="Normal"/>
    <w:link w:val="HeaderChar"/>
    <w:uiPriority w:val="99"/>
    <w:semiHidden/>
    <w:unhideWhenUsed/>
    <w:rsid w:val="00AA6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835"/>
  </w:style>
  <w:style w:type="paragraph" w:styleId="Footer">
    <w:name w:val="footer"/>
    <w:basedOn w:val="Normal"/>
    <w:link w:val="FooterChar"/>
    <w:uiPriority w:val="99"/>
    <w:unhideWhenUsed/>
    <w:rsid w:val="00AA6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835"/>
  </w:style>
  <w:style w:type="paragraph" w:styleId="CommentText">
    <w:name w:val="annotation text"/>
    <w:basedOn w:val="Normal"/>
    <w:link w:val="CommentTextChar"/>
    <w:uiPriority w:val="99"/>
    <w:semiHidden/>
    <w:unhideWhenUsed/>
    <w:rsid w:val="00AA68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8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8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8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C3DA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Hud07</b:Tag>
    <b:SourceType>JournalArticle</b:SourceType>
    <b:Guid>{C181E4C2-1E91-4DDB-9C93-0C55F497FCED}</b:Guid>
    <b:Author>
      <b:Author>
        <b:NameList>
          <b:Person>
            <b:Last>Hudspeth</b:Last>
            <b:First>Randall</b:First>
          </b:Person>
        </b:NameList>
      </b:Author>
    </b:Author>
    <b:Title>Survey of Advanced Practice Registered Nurses Disciplinary Action</b:Title>
    <b:JournalName>Online Journal of Issues in Nursing</b:JournalName>
    <b:Year>April 2, 2007</b:Year>
    <b:Pages>Vol #12, No.2</b:Pages>
    <b:RefOrder>3</b:RefOrder>
  </b:Source>
  <b:Source>
    <b:Tag>Mun00</b:Tag>
    <b:SourceType>JournalArticle</b:SourceType>
    <b:Guid>{41C6D2A4-B0C5-4D67-9DEB-E4BE49E5CA78}</b:Guid>
    <b:Author>
      <b:Author>
        <b:NameList>
          <b:Person>
            <b:Last>Mundinger</b:Last>
            <b:First>Mary</b:First>
            <b:Middle>O</b:Middle>
          </b:Person>
          <b:Person>
            <b:Last>Kane</b:Last>
            <b:First>Robert</b:First>
            <b:Middle>L</b:Middle>
          </b:Person>
          <b:Person>
            <b:Last>Lenz</b:Last>
            <b:First>Elizabeth</b:First>
            <b:Middle>R</b:Middle>
          </b:Person>
          <b:Person>
            <b:Last>Totten</b:Last>
            <b:First>Annette</b:First>
            <b:Middle>M</b:Middle>
          </b:Person>
          <b:Person>
            <b:Last>Tsai</b:Last>
            <b:First>Wei-Yann</b:First>
          </b:Person>
          <b:Person>
            <b:Last>Cleary</b:Last>
            <b:First>Paul</b:First>
            <b:Middle>D</b:Middle>
          </b:Person>
          <b:Person>
            <b:Last>Friedewald</b:Last>
            <b:First>William</b:First>
            <b:Middle>T</b:Middle>
          </b:Person>
          <b:Person>
            <b:Last>Siu</b:Last>
            <b:First>Albert</b:First>
            <b:Middle>L</b:Middle>
          </b:Person>
          <b:Person>
            <b:Last>Shelanski</b:Last>
            <b:First>Michael</b:First>
            <b:Middle>L</b:Middle>
          </b:Person>
        </b:NameList>
      </b:Author>
    </b:Author>
    <b:Title>Primary Care Outcomes in Patients treated by Nurse Practitioners or Physicians: A Randomized Trial</b:Title>
    <b:JournalName>JAMA</b:JournalName>
    <b:Year>2000</b:Year>
    <b:Pages>59-68</b:Pages>
    <b:RefOrder>4</b:RefOrder>
  </b:Source>
  <b:Source>
    <b:Tag>Meh09</b:Tag>
    <b:SourceType>JournalArticle</b:SourceType>
    <b:Guid>{43D8BFED-4F92-4CB9-81E9-7781FC13FC4C}</b:Guid>
    <b:Author>
      <b:Author>
        <b:NameList>
          <b:Person>
            <b:Last>Mehrotra</b:Last>
            <b:First>Ateev</b:First>
          </b:Person>
          <b:Person>
            <b:Last>Hangsheng</b:Last>
            <b:First>Liu</b:First>
          </b:Person>
          <b:Person>
            <b:Last>Adams</b:Last>
            <b:First>John</b:First>
            <b:Middle>L</b:Middle>
          </b:Person>
          <b:Person>
            <b:Last>Wang</b:Last>
            <b:First>Margaret</b:First>
            <b:Middle>C</b:Middle>
          </b:Person>
          <b:Person>
            <b:Last>Lave</b:Last>
            <b:First>Judith</b:First>
            <b:Middle>R</b:Middle>
          </b:Person>
          <b:Person>
            <b:Last>Thygeson</b:Last>
            <b:First>Marcus</b:First>
          </b:Person>
          <b:Person>
            <b:Last>Solberg</b:Last>
            <b:First>Leif</b:First>
            <b:Middle>I</b:Middle>
          </b:Person>
          <b:Person>
            <b:Last>McGlynn</b:Last>
            <b:First>Elizabeth</b:First>
            <b:Middle>A</b:Middle>
          </b:Person>
        </b:NameList>
      </b:Author>
    </b:Author>
    <b:Title>Comparing Costs and Qulaity of Care at Retail Clinics with that of Other Medical Settings for 3 Common Illnesses</b:Title>
    <b:JournalName>Annals of Internal Medicine</b:JournalName>
    <b:Year>2009</b:Year>
    <b:Pages>321-328</b:Pages>
    <b:RefOrder>5</b:RefOrder>
  </b:Source>
  <b:Source>
    <b:Tag>Dul10</b:Tag>
    <b:SourceType>JournalArticle</b:SourceType>
    <b:Guid>{9D721B3D-CCBB-4A50-A82E-D54333B546A2}</b:Guid>
    <b:Author>
      <b:Author>
        <b:NameList>
          <b:Person>
            <b:Last>Dulisse</b:Last>
            <b:First>Brian</b:First>
          </b:Person>
          <b:Person>
            <b:Last>Cromwell</b:Last>
            <b:First>Jerry</b:First>
          </b:Person>
        </b:NameList>
      </b:Author>
    </b:Author>
    <b:Title>No Harm Found when Nurse Anesthetists Work Without Supervision by Physicians</b:Title>
    <b:JournalName>Health Affairs</b:JournalName>
    <b:Year>2010</b:Year>
    <b:Pages>1469-1475</b:Pages>
    <b:RefOrder>1</b:RefOrder>
  </b:Source>
  <b:Source>
    <b:Tag>Phi10</b:Tag>
    <b:SourceType>JournalArticle</b:SourceType>
    <b:Guid>{BC6883E9-8929-4540-878F-334D206680B9}</b:Guid>
    <b:Author>
      <b:Author>
        <b:NameList>
          <b:Person>
            <b:Last>Phillips</b:Last>
            <b:First>Susanne</b:First>
            <b:Middle>J</b:Middle>
          </b:Person>
        </b:NameList>
      </b:Author>
    </b:Author>
    <b:Title>22nd Annual Legislative Update</b:Title>
    <b:JournalName>The Nurse Practitioner</b:JournalName>
    <b:Year>2010</b:Year>
    <b:Pages>24-47</b:Pages>
    <b:RefOrder>6</b:RefOrder>
  </b:Source>
  <b:Source>
    <b:Tag>Pea09</b:Tag>
    <b:SourceType>JournalArticle</b:SourceType>
    <b:Guid>{8BBD352C-BB3A-40F0-83A1-CAF6471B8288}</b:Guid>
    <b:Author>
      <b:Author>
        <b:NameList>
          <b:Person>
            <b:Last>Pearson</b:Last>
            <b:First>Linda</b:First>
            <b:Middle>J</b:Middle>
          </b:Person>
        </b:NameList>
      </b:Author>
    </b:Author>
    <b:Title>The Pearson Report. A National overview of Nurse Practitioner Legislation and Healthcare Issues</b:Title>
    <b:JournalName>The American Journal for Nurse Practitioners</b:JournalName>
    <b:Year>2009</b:Year>
    <b:Pages>8-82</b:Pages>
    <b:RefOrder>2</b:RefOrder>
  </b:Source>
  <b:Source>
    <b:Tag>Len04</b:Tag>
    <b:SourceType>JournalArticle</b:SourceType>
    <b:Guid>{780734AA-12FC-4CF4-8912-E08933DE079B}</b:Guid>
    <b:Author>
      <b:Author>
        <b:NameList>
          <b:Person>
            <b:Last>Lenz</b:Last>
            <b:First>ER</b:First>
          </b:Person>
          <b:Person>
            <b:Last>Mundinger</b:Last>
            <b:First>MO</b:First>
          </b:Person>
          <b:Person>
            <b:Last>Kane</b:Last>
            <b:First>RL</b:First>
          </b:Person>
          <b:Person>
            <b:Last>Hopkins</b:Last>
            <b:First>SC</b:First>
          </b:Person>
          <b:Person>
            <b:Last>Lin</b:Last>
            <b:First>SX</b:First>
          </b:Person>
        </b:NameList>
      </b:Author>
    </b:Author>
    <b:Title>Primary Care Outcomes in PAtients Treated by Nurse Practitioners or Physicians: Two-Year Follow-UP</b:Title>
    <b:JournalName>Medical Care Research &amp; Review</b:JournalName>
    <b:Year>2004</b:Year>
    <b:Pages>332-51</b:Pages>
    <b:RefOrder>7</b:RefOrder>
  </b:Source>
  <b:Source>
    <b:Tag>Cra06</b:Tag>
    <b:SourceType>JournalArticle</b:SourceType>
    <b:Guid>{3A0B41BC-AFEC-4989-90A6-0E363523F584}</b:Guid>
    <b:Author>
      <b:Author>
        <b:NameList>
          <b:Person>
            <b:Last>Cragin</b:Last>
            <b:First>Leslie</b:First>
          </b:Person>
          <b:Person>
            <b:Last>Kennedy</b:Last>
            <b:First>Holly</b:First>
            <b:Middle>P</b:Middle>
          </b:Person>
        </b:NameList>
      </b:Author>
    </b:Author>
    <b:Title>Linking Obstetrics and Midwifery Practice with Optimal Outcomes</b:Title>
    <b:JournalName>JOGNN</b:JournalName>
    <b:Year>2006</b:Year>
    <b:Pages>779-785</b:Pages>
    <b:RefOrder>8</b:RefOrder>
  </b:Source>
  <b:Source>
    <b:Tag>Ahe04</b:Tag>
    <b:SourceType>JournalArticle</b:SourceType>
    <b:Guid>{2D3AC784-9F59-4EBD-87C1-469D3EA2F980}</b:Guid>
    <b:Author>
      <b:Author>
        <b:NameList>
          <b:Person>
            <b:Last>Ahern</b:Last>
            <b:First>Mary</b:First>
          </b:Person>
          <b:Person>
            <b:Last>Imperial</b:Last>
            <b:First>Joanne</b:First>
          </b:Person>
          <b:Person>
            <b:Last>Lam</b:Last>
            <b:First>Suzanna</b:First>
          </b:Person>
        </b:NameList>
      </b:Author>
    </b:Author>
    <b:Title>Impact of a Designated Hepatology Nurse on the Clinical Course and Quality of Life of Patients Treated with Rebetron Therapy for Chronic Hepatitis C</b:Title>
    <b:JournalName>Gastroenterology Nursing</b:JournalName>
    <b:Year>2004</b:Year>
    <b:Pages>149-155</b:Pages>
    <b:RefOrder>9</b:RefOrder>
  </b:Source>
  <b:Source>
    <b:Tag>Fan06</b:Tag>
    <b:SourceType>JournalArticle</b:SourceType>
    <b:Guid>{14C503AF-6838-4556-8A5F-FBD1FAA1C799}</b:Guid>
    <b:Author>
      <b:Author>
        <b:NameList>
          <b:Person>
            <b:Last>Fanta</b:Last>
            <b:First>Kaaren</b:First>
          </b:Person>
          <b:Person>
            <b:Last>Cook</b:Last>
            <b:First>Betty</b:First>
          </b:Person>
          <b:Person>
            <b:Last>Falcone</b:Last>
            <b:First>Richard</b:First>
            <b:Middle>A Jr.</b:Middle>
          </b:Person>
          <b:Person>
            <b:Last>Rickets</b:Last>
            <b:First>Crystal</b:First>
          </b:Person>
          <b:Person>
            <b:Last>Schweer</b:Last>
            <b:First>lynn</b:First>
          </b:Person>
          <b:Person>
            <b:Last>Brown</b:Last>
            <b:First>Rebeccah</b:First>
            <b:Middle>L</b:Middle>
          </b:Person>
          <b:Person>
            <b:Last>Garcia</b:Last>
            <b:First>Victor</b:First>
            <b:Middle>F</b:Middle>
          </b:Person>
        </b:NameList>
      </b:Author>
    </b:Author>
    <b:Title>Pediatric Trauma Nurse Practitioners Provide Excellent Care with Superior Patient Satisfaction for Injured Children</b:Title>
    <b:JournalName>Journal of Pediatric Surgery</b:JournalName>
    <b:Year>2006</b:Year>
    <b:Pages>277-281</b:Pages>
    <b:RefOrder>10</b:RefOrder>
  </b:Source>
  <b:Source>
    <b:Tag>Fel87</b:Tag>
    <b:SourceType>JournalArticle</b:SourceType>
    <b:Guid>{AB5E5A02-5100-4DA9-A3CD-BD87BFC5DB98}</b:Guid>
    <b:Author>
      <b:Author>
        <b:NameList>
          <b:Person>
            <b:Last>Feldman</b:Last>
            <b:First>Mary</b:First>
            <b:Middle>Jane</b:Middle>
          </b:Person>
          <b:Person>
            <b:Last>Ventura</b:Last>
            <b:First>Marlene</b:First>
            <b:Middle>R</b:Middle>
          </b:Person>
          <b:Person>
            <b:Last>Crosby</b:Last>
            <b:First>Frances</b:First>
          </b:Person>
        </b:NameList>
      </b:Author>
    </b:Author>
    <b:Title>Studies of Nurse Practitioner Effectiveness</b:Title>
    <b:JournalName>Nursing Research</b:JournalName>
    <b:Year>1987</b:Year>
    <b:Pages>303-308</b:Pages>
    <b:RefOrder>11</b:RefOrder>
  </b:Source>
  <b:Source>
    <b:Tag>Bro95</b:Tag>
    <b:SourceType>JournalArticle</b:SourceType>
    <b:Guid>{62B5A714-3B8C-4EFD-A603-DCDF2BDBA875}</b:Guid>
    <b:Author>
      <b:Author>
        <b:NameList>
          <b:Person>
            <b:Last>Brown</b:Last>
            <b:First>SA</b:First>
          </b:Person>
          <b:Person>
            <b:Last>Grimes</b:Last>
            <b:First>DE</b:First>
          </b:Person>
        </b:NameList>
      </b:Author>
    </b:Author>
    <b:Title>A Meta-analysis of Nurse Practitioners and Nurse Midwives in Primary Care</b:Title>
    <b:JournalName>Nursing Research</b:JournalName>
    <b:Year>1995</b:Year>
    <b:Pages>332-339</b:Pages>
    <b:RefOrder>12</b:RefOrder>
  </b:Source>
</b:Sources>
</file>

<file path=customXml/itemProps1.xml><?xml version="1.0" encoding="utf-8"?>
<ds:datastoreItem xmlns:ds="http://schemas.openxmlformats.org/officeDocument/2006/customXml" ds:itemID="{291955AD-5A67-46FA-8691-6D52B863A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4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NCSBN</Company>
  <LinksUpToDate>false</LinksUpToDate>
  <CharactersWithSpaces>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jhayden</dc:creator>
  <cp:lastModifiedBy>Jill Budden</cp:lastModifiedBy>
  <cp:revision>55</cp:revision>
  <cp:lastPrinted>2012-01-03T20:00:00Z</cp:lastPrinted>
  <dcterms:created xsi:type="dcterms:W3CDTF">2011-12-28T19:40:00Z</dcterms:created>
  <dcterms:modified xsi:type="dcterms:W3CDTF">2017-03-14T18:58:00Z</dcterms:modified>
</cp:coreProperties>
</file>