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29AFD" w14:textId="77777777" w:rsidR="00605B8D" w:rsidRDefault="00000000">
      <w:pPr>
        <w:rPr>
          <w:rFonts w:ascii="Arial" w:hAnsi="Arial"/>
          <w:b/>
          <w:bCs/>
          <w:sz w:val="22"/>
          <w:szCs w:val="22"/>
        </w:rPr>
      </w:pPr>
      <w:r>
        <w:rPr>
          <w:rFonts w:ascii="Arial" w:hAnsi="Arial"/>
          <w:b/>
          <w:bCs/>
          <w:sz w:val="22"/>
          <w:szCs w:val="22"/>
        </w:rPr>
        <w:t>AIBIDS Research Concept Paper</w:t>
      </w:r>
    </w:p>
    <w:p w14:paraId="289095D5" w14:textId="77777777" w:rsidR="00605B8D" w:rsidRDefault="00605B8D">
      <w:pPr>
        <w:jc w:val="center"/>
        <w:rPr>
          <w:rFonts w:ascii="Arial" w:hAnsi="Arial"/>
          <w:b/>
          <w:bCs/>
          <w:sz w:val="22"/>
          <w:szCs w:val="22"/>
        </w:rPr>
      </w:pPr>
    </w:p>
    <w:p w14:paraId="4DD0CF84" w14:textId="77777777" w:rsidR="00605B8D" w:rsidRDefault="00000000">
      <w:pPr>
        <w:rPr>
          <w:rFonts w:ascii="Arial" w:hAnsi="Arial"/>
          <w:b/>
          <w:bCs/>
          <w:sz w:val="22"/>
          <w:szCs w:val="22"/>
        </w:rPr>
      </w:pPr>
      <w:r>
        <w:rPr>
          <w:rFonts w:ascii="Arial" w:hAnsi="Arial"/>
          <w:b/>
          <w:bCs/>
          <w:sz w:val="22"/>
          <w:szCs w:val="22"/>
        </w:rPr>
        <w:t>Working Title:</w:t>
      </w:r>
      <w:r>
        <w:rPr>
          <w:rFonts w:ascii="Arial" w:hAnsi="Arial"/>
          <w:sz w:val="22"/>
          <w:szCs w:val="22"/>
        </w:rPr>
        <w:t xml:space="preserve"> Building an AI-Powered Knowledge Base for Biomarkers of Abnormal Placentation Disorders</w:t>
      </w:r>
    </w:p>
    <w:p w14:paraId="5EB5CB33" w14:textId="77777777" w:rsidR="00605B8D" w:rsidRDefault="00605B8D">
      <w:pPr>
        <w:rPr>
          <w:rFonts w:ascii="Arial" w:hAnsi="Arial"/>
          <w:sz w:val="22"/>
          <w:szCs w:val="22"/>
        </w:rPr>
      </w:pPr>
    </w:p>
    <w:p w14:paraId="7F4151F8" w14:textId="77777777" w:rsidR="00605B8D" w:rsidRDefault="00000000">
      <w:pPr>
        <w:rPr>
          <w:rFonts w:ascii="Arial" w:hAnsi="Arial"/>
          <w:b/>
          <w:bCs/>
          <w:sz w:val="22"/>
          <w:szCs w:val="22"/>
        </w:rPr>
      </w:pPr>
      <w:r>
        <w:rPr>
          <w:rFonts w:ascii="Arial" w:hAnsi="Arial"/>
          <w:b/>
          <w:bCs/>
          <w:sz w:val="22"/>
          <w:szCs w:val="22"/>
        </w:rPr>
        <w:t xml:space="preserve">Authors: </w:t>
      </w:r>
      <w:r>
        <w:rPr>
          <w:rFonts w:ascii="Arial" w:hAnsi="Arial"/>
          <w:sz w:val="22"/>
          <w:szCs w:val="22"/>
        </w:rPr>
        <w:t xml:space="preserve">Jillian Puskar, Dr. Vanathi Gopalakrishnan </w:t>
      </w:r>
    </w:p>
    <w:p w14:paraId="07F28D42" w14:textId="77777777" w:rsidR="00605B8D" w:rsidRDefault="00605B8D">
      <w:pPr>
        <w:rPr>
          <w:rFonts w:ascii="Arial" w:hAnsi="Arial"/>
          <w:sz w:val="22"/>
          <w:szCs w:val="22"/>
        </w:rPr>
      </w:pPr>
    </w:p>
    <w:p w14:paraId="7F21E1AF" w14:textId="77777777" w:rsidR="00605B8D" w:rsidRDefault="00000000">
      <w:pPr>
        <w:rPr>
          <w:rFonts w:ascii="Arial" w:hAnsi="Arial"/>
          <w:b/>
          <w:bCs/>
          <w:sz w:val="22"/>
          <w:szCs w:val="22"/>
        </w:rPr>
      </w:pPr>
      <w:r>
        <w:rPr>
          <w:rFonts w:ascii="Arial" w:hAnsi="Arial"/>
          <w:b/>
          <w:bCs/>
          <w:sz w:val="22"/>
          <w:szCs w:val="22"/>
        </w:rPr>
        <w:t xml:space="preserve">Objective: </w:t>
      </w:r>
      <w:r>
        <w:rPr>
          <w:rFonts w:ascii="Arial" w:hAnsi="Arial"/>
          <w:sz w:val="22"/>
          <w:szCs w:val="22"/>
        </w:rPr>
        <w:t xml:space="preserve">This study aims to build an AI-powered knowledge base to evaluate </w:t>
      </w:r>
      <w:proofErr w:type="gramStart"/>
      <w:r>
        <w:rPr>
          <w:rFonts w:ascii="Arial" w:hAnsi="Arial"/>
          <w:sz w:val="22"/>
          <w:szCs w:val="22"/>
        </w:rPr>
        <w:t>currently-monitored</w:t>
      </w:r>
      <w:proofErr w:type="gramEnd"/>
      <w:r>
        <w:rPr>
          <w:rFonts w:ascii="Arial" w:hAnsi="Arial"/>
          <w:sz w:val="22"/>
          <w:szCs w:val="22"/>
        </w:rPr>
        <w:t xml:space="preserve">, multimodal biomarkers for detecting placenta accreta and placenta previa in various stages of pregnancy based on current literature. Human-guided AI interactions also seek to establish insights into the unique challenges of building AI knowledge bases for research tasks and implementing guardrails to improve their usefulness and accuracy. </w:t>
      </w:r>
    </w:p>
    <w:p w14:paraId="51DBE611" w14:textId="77777777" w:rsidR="00605B8D" w:rsidRDefault="00605B8D">
      <w:pPr>
        <w:rPr>
          <w:rFonts w:ascii="Arial" w:hAnsi="Arial"/>
          <w:sz w:val="22"/>
          <w:szCs w:val="22"/>
        </w:rPr>
      </w:pPr>
    </w:p>
    <w:p w14:paraId="7C15FECD" w14:textId="407AF2D4" w:rsidR="00605B8D" w:rsidRDefault="00000000">
      <w:pPr>
        <w:rPr>
          <w:rFonts w:ascii="Arial" w:hAnsi="Arial"/>
          <w:b/>
          <w:bCs/>
          <w:sz w:val="22"/>
          <w:szCs w:val="22"/>
        </w:rPr>
      </w:pPr>
      <w:r>
        <w:rPr>
          <w:rFonts w:ascii="Arial" w:hAnsi="Arial"/>
          <w:b/>
          <w:bCs/>
          <w:sz w:val="22"/>
          <w:szCs w:val="22"/>
        </w:rPr>
        <w:t xml:space="preserve">Motivation: </w:t>
      </w:r>
      <w:r>
        <w:rPr>
          <w:rFonts w:ascii="Arial" w:hAnsi="Arial"/>
          <w:sz w:val="22"/>
          <w:szCs w:val="22"/>
        </w:rPr>
        <w:t xml:space="preserve">Abnormal placentation disorders, including placenta previa and placenta accreta, are serious pregnancy complications strongly associated with </w:t>
      </w:r>
      <w:r w:rsidR="00786F9D">
        <w:rPr>
          <w:rFonts w:ascii="Arial" w:hAnsi="Arial"/>
          <w:sz w:val="22"/>
          <w:szCs w:val="22"/>
        </w:rPr>
        <w:t>morbidity</w:t>
      </w:r>
      <w:r>
        <w:rPr>
          <w:rFonts w:ascii="Arial" w:hAnsi="Arial"/>
          <w:sz w:val="22"/>
          <w:szCs w:val="22"/>
        </w:rPr>
        <w:t xml:space="preserve">. Placenta accreta spectrum (PAS) disorders, including placenta accreta, </w:t>
      </w:r>
      <w:proofErr w:type="spellStart"/>
      <w:r>
        <w:rPr>
          <w:rFonts w:ascii="Arial" w:hAnsi="Arial"/>
          <w:sz w:val="22"/>
          <w:szCs w:val="22"/>
        </w:rPr>
        <w:t>percreta</w:t>
      </w:r>
      <w:proofErr w:type="spellEnd"/>
      <w:r>
        <w:rPr>
          <w:rFonts w:ascii="Arial" w:hAnsi="Arial"/>
          <w:sz w:val="22"/>
          <w:szCs w:val="22"/>
        </w:rPr>
        <w:t>, and increta, are the result of “abnormal adherence of the placental trophoblast to the uterine myometrium” and cause severe intrapartum hemorrhage when the placenta does not spontaneously detach after delivery (</w:t>
      </w:r>
      <w:hyperlink w:anchor="Bibliography">
        <w:r>
          <w:rPr>
            <w:rStyle w:val="Hyperlink"/>
            <w:rFonts w:ascii="Arial" w:hAnsi="Arial"/>
            <w:sz w:val="22"/>
            <w:szCs w:val="22"/>
          </w:rPr>
          <w:t>1</w:t>
        </w:r>
      </w:hyperlink>
      <w:r>
        <w:rPr>
          <w:rFonts w:ascii="Arial" w:hAnsi="Arial"/>
          <w:sz w:val="22"/>
          <w:szCs w:val="22"/>
        </w:rPr>
        <w:t xml:space="preserve">; </w:t>
      </w:r>
      <w:hyperlink w:anchor="Bibliography">
        <w:r>
          <w:rPr>
            <w:rStyle w:val="Hyperlink"/>
            <w:rFonts w:ascii="Arial" w:hAnsi="Arial"/>
            <w:sz w:val="22"/>
            <w:szCs w:val="22"/>
          </w:rPr>
          <w:t>2</w:t>
        </w:r>
      </w:hyperlink>
      <w:r>
        <w:rPr>
          <w:rFonts w:ascii="Arial" w:hAnsi="Arial"/>
          <w:sz w:val="22"/>
          <w:szCs w:val="22"/>
        </w:rPr>
        <w:t>). PAS is becoming an increasingly prevalent obstetric challenge, occurring in approximately 1 in every 272 pregnancies - a rise associated with an increase in cesarean section deliveries- and the current treatment usually involves a cesarean hysterectomy and/or preterm delivery (</w:t>
      </w:r>
      <w:hyperlink w:anchor="Bibliography">
        <w:r>
          <w:rPr>
            <w:rStyle w:val="Hyperlink"/>
            <w:rFonts w:ascii="Arial" w:hAnsi="Arial"/>
            <w:sz w:val="22"/>
            <w:szCs w:val="22"/>
          </w:rPr>
          <w:t>3</w:t>
        </w:r>
      </w:hyperlink>
      <w:r>
        <w:rPr>
          <w:rFonts w:ascii="Arial" w:hAnsi="Arial"/>
          <w:sz w:val="22"/>
          <w:szCs w:val="22"/>
        </w:rPr>
        <w:t xml:space="preserve">; </w:t>
      </w:r>
      <w:hyperlink w:anchor="Bibliography">
        <w:r>
          <w:rPr>
            <w:rStyle w:val="Hyperlink"/>
            <w:rFonts w:ascii="Arial" w:hAnsi="Arial"/>
            <w:sz w:val="22"/>
            <w:szCs w:val="22"/>
          </w:rPr>
          <w:t>1</w:t>
        </w:r>
      </w:hyperlink>
      <w:r>
        <w:rPr>
          <w:rFonts w:ascii="Arial" w:hAnsi="Arial"/>
          <w:sz w:val="22"/>
          <w:szCs w:val="22"/>
        </w:rPr>
        <w:t xml:space="preserve">). Placenta previa, a complication on its own </w:t>
      </w:r>
      <w:proofErr w:type="gramStart"/>
      <w:r>
        <w:rPr>
          <w:rFonts w:ascii="Arial" w:hAnsi="Arial"/>
          <w:sz w:val="22"/>
          <w:szCs w:val="22"/>
        </w:rPr>
        <w:t>and also</w:t>
      </w:r>
      <w:proofErr w:type="gramEnd"/>
      <w:r>
        <w:rPr>
          <w:rFonts w:ascii="Arial" w:hAnsi="Arial"/>
          <w:sz w:val="22"/>
          <w:szCs w:val="22"/>
        </w:rPr>
        <w:t xml:space="preserve"> a known </w:t>
      </w:r>
      <w:r w:rsidR="00B40B11">
        <w:rPr>
          <w:rFonts w:ascii="Arial" w:hAnsi="Arial"/>
          <w:sz w:val="22"/>
          <w:szCs w:val="22"/>
        </w:rPr>
        <w:t xml:space="preserve">independent </w:t>
      </w:r>
      <w:r w:rsidR="00786F9D">
        <w:rPr>
          <w:rFonts w:ascii="Arial" w:hAnsi="Arial"/>
          <w:sz w:val="22"/>
          <w:szCs w:val="22"/>
        </w:rPr>
        <w:t>high-risk</w:t>
      </w:r>
      <w:r>
        <w:rPr>
          <w:rFonts w:ascii="Arial" w:hAnsi="Arial"/>
          <w:sz w:val="22"/>
          <w:szCs w:val="22"/>
        </w:rPr>
        <w:t xml:space="preserve"> factor for PAS, occurs when the placenta “[implants] partially or completely within the lower uterine segment” (</w:t>
      </w:r>
      <w:hyperlink w:anchor="Bibliography">
        <w:r>
          <w:rPr>
            <w:rStyle w:val="Hyperlink"/>
            <w:rFonts w:ascii="Arial" w:hAnsi="Arial"/>
            <w:sz w:val="22"/>
            <w:szCs w:val="22"/>
          </w:rPr>
          <w:t>4</w:t>
        </w:r>
      </w:hyperlink>
      <w:r>
        <w:rPr>
          <w:rFonts w:ascii="Arial" w:hAnsi="Arial"/>
          <w:sz w:val="22"/>
          <w:szCs w:val="22"/>
        </w:rPr>
        <w:t xml:space="preserve">), partially or completing blocking the cervix. </w:t>
      </w:r>
      <w:proofErr w:type="gramStart"/>
      <w:r>
        <w:rPr>
          <w:rFonts w:ascii="Arial" w:hAnsi="Arial"/>
          <w:sz w:val="22"/>
          <w:szCs w:val="22"/>
        </w:rPr>
        <w:t>Also</w:t>
      </w:r>
      <w:proofErr w:type="gramEnd"/>
      <w:r>
        <w:rPr>
          <w:rFonts w:ascii="Arial" w:hAnsi="Arial"/>
          <w:sz w:val="22"/>
          <w:szCs w:val="22"/>
        </w:rPr>
        <w:t xml:space="preserve"> on the rise due to increased cesarean section deliveries, it occurs in approximately 4 in every 1000 pregnancies and is </w:t>
      </w:r>
      <w:r w:rsidRPr="00B40B11">
        <w:rPr>
          <w:rFonts w:ascii="Arial" w:hAnsi="Arial"/>
          <w:sz w:val="22"/>
          <w:szCs w:val="22"/>
        </w:rPr>
        <w:t>associated with potentially life-threatening antepartum, intrapartum, and postpar</w:t>
      </w:r>
      <w:r w:rsidR="00786F9D" w:rsidRPr="00B40B11">
        <w:rPr>
          <w:rFonts w:ascii="Arial" w:hAnsi="Arial"/>
          <w:sz w:val="22"/>
          <w:szCs w:val="22"/>
        </w:rPr>
        <w:t>t</w:t>
      </w:r>
      <w:r w:rsidRPr="00B40B11">
        <w:rPr>
          <w:rFonts w:ascii="Arial" w:hAnsi="Arial"/>
          <w:sz w:val="22"/>
          <w:szCs w:val="22"/>
        </w:rPr>
        <w:t>um hemorrhage (</w:t>
      </w:r>
      <w:r w:rsidR="00481963" w:rsidRPr="00B40B11">
        <w:rPr>
          <w:rFonts w:ascii="Arial" w:hAnsi="Arial"/>
          <w:sz w:val="22"/>
          <w:szCs w:val="22"/>
        </w:rPr>
        <w:fldChar w:fldCharType="begin"/>
      </w:r>
      <w:r w:rsidR="00481963" w:rsidRPr="00B40B11">
        <w:rPr>
          <w:rFonts w:ascii="Arial" w:hAnsi="Arial"/>
          <w:sz w:val="22"/>
          <w:szCs w:val="22"/>
        </w:rPr>
        <w:instrText>HYPERLINK  \l "Bibliography"</w:instrText>
      </w:r>
      <w:r w:rsidR="00481963" w:rsidRPr="00B40B11">
        <w:rPr>
          <w:rFonts w:ascii="Arial" w:hAnsi="Arial"/>
          <w:sz w:val="22"/>
          <w:szCs w:val="22"/>
        </w:rPr>
      </w:r>
      <w:r w:rsidR="00481963" w:rsidRPr="00B40B11">
        <w:rPr>
          <w:rFonts w:ascii="Arial" w:hAnsi="Arial"/>
          <w:sz w:val="22"/>
          <w:szCs w:val="22"/>
        </w:rPr>
        <w:fldChar w:fldCharType="separate"/>
      </w:r>
      <w:r w:rsidR="00481963" w:rsidRPr="00B40B11">
        <w:rPr>
          <w:rStyle w:val="Hyperlink"/>
          <w:rFonts w:ascii="Arial" w:hAnsi="Arial"/>
          <w:sz w:val="22"/>
          <w:szCs w:val="22"/>
        </w:rPr>
        <w:t>5</w:t>
      </w:r>
      <w:r w:rsidR="00481963" w:rsidRPr="00B40B11">
        <w:rPr>
          <w:rFonts w:ascii="Arial" w:hAnsi="Arial"/>
          <w:sz w:val="22"/>
          <w:szCs w:val="22"/>
        </w:rPr>
        <w:fldChar w:fldCharType="end"/>
      </w:r>
      <w:r w:rsidR="00481963" w:rsidRPr="00B40B11">
        <w:rPr>
          <w:rFonts w:ascii="Arial" w:hAnsi="Arial"/>
          <w:sz w:val="22"/>
          <w:szCs w:val="22"/>
        </w:rPr>
        <w:t>)</w:t>
      </w:r>
      <w:r w:rsidRPr="00B40B11">
        <w:rPr>
          <w:rFonts w:ascii="Arial" w:hAnsi="Arial"/>
          <w:sz w:val="22"/>
          <w:szCs w:val="22"/>
        </w:rPr>
        <w:t xml:space="preserve">. </w:t>
      </w:r>
      <w:r w:rsidR="00B5057B" w:rsidRPr="00B40B11">
        <w:rPr>
          <w:rFonts w:ascii="Arial" w:hAnsi="Arial"/>
          <w:sz w:val="22"/>
          <w:szCs w:val="22"/>
        </w:rPr>
        <w:t>Roughly 3</w:t>
      </w:r>
      <w:r w:rsidR="00B5057B">
        <w:rPr>
          <w:rFonts w:ascii="Arial" w:hAnsi="Arial"/>
          <w:sz w:val="22"/>
          <w:szCs w:val="22"/>
        </w:rPr>
        <w:t xml:space="preserve">% of women with placenta previa develop </w:t>
      </w:r>
      <w:r w:rsidR="00B40B11">
        <w:rPr>
          <w:rFonts w:ascii="Arial" w:hAnsi="Arial"/>
          <w:sz w:val="22"/>
          <w:szCs w:val="22"/>
        </w:rPr>
        <w:t>placenta accreta spectrum in the same pregnancy, and this risk greatly rises after one or more cesarean sections (</w:t>
      </w:r>
      <w:hyperlink w:anchor="Bibliography" w:history="1">
        <w:r w:rsidR="00B40B11" w:rsidRPr="00B40B11">
          <w:rPr>
            <w:rStyle w:val="Hyperlink"/>
            <w:rFonts w:ascii="Arial" w:hAnsi="Arial"/>
            <w:sz w:val="22"/>
            <w:szCs w:val="22"/>
          </w:rPr>
          <w:t>12</w:t>
        </w:r>
      </w:hyperlink>
      <w:r w:rsidR="00B40B11">
        <w:rPr>
          <w:rFonts w:ascii="Arial" w:hAnsi="Arial"/>
          <w:sz w:val="22"/>
          <w:szCs w:val="22"/>
        </w:rPr>
        <w:t xml:space="preserve">).  For example, the risk of developing PAS with PP becomes 11% after two prior cesarean sections and </w:t>
      </w:r>
      <w:r w:rsidR="00482295">
        <w:rPr>
          <w:rFonts w:ascii="Arial" w:hAnsi="Arial"/>
          <w:sz w:val="22"/>
          <w:szCs w:val="22"/>
        </w:rPr>
        <w:t>increases</w:t>
      </w:r>
      <w:r w:rsidR="00B40B11">
        <w:rPr>
          <w:rFonts w:ascii="Arial" w:hAnsi="Arial"/>
          <w:sz w:val="22"/>
          <w:szCs w:val="22"/>
        </w:rPr>
        <w:t xml:space="preserve"> up to 67% after five or more cesarean sections</w:t>
      </w:r>
      <w:r w:rsidR="00482295">
        <w:rPr>
          <w:rFonts w:ascii="Arial" w:hAnsi="Arial"/>
          <w:sz w:val="22"/>
          <w:szCs w:val="22"/>
        </w:rPr>
        <w:t xml:space="preserve"> </w:t>
      </w:r>
      <w:r w:rsidR="00B40B11">
        <w:rPr>
          <w:rFonts w:ascii="Arial" w:hAnsi="Arial"/>
          <w:sz w:val="22"/>
          <w:szCs w:val="22"/>
        </w:rPr>
        <w:t>(</w:t>
      </w:r>
      <w:hyperlink w:anchor="Bibliography" w:history="1">
        <w:r w:rsidR="00B40B11" w:rsidRPr="00482295">
          <w:rPr>
            <w:rStyle w:val="Hyperlink"/>
            <w:rFonts w:ascii="Arial" w:hAnsi="Arial"/>
            <w:sz w:val="22"/>
            <w:szCs w:val="22"/>
          </w:rPr>
          <w:t>12</w:t>
        </w:r>
      </w:hyperlink>
      <w:r w:rsidR="00482295">
        <w:rPr>
          <w:rFonts w:ascii="Arial" w:hAnsi="Arial"/>
          <w:sz w:val="22"/>
          <w:szCs w:val="22"/>
        </w:rPr>
        <w:t>)</w:t>
      </w:r>
      <w:r w:rsidR="00B40B11">
        <w:rPr>
          <w:rFonts w:ascii="Arial" w:hAnsi="Arial"/>
          <w:sz w:val="22"/>
          <w:szCs w:val="22"/>
        </w:rPr>
        <w:t>.</w:t>
      </w:r>
      <w:r w:rsidR="00482295">
        <w:rPr>
          <w:rFonts w:ascii="Arial" w:hAnsi="Arial"/>
          <w:sz w:val="22"/>
          <w:szCs w:val="22"/>
        </w:rPr>
        <w:t xml:space="preserve"> </w:t>
      </w:r>
      <w:r>
        <w:rPr>
          <w:rFonts w:ascii="Arial" w:hAnsi="Arial"/>
          <w:sz w:val="22"/>
          <w:szCs w:val="22"/>
        </w:rPr>
        <w:t xml:space="preserve">Presently, an incomplete set of biomarkers has been established to aid in the critical early detection of these obstetric disorders and inform proactive treatment. Using an LLM (Large Language Model), we intend to establish an evolving knowledge base to quantify and profile currently studied multimodal biomarkers for placenta accreta and previa. The self-learning capability of LLM models </w:t>
      </w:r>
      <w:r w:rsidR="00CC1CF5">
        <w:rPr>
          <w:rFonts w:ascii="Arial" w:hAnsi="Arial"/>
          <w:sz w:val="22"/>
          <w:szCs w:val="22"/>
        </w:rPr>
        <w:t>allows</w:t>
      </w:r>
      <w:r>
        <w:rPr>
          <w:rFonts w:ascii="Arial" w:hAnsi="Arial"/>
          <w:sz w:val="22"/>
          <w:szCs w:val="22"/>
        </w:rPr>
        <w:t xml:space="preserve"> the repository at the heart of the knowledge base to be automatically improved monotonically, making the system adaptive and appropriate for further research applications. </w:t>
      </w:r>
    </w:p>
    <w:p w14:paraId="72DCFC80" w14:textId="77777777" w:rsidR="00605B8D" w:rsidRDefault="00605B8D">
      <w:pPr>
        <w:rPr>
          <w:rFonts w:ascii="Arial" w:hAnsi="Arial"/>
          <w:sz w:val="22"/>
          <w:szCs w:val="22"/>
        </w:rPr>
      </w:pPr>
    </w:p>
    <w:p w14:paraId="22CFA86C" w14:textId="4BC19577" w:rsidR="00605B8D" w:rsidRDefault="00000000">
      <w:pPr>
        <w:rPr>
          <w:rFonts w:ascii="Arial" w:hAnsi="Arial"/>
          <w:sz w:val="22"/>
          <w:szCs w:val="22"/>
        </w:rPr>
      </w:pPr>
      <w:r>
        <w:rPr>
          <w:rFonts w:ascii="Arial" w:hAnsi="Arial"/>
          <w:sz w:val="22"/>
          <w:szCs w:val="22"/>
        </w:rPr>
        <w:t>In addition, the continuing improvement and growing accessibility of generative AI (</w:t>
      </w:r>
      <w:r w:rsidR="00786F9D">
        <w:rPr>
          <w:rFonts w:ascii="Arial" w:hAnsi="Arial"/>
          <w:sz w:val="22"/>
          <w:szCs w:val="22"/>
        </w:rPr>
        <w:t>Artificial</w:t>
      </w:r>
      <w:r>
        <w:rPr>
          <w:rFonts w:ascii="Arial" w:hAnsi="Arial"/>
          <w:sz w:val="22"/>
          <w:szCs w:val="22"/>
        </w:rPr>
        <w:t xml:space="preserve"> Intelligence) models make them well-suited to function as personalized research assistants to complement “intelligent” human tasks, such as literature analysis, for automated efficiency and association discovery. However, because of the probabilistic nature of such models, ethical concerns regarding output accuracy, including its tendency to “hallucinate” information, have arisen; for example, nearly $67.4 billion in global business losses resulting from AI hallucinations occurred in 2024 (</w:t>
      </w:r>
      <w:hyperlink w:anchor="Bibliography">
        <w:r>
          <w:rPr>
            <w:rStyle w:val="Hyperlink"/>
            <w:rFonts w:ascii="Arial" w:hAnsi="Arial"/>
            <w:sz w:val="22"/>
            <w:szCs w:val="22"/>
          </w:rPr>
          <w:t>6</w:t>
        </w:r>
      </w:hyperlink>
      <w:r>
        <w:rPr>
          <w:rFonts w:ascii="Arial" w:hAnsi="Arial"/>
          <w:sz w:val="22"/>
          <w:szCs w:val="22"/>
        </w:rPr>
        <w:t xml:space="preserve">). To minimize these shortcomings, we want to create a framework for developing a governance strategy for an AI-powered research assistant to yield accurate profiles of multimodal biomarkers for placental disorders, using placenta accreta and placenta previa as the initial exploratory cases, derived from literature. Our developed governance strategy will constrain the model and serve as a measure of its success at completing tasks to ultimately obtain a valuable understanding of how AI tools can be better utilized in research and determine if building a Markdown-format knowledge base with a repository-based infrastructure is feasible given these currently available tools. </w:t>
      </w:r>
    </w:p>
    <w:p w14:paraId="137CFCB2" w14:textId="77777777" w:rsidR="00605B8D" w:rsidRDefault="00605B8D">
      <w:pPr>
        <w:rPr>
          <w:rFonts w:ascii="Arial" w:hAnsi="Arial"/>
          <w:b/>
          <w:bCs/>
          <w:sz w:val="22"/>
          <w:szCs w:val="22"/>
        </w:rPr>
      </w:pPr>
    </w:p>
    <w:p w14:paraId="3CF6FAC0" w14:textId="0B769D57" w:rsidR="00605B8D" w:rsidRDefault="00000000">
      <w:pPr>
        <w:contextualSpacing/>
      </w:pPr>
      <w:r>
        <w:rPr>
          <w:rFonts w:ascii="Arial" w:hAnsi="Arial"/>
          <w:b/>
          <w:bCs/>
          <w:sz w:val="22"/>
          <w:szCs w:val="22"/>
        </w:rPr>
        <w:t xml:space="preserve">Methods: </w:t>
      </w:r>
      <w:r>
        <w:rPr>
          <w:rFonts w:ascii="Arial" w:hAnsi="Arial"/>
          <w:sz w:val="22"/>
          <w:szCs w:val="22"/>
        </w:rPr>
        <w:t xml:space="preserve">The concept used to develop the LLM (Large Language Model) knowledge base was originally pioneered by Andrej Karpathy in </w:t>
      </w:r>
      <w:r w:rsidR="00CC1CF5">
        <w:rPr>
          <w:rFonts w:ascii="Arial" w:hAnsi="Arial"/>
          <w:sz w:val="22"/>
          <w:szCs w:val="22"/>
        </w:rPr>
        <w:t>April</w:t>
      </w:r>
      <w:r>
        <w:rPr>
          <w:rFonts w:ascii="Arial" w:hAnsi="Arial"/>
          <w:sz w:val="22"/>
          <w:szCs w:val="22"/>
        </w:rPr>
        <w:t xml:space="preserve"> 2026. The knowledge base, powered by an LLM using </w:t>
      </w:r>
      <w:r>
        <w:rPr>
          <w:rFonts w:ascii="Arial" w:hAnsi="Arial"/>
          <w:sz w:val="22"/>
          <w:szCs w:val="22"/>
        </w:rPr>
        <w:lastRenderedPageBreak/>
        <w:t>Markdown files, “incrementally builds and maintains a persistent [repository]” rather than simply retrieving sources and re-deriving information from them to generate a response, as is the case with traditional RAG (Retrieval-Augmented Generation) systems (</w:t>
      </w:r>
      <w:r>
        <w:fldChar w:fldCharType="begin"/>
      </w:r>
      <w:r w:rsidR="000E614B">
        <w:instrText xml:space="preserve">HYPERLINK  \l "Bibliography" \h </w:instrText>
      </w:r>
      <w:r>
        <w:fldChar w:fldCharType="separate"/>
      </w:r>
      <w:r>
        <w:rPr>
          <w:rStyle w:val="Hyperlink"/>
          <w:rFonts w:ascii="Arial" w:hAnsi="Arial"/>
          <w:sz w:val="22"/>
          <w:szCs w:val="22"/>
        </w:rPr>
        <w:t>7</w:t>
      </w:r>
      <w:r>
        <w:fldChar w:fldCharType="end"/>
      </w:r>
      <w:r>
        <w:rPr>
          <w:rFonts w:ascii="Arial" w:hAnsi="Arial"/>
          <w:sz w:val="22"/>
          <w:szCs w:val="22"/>
        </w:rPr>
        <w:t>). The architecture of the system is composed of raw sources/data, the repository itself, and the context file (</w:t>
      </w:r>
      <w:hyperlink w:anchor="Bibliography">
        <w:r>
          <w:rPr>
            <w:rStyle w:val="Hyperlink"/>
            <w:rFonts w:ascii="Arial" w:hAnsi="Arial"/>
            <w:sz w:val="22"/>
            <w:szCs w:val="22"/>
          </w:rPr>
          <w:t>7</w:t>
        </w:r>
      </w:hyperlink>
      <w:r>
        <w:rPr>
          <w:rFonts w:ascii="Arial" w:hAnsi="Arial"/>
          <w:sz w:val="22"/>
          <w:szCs w:val="22"/>
        </w:rPr>
        <w:t xml:space="preserve">). Like Karpathy, we have elected to use Claude Code (Sonnet 5) as our AI agent; and Obsidian to organize, view, store, and modify the repository. </w:t>
      </w:r>
    </w:p>
    <w:p w14:paraId="69FE7987" w14:textId="77777777" w:rsidR="00605B8D" w:rsidRDefault="00605B8D"/>
    <w:p w14:paraId="628931D1" w14:textId="2757B4E6" w:rsidR="00605B8D" w:rsidRDefault="00000000">
      <w:pPr>
        <w:rPr>
          <w:rFonts w:ascii="Arial" w:hAnsi="Arial"/>
          <w:b/>
          <w:bCs/>
          <w:sz w:val="22"/>
          <w:szCs w:val="22"/>
        </w:rPr>
      </w:pPr>
      <w:r>
        <w:rPr>
          <w:rFonts w:ascii="Arial" w:hAnsi="Arial"/>
          <w:sz w:val="22"/>
          <w:szCs w:val="22"/>
        </w:rPr>
        <w:t xml:space="preserve">Firstly, to create a representative corpus of literature pertaining to multimodal biomarkers for </w:t>
      </w:r>
      <w:proofErr w:type="gramStart"/>
      <w:r>
        <w:rPr>
          <w:rFonts w:ascii="Arial" w:hAnsi="Arial"/>
          <w:sz w:val="22"/>
          <w:szCs w:val="22"/>
        </w:rPr>
        <w:t>the placental</w:t>
      </w:r>
      <w:proofErr w:type="gramEnd"/>
      <w:r>
        <w:rPr>
          <w:rFonts w:ascii="Arial" w:hAnsi="Arial"/>
          <w:sz w:val="22"/>
          <w:szCs w:val="22"/>
        </w:rPr>
        <w:t xml:space="preserve"> disorders, we conducted a thorough PubMed literature search using appropriate </w:t>
      </w:r>
      <w:proofErr w:type="spellStart"/>
      <w:r>
        <w:rPr>
          <w:rFonts w:ascii="Arial" w:hAnsi="Arial"/>
          <w:sz w:val="22"/>
          <w:szCs w:val="22"/>
        </w:rPr>
        <w:t>MeSH</w:t>
      </w:r>
      <w:proofErr w:type="spellEnd"/>
      <w:r>
        <w:rPr>
          <w:rFonts w:ascii="Arial" w:hAnsi="Arial"/>
          <w:sz w:val="22"/>
          <w:szCs w:val="22"/>
        </w:rPr>
        <w:t xml:space="preserve"> terms and filters. For reference, we define a biomarker as ”an objective measure that captures what is happening in a cell or an organism at a given moment” (</w:t>
      </w:r>
      <w:hyperlink w:anchor="Bibliography">
        <w:r>
          <w:rPr>
            <w:rStyle w:val="Hyperlink"/>
            <w:rFonts w:ascii="Arial" w:hAnsi="Arial"/>
            <w:sz w:val="22"/>
            <w:szCs w:val="22"/>
          </w:rPr>
          <w:t>8</w:t>
        </w:r>
      </w:hyperlink>
      <w:r>
        <w:rPr>
          <w:rFonts w:ascii="Arial" w:hAnsi="Arial"/>
          <w:sz w:val="22"/>
          <w:szCs w:val="22"/>
        </w:rPr>
        <w:t xml:space="preserve">); we used this definition to select relevant papers. The final literature pool contained 30 papers. Afterward, a file structure was created in Obsidian (but stored locally), modeled after James Keet’s tutorial on recreating </w:t>
      </w:r>
      <w:proofErr w:type="spellStart"/>
      <w:r>
        <w:rPr>
          <w:rFonts w:ascii="Arial" w:hAnsi="Arial"/>
          <w:sz w:val="22"/>
          <w:szCs w:val="22"/>
        </w:rPr>
        <w:t>Karpathy’s</w:t>
      </w:r>
      <w:proofErr w:type="spellEnd"/>
      <w:r>
        <w:rPr>
          <w:rFonts w:ascii="Arial" w:hAnsi="Arial"/>
          <w:sz w:val="22"/>
          <w:szCs w:val="22"/>
        </w:rPr>
        <w:t xml:space="preserve"> LLM knowledge base (</w:t>
      </w:r>
      <w:hyperlink w:anchor="Bibliography">
        <w:r>
          <w:rPr>
            <w:rStyle w:val="Hyperlink"/>
            <w:rFonts w:ascii="Arial" w:hAnsi="Arial"/>
            <w:sz w:val="22"/>
            <w:szCs w:val="22"/>
          </w:rPr>
          <w:t>9</w:t>
        </w:r>
      </w:hyperlink>
      <w:r>
        <w:rPr>
          <w:rFonts w:ascii="Arial" w:hAnsi="Arial"/>
          <w:sz w:val="22"/>
          <w:szCs w:val="22"/>
        </w:rPr>
        <w:t xml:space="preserve">). Each biomarker is also given a page in the knowledge base as they are discovered and extracted from </w:t>
      </w:r>
      <w:proofErr w:type="gramStart"/>
      <w:r w:rsidR="00CC1CF5">
        <w:rPr>
          <w:rFonts w:ascii="Arial" w:hAnsi="Arial"/>
          <w:sz w:val="22"/>
          <w:szCs w:val="22"/>
        </w:rPr>
        <w:t>the literature</w:t>
      </w:r>
      <w:proofErr w:type="gramEnd"/>
      <w:r>
        <w:rPr>
          <w:rFonts w:ascii="Arial" w:hAnsi="Arial"/>
          <w:sz w:val="22"/>
          <w:szCs w:val="22"/>
        </w:rPr>
        <w:t xml:space="preserve"> with this structure. </w:t>
      </w:r>
    </w:p>
    <w:p w14:paraId="44490FD8" w14:textId="77777777" w:rsidR="00605B8D" w:rsidRDefault="00605B8D"/>
    <w:p w14:paraId="41F1A10B" w14:textId="058D6D79" w:rsidR="00605B8D" w:rsidRDefault="00000000">
      <w:pPr>
        <w:rPr>
          <w:rFonts w:ascii="Arial" w:hAnsi="Arial"/>
          <w:sz w:val="22"/>
          <w:szCs w:val="22"/>
        </w:rPr>
      </w:pPr>
      <w:r>
        <w:rPr>
          <w:rFonts w:ascii="Arial" w:hAnsi="Arial"/>
          <w:sz w:val="22"/>
          <w:szCs w:val="22"/>
        </w:rPr>
        <w:t xml:space="preserve">Next, the context file, which serves as the governance and configuration strategy for implementing guardrails that prevent hallucinations and falsely interpreted or represented data, was developed into a global CLAUDE.md file in keeping with </w:t>
      </w:r>
      <w:proofErr w:type="spellStart"/>
      <w:r>
        <w:rPr>
          <w:rFonts w:ascii="Arial" w:hAnsi="Arial"/>
          <w:sz w:val="22"/>
          <w:szCs w:val="22"/>
        </w:rPr>
        <w:t>Karpathy’s</w:t>
      </w:r>
      <w:proofErr w:type="spellEnd"/>
      <w:r>
        <w:rPr>
          <w:rFonts w:ascii="Arial" w:hAnsi="Arial"/>
          <w:sz w:val="22"/>
          <w:szCs w:val="22"/>
        </w:rPr>
        <w:t xml:space="preserve"> outline for this layer of the architecture. This document is read by Claude at the beginning of every session to “remember” the project and its specifications. CLAUDE.md currently contains information about the project, folder structure, “ingest” and “lint” method workflows, output format, citation rules, procedure regarding question answering, and general rules. It uses rules and biases to tell the model how to interpret raw data, organize and store processed data, reason, maintain the repository, and output accurate information. Claude was asked to create a YAML document to structure the knowledge base and force a hierarchical presentation of categories and subcategories of the information. A corresponding rule was included in CLAUDE.md instructing Claude to update this document after every ingest as part of regular </w:t>
      </w:r>
      <w:r w:rsidR="00786F9D">
        <w:rPr>
          <w:rFonts w:ascii="Arial" w:hAnsi="Arial"/>
          <w:sz w:val="22"/>
          <w:szCs w:val="22"/>
        </w:rPr>
        <w:t>maintenance</w:t>
      </w:r>
      <w:r>
        <w:rPr>
          <w:rFonts w:ascii="Arial" w:hAnsi="Arial"/>
          <w:sz w:val="22"/>
          <w:szCs w:val="22"/>
        </w:rPr>
        <w:t>. The broader purpose of this rule is to dictate the data serialization format used for storing, processing, and outputting data to consume fewer tokens and preserve performance. YAML was chosen specifically because of its easily human-readable syntax. We used James Keet’s template as a starting point on which to develop our global CLAUDE.md  (</w:t>
      </w:r>
      <w:hyperlink w:anchor="Bibliography">
        <w:r>
          <w:rPr>
            <w:rStyle w:val="Hyperlink"/>
            <w:rFonts w:ascii="Arial" w:hAnsi="Arial"/>
            <w:sz w:val="22"/>
            <w:szCs w:val="22"/>
          </w:rPr>
          <w:t>10</w:t>
        </w:r>
      </w:hyperlink>
      <w:r>
        <w:rPr>
          <w:rFonts w:ascii="Arial" w:hAnsi="Arial"/>
          <w:sz w:val="22"/>
          <w:szCs w:val="22"/>
        </w:rPr>
        <w:t xml:space="preserve">). The context file is designed to be the only aspect of the knowledge base that the human manually modifies, thus keeping human-side maintenance low – although this can also be automated to further reduce human intervention, if desired. </w:t>
      </w:r>
    </w:p>
    <w:p w14:paraId="6DBBF916" w14:textId="77777777" w:rsidR="00605B8D" w:rsidRDefault="00000000">
      <w:pPr>
        <w:rPr>
          <w:rFonts w:ascii="Arial" w:hAnsi="Arial"/>
          <w:sz w:val="22"/>
          <w:szCs w:val="22"/>
        </w:rPr>
      </w:pPr>
      <w:r>
        <w:rPr>
          <w:rFonts w:ascii="Arial" w:hAnsi="Arial"/>
          <w:sz w:val="22"/>
          <w:szCs w:val="22"/>
        </w:rPr>
        <w:t xml:space="preserve">                                                                                                                                                                                                                                                                                                                                                                                                                                                                                                                                                              </w:t>
      </w:r>
    </w:p>
    <w:p w14:paraId="5F4FB5E1" w14:textId="6FBF849F" w:rsidR="00605B8D" w:rsidRDefault="00000000">
      <w:pPr>
        <w:rPr>
          <w:rFonts w:ascii="Arial" w:hAnsi="Arial"/>
          <w:sz w:val="22"/>
          <w:szCs w:val="22"/>
        </w:rPr>
      </w:pPr>
      <w:r>
        <w:rPr>
          <w:rFonts w:ascii="Arial" w:hAnsi="Arial"/>
          <w:sz w:val="22"/>
          <w:szCs w:val="22"/>
        </w:rPr>
        <w:t xml:space="preserve">To allow Claude Code to read and modify the project files, we invoked (the desktop application of) Claude in Windows </w:t>
      </w:r>
      <w:r w:rsidR="00786F9D">
        <w:rPr>
          <w:rFonts w:ascii="Arial" w:hAnsi="Arial"/>
          <w:sz w:val="22"/>
          <w:szCs w:val="22"/>
        </w:rPr>
        <w:t>PowerShell</w:t>
      </w:r>
      <w:r>
        <w:rPr>
          <w:rFonts w:ascii="Arial" w:hAnsi="Arial"/>
          <w:sz w:val="22"/>
          <w:szCs w:val="22"/>
        </w:rPr>
        <w:t xml:space="preserve"> after orientating to the correct root directory using the “cd” command. At first, Claude could not be invoked because the software was not installed within the shell’s default search path; this problem was fixed by manually adding it to the search path using the following steps: System Properties -&gt; Environmental Variables -&gt; Path -&gt; New -&gt; add Claude’s path. The repository was initially created using two sources by adding the PDFs of the papers to our designated raw data folder and prompting Claude to ingest them. As described in CLAUDE.md, the “ingest” action involves reading the material provided and updating the repository accordingly with biomarker pages, mechanism pages, and required index.md and log.md modifications. After ensuring that the performance of CLAUDE.md was satisfactory, we added the rest of the source literature, also in PDF format, in batches and prompted Claude to “ingest” each batch. This process was done for </w:t>
      </w:r>
      <w:r w:rsidR="00CC1CF5">
        <w:rPr>
          <w:rFonts w:ascii="Arial" w:hAnsi="Arial"/>
          <w:sz w:val="22"/>
          <w:szCs w:val="22"/>
        </w:rPr>
        <w:t>all</w:t>
      </w:r>
      <w:r>
        <w:rPr>
          <w:rFonts w:ascii="Arial" w:hAnsi="Arial"/>
          <w:sz w:val="22"/>
          <w:szCs w:val="22"/>
        </w:rPr>
        <w:t xml:space="preserve"> our raw data and resulted in a small-scale, preliminary knowledge base for biomarkers of abnormal placentation disorders. For our statistical analysis, we conducted a count of the references to each of the extracted biomarkers, where the maximum count a biomarker could have is the number of total papers or raw data – which, in our study, is 30. Lastly, the Obsidian community plugin, Simple Graph Builder by </w:t>
      </w:r>
      <w:proofErr w:type="spellStart"/>
      <w:r>
        <w:rPr>
          <w:rFonts w:ascii="Arial" w:hAnsi="Arial"/>
          <w:sz w:val="22"/>
          <w:szCs w:val="22"/>
        </w:rPr>
        <w:t>junhewk</w:t>
      </w:r>
      <w:proofErr w:type="spellEnd"/>
      <w:r>
        <w:rPr>
          <w:rFonts w:ascii="Arial" w:hAnsi="Arial"/>
          <w:sz w:val="22"/>
          <w:szCs w:val="22"/>
        </w:rPr>
        <w:t xml:space="preserve"> (</w:t>
      </w:r>
      <w:hyperlink w:anchor="Bibliography">
        <w:r>
          <w:rPr>
            <w:rStyle w:val="Hyperlink"/>
            <w:rFonts w:ascii="Arial" w:hAnsi="Arial"/>
            <w:sz w:val="22"/>
            <w:szCs w:val="22"/>
          </w:rPr>
          <w:t>11</w:t>
        </w:r>
      </w:hyperlink>
      <w:r>
        <w:rPr>
          <w:rFonts w:ascii="Arial" w:hAnsi="Arial"/>
          <w:sz w:val="22"/>
          <w:szCs w:val="22"/>
        </w:rPr>
        <w:t>) was then used with a Claude API key to generate a knowledge graph we used to extract useful gaps and associations from the repository.</w:t>
      </w:r>
    </w:p>
    <w:p w14:paraId="1001605E" w14:textId="77777777" w:rsidR="00605B8D" w:rsidRDefault="00605B8D">
      <w:pPr>
        <w:rPr>
          <w:rFonts w:ascii="Arial" w:hAnsi="Arial"/>
          <w:sz w:val="22"/>
          <w:szCs w:val="22"/>
        </w:rPr>
      </w:pPr>
    </w:p>
    <w:p w14:paraId="1FDAB1A5" w14:textId="77777777" w:rsidR="00605B8D" w:rsidRDefault="00000000">
      <w:pPr>
        <w:rPr>
          <w:rFonts w:ascii="Arial" w:hAnsi="Arial"/>
          <w:sz w:val="22"/>
          <w:szCs w:val="22"/>
        </w:rPr>
      </w:pPr>
      <w:r>
        <w:rPr>
          <w:rFonts w:ascii="Arial" w:hAnsi="Arial"/>
          <w:sz w:val="22"/>
          <w:szCs w:val="22"/>
        </w:rPr>
        <w:lastRenderedPageBreak/>
        <w:t>Due to our small literature corpus, we combined manual validation and LLM-as-a-judge techniques to evaluate the accuracy of the AI-generated output, extractions, and inferences. The rubric we used to evaluate responses is described below:</w:t>
      </w:r>
    </w:p>
    <w:p w14:paraId="23DDC2F6" w14:textId="47A8A034" w:rsidR="00605B8D" w:rsidRDefault="00000000">
      <w:pPr>
        <w:numPr>
          <w:ilvl w:val="0"/>
          <w:numId w:val="1"/>
        </w:numPr>
      </w:pPr>
      <w:r>
        <w:rPr>
          <w:rFonts w:ascii="Arial" w:hAnsi="Arial"/>
          <w:sz w:val="22"/>
          <w:szCs w:val="22"/>
        </w:rPr>
        <w:t xml:space="preserve">The five following categories of evaluation were established to capture </w:t>
      </w:r>
      <w:r w:rsidR="00786F9D">
        <w:rPr>
          <w:rFonts w:ascii="Arial" w:hAnsi="Arial"/>
          <w:sz w:val="22"/>
          <w:szCs w:val="22"/>
        </w:rPr>
        <w:t>multiple</w:t>
      </w:r>
      <w:r>
        <w:rPr>
          <w:rFonts w:ascii="Arial" w:hAnsi="Arial"/>
          <w:sz w:val="22"/>
          <w:szCs w:val="22"/>
        </w:rPr>
        <w:t xml:space="preserve"> aspects of and gauge the overall quality of the information: Accuracy, Relevance, Clarity, Completeness, and Falsity. </w:t>
      </w:r>
    </w:p>
    <w:p w14:paraId="0D8D1DCE" w14:textId="77777777" w:rsidR="00605B8D" w:rsidRDefault="00000000">
      <w:pPr>
        <w:numPr>
          <w:ilvl w:val="1"/>
          <w:numId w:val="1"/>
        </w:numPr>
        <w:rPr>
          <w:rFonts w:ascii="Arial" w:hAnsi="Arial"/>
          <w:sz w:val="22"/>
          <w:szCs w:val="22"/>
        </w:rPr>
      </w:pPr>
      <w:r>
        <w:rPr>
          <w:rFonts w:ascii="Arial" w:hAnsi="Arial"/>
          <w:sz w:val="22"/>
          <w:szCs w:val="22"/>
        </w:rPr>
        <w:t xml:space="preserve">Accuracy: a qualitative estimate of whether the knowledge from the source material is appropriately documented without misinterpretation in the AI-generated response. </w:t>
      </w:r>
    </w:p>
    <w:p w14:paraId="79BD116B" w14:textId="0C294B73" w:rsidR="00605B8D" w:rsidRDefault="00000000">
      <w:pPr>
        <w:numPr>
          <w:ilvl w:val="1"/>
          <w:numId w:val="1"/>
        </w:numPr>
        <w:rPr>
          <w:rFonts w:ascii="Arial" w:hAnsi="Arial"/>
          <w:sz w:val="22"/>
          <w:szCs w:val="22"/>
        </w:rPr>
      </w:pPr>
      <w:r>
        <w:rPr>
          <w:rFonts w:ascii="Arial" w:hAnsi="Arial"/>
          <w:sz w:val="22"/>
          <w:szCs w:val="22"/>
        </w:rPr>
        <w:t xml:space="preserve">Relevance: a qualitative estimate of how faithfully an AI-generated output retrieved content from the source </w:t>
      </w:r>
      <w:r w:rsidR="000E614B">
        <w:rPr>
          <w:rFonts w:ascii="Arial" w:hAnsi="Arial"/>
          <w:sz w:val="22"/>
          <w:szCs w:val="22"/>
        </w:rPr>
        <w:t>regarding</w:t>
      </w:r>
      <w:r>
        <w:rPr>
          <w:rFonts w:ascii="Arial" w:hAnsi="Arial"/>
          <w:sz w:val="22"/>
          <w:szCs w:val="22"/>
        </w:rPr>
        <w:t xml:space="preserve"> the </w:t>
      </w:r>
      <w:r w:rsidR="005C4EC1">
        <w:rPr>
          <w:rFonts w:ascii="Arial" w:hAnsi="Arial"/>
          <w:sz w:val="22"/>
          <w:szCs w:val="22"/>
        </w:rPr>
        <w:t>scope</w:t>
      </w:r>
      <w:r>
        <w:rPr>
          <w:rFonts w:ascii="Arial" w:hAnsi="Arial"/>
          <w:sz w:val="22"/>
          <w:szCs w:val="22"/>
        </w:rPr>
        <w:t xml:space="preserve"> of the repository and the source material. </w:t>
      </w:r>
    </w:p>
    <w:p w14:paraId="65522ECE" w14:textId="3F55E9DF" w:rsidR="00605B8D" w:rsidRDefault="00000000">
      <w:pPr>
        <w:numPr>
          <w:ilvl w:val="1"/>
          <w:numId w:val="1"/>
        </w:numPr>
        <w:rPr>
          <w:rFonts w:ascii="Arial" w:hAnsi="Arial"/>
          <w:sz w:val="22"/>
          <w:szCs w:val="22"/>
        </w:rPr>
      </w:pPr>
      <w:r>
        <w:rPr>
          <w:rFonts w:ascii="Arial" w:hAnsi="Arial"/>
          <w:sz w:val="22"/>
          <w:szCs w:val="22"/>
        </w:rPr>
        <w:t xml:space="preserve">Clarity: a qualitative estimate of how concisely and unambiguously an AI-generated response is written. </w:t>
      </w:r>
      <w:r w:rsidR="00327D19">
        <w:rPr>
          <w:rFonts w:ascii="Arial" w:hAnsi="Arial"/>
          <w:sz w:val="22"/>
          <w:szCs w:val="22"/>
        </w:rPr>
        <w:t xml:space="preserve">This category </w:t>
      </w:r>
      <w:r>
        <w:rPr>
          <w:rFonts w:ascii="Arial" w:hAnsi="Arial"/>
          <w:sz w:val="22"/>
          <w:szCs w:val="22"/>
        </w:rPr>
        <w:t>focu</w:t>
      </w:r>
      <w:r w:rsidR="00327D19">
        <w:rPr>
          <w:rFonts w:ascii="Arial" w:hAnsi="Arial"/>
          <w:sz w:val="22"/>
          <w:szCs w:val="22"/>
        </w:rPr>
        <w:t>ses</w:t>
      </w:r>
      <w:r>
        <w:rPr>
          <w:rFonts w:ascii="Arial" w:hAnsi="Arial"/>
          <w:sz w:val="22"/>
          <w:szCs w:val="22"/>
        </w:rPr>
        <w:t xml:space="preserve"> on writing quality</w:t>
      </w:r>
      <w:r w:rsidR="00327D19">
        <w:rPr>
          <w:rFonts w:ascii="Arial" w:hAnsi="Arial"/>
          <w:sz w:val="22"/>
          <w:szCs w:val="22"/>
        </w:rPr>
        <w:t xml:space="preserve"> of the response.</w:t>
      </w:r>
      <w:r>
        <w:rPr>
          <w:rFonts w:ascii="Arial" w:hAnsi="Arial"/>
          <w:sz w:val="22"/>
          <w:szCs w:val="22"/>
        </w:rPr>
        <w:t xml:space="preserve"> </w:t>
      </w:r>
    </w:p>
    <w:p w14:paraId="298B9029" w14:textId="77C3C973" w:rsidR="00B76A37" w:rsidRDefault="00000000" w:rsidP="00B76A37">
      <w:pPr>
        <w:numPr>
          <w:ilvl w:val="1"/>
          <w:numId w:val="1"/>
        </w:numPr>
        <w:rPr>
          <w:rFonts w:ascii="Arial" w:hAnsi="Arial"/>
          <w:sz w:val="22"/>
          <w:szCs w:val="22"/>
        </w:rPr>
      </w:pPr>
      <w:r>
        <w:rPr>
          <w:rFonts w:ascii="Arial" w:hAnsi="Arial"/>
          <w:sz w:val="22"/>
          <w:szCs w:val="22"/>
        </w:rPr>
        <w:t>Completeness: a quantitative estimate measuring how many facts or key points of information were extracted from the source material and included in the AI-generated response.</w:t>
      </w:r>
    </w:p>
    <w:p w14:paraId="7C025B07" w14:textId="3614D52F" w:rsidR="00D54499" w:rsidRPr="00B76A37" w:rsidRDefault="00D54499" w:rsidP="00D54499">
      <w:pPr>
        <w:numPr>
          <w:ilvl w:val="2"/>
          <w:numId w:val="1"/>
        </w:numPr>
        <w:rPr>
          <w:rFonts w:ascii="Arial" w:hAnsi="Arial"/>
          <w:sz w:val="22"/>
          <w:szCs w:val="22"/>
        </w:rPr>
      </w:pPr>
      <w:r>
        <w:rPr>
          <w:rFonts w:ascii="Arial" w:hAnsi="Arial"/>
          <w:sz w:val="22"/>
          <w:szCs w:val="22"/>
        </w:rPr>
        <w:t xml:space="preserve">For example, </w:t>
      </w:r>
      <w:r w:rsidR="0072368E">
        <w:rPr>
          <w:rFonts w:ascii="Arial" w:hAnsi="Arial"/>
          <w:sz w:val="22"/>
          <w:szCs w:val="22"/>
        </w:rPr>
        <w:t xml:space="preserve">responses where </w:t>
      </w:r>
      <w:r>
        <w:rPr>
          <w:rFonts w:ascii="Arial" w:hAnsi="Arial"/>
          <w:sz w:val="22"/>
          <w:szCs w:val="22"/>
        </w:rPr>
        <w:t xml:space="preserve">all facts from the original source </w:t>
      </w:r>
      <w:r w:rsidR="0072368E">
        <w:rPr>
          <w:rFonts w:ascii="Arial" w:hAnsi="Arial"/>
          <w:sz w:val="22"/>
          <w:szCs w:val="22"/>
        </w:rPr>
        <w:t>are</w:t>
      </w:r>
      <w:r>
        <w:rPr>
          <w:rFonts w:ascii="Arial" w:hAnsi="Arial"/>
          <w:sz w:val="22"/>
          <w:szCs w:val="22"/>
        </w:rPr>
        <w:t xml:space="preserve"> present (100%) </w:t>
      </w:r>
      <w:r w:rsidR="0072368E">
        <w:rPr>
          <w:rFonts w:ascii="Arial" w:hAnsi="Arial"/>
          <w:sz w:val="22"/>
          <w:szCs w:val="22"/>
        </w:rPr>
        <w:t xml:space="preserve">are given </w:t>
      </w:r>
      <w:r>
        <w:rPr>
          <w:rFonts w:ascii="Arial" w:hAnsi="Arial"/>
          <w:sz w:val="22"/>
          <w:szCs w:val="22"/>
        </w:rPr>
        <w:t xml:space="preserve">the highest score, </w:t>
      </w:r>
      <w:r w:rsidR="0072368E">
        <w:rPr>
          <w:rFonts w:ascii="Arial" w:hAnsi="Arial"/>
          <w:sz w:val="22"/>
          <w:szCs w:val="22"/>
        </w:rPr>
        <w:t>whereas responses with</w:t>
      </w:r>
      <w:r>
        <w:rPr>
          <w:rFonts w:ascii="Arial" w:hAnsi="Arial"/>
          <w:sz w:val="22"/>
          <w:szCs w:val="22"/>
        </w:rPr>
        <w:t xml:space="preserve"> less than half of the facts (</w:t>
      </w:r>
      <w:r w:rsidR="0072368E">
        <w:rPr>
          <w:rFonts w:ascii="Arial" w:hAnsi="Arial" w:cs="Arial"/>
          <w:sz w:val="22"/>
          <w:szCs w:val="22"/>
        </w:rPr>
        <w:t>≤</w:t>
      </w:r>
      <w:r w:rsidR="0072368E">
        <w:rPr>
          <w:rFonts w:ascii="Arial" w:hAnsi="Arial"/>
          <w:sz w:val="22"/>
          <w:szCs w:val="22"/>
        </w:rPr>
        <w:t xml:space="preserve"> </w:t>
      </w:r>
      <w:r>
        <w:rPr>
          <w:rFonts w:ascii="Arial" w:hAnsi="Arial"/>
          <w:sz w:val="22"/>
          <w:szCs w:val="22"/>
        </w:rPr>
        <w:t xml:space="preserve">50%) </w:t>
      </w:r>
      <w:r w:rsidR="0072368E">
        <w:rPr>
          <w:rFonts w:ascii="Arial" w:hAnsi="Arial"/>
          <w:sz w:val="22"/>
          <w:szCs w:val="22"/>
        </w:rPr>
        <w:t>are given</w:t>
      </w:r>
      <w:r>
        <w:rPr>
          <w:rFonts w:ascii="Arial" w:hAnsi="Arial"/>
          <w:sz w:val="22"/>
          <w:szCs w:val="22"/>
        </w:rPr>
        <w:t xml:space="preserve"> the lowest score. </w:t>
      </w:r>
    </w:p>
    <w:p w14:paraId="0CB61ABB" w14:textId="68321502" w:rsidR="007B6284" w:rsidRDefault="00000000" w:rsidP="007B6284">
      <w:pPr>
        <w:numPr>
          <w:ilvl w:val="1"/>
          <w:numId w:val="1"/>
        </w:numPr>
        <w:rPr>
          <w:rFonts w:ascii="Arial" w:hAnsi="Arial"/>
          <w:sz w:val="22"/>
          <w:szCs w:val="22"/>
        </w:rPr>
      </w:pPr>
      <w:r>
        <w:rPr>
          <w:rFonts w:ascii="Arial" w:hAnsi="Arial"/>
          <w:sz w:val="22"/>
          <w:szCs w:val="22"/>
        </w:rPr>
        <w:t xml:space="preserve">Falsity: a mostly quantitative estimate of how many hallucinations are present and detected in an AI-generated response. </w:t>
      </w:r>
    </w:p>
    <w:p w14:paraId="224ACB88" w14:textId="3822FF0B" w:rsidR="00D54499" w:rsidRPr="007B6284" w:rsidRDefault="00D54499" w:rsidP="00D54499">
      <w:pPr>
        <w:numPr>
          <w:ilvl w:val="2"/>
          <w:numId w:val="1"/>
        </w:numPr>
        <w:rPr>
          <w:rFonts w:ascii="Arial" w:hAnsi="Arial"/>
          <w:sz w:val="22"/>
          <w:szCs w:val="22"/>
        </w:rPr>
      </w:pPr>
      <w:r>
        <w:rPr>
          <w:rFonts w:ascii="Arial" w:hAnsi="Arial"/>
          <w:sz w:val="22"/>
          <w:szCs w:val="22"/>
        </w:rPr>
        <w:t xml:space="preserve">For example, no hallucinations yield the highest score, while two or more yield the lowest score. </w:t>
      </w:r>
    </w:p>
    <w:p w14:paraId="1D529216" w14:textId="77777777" w:rsidR="00605B8D" w:rsidRDefault="00000000">
      <w:pPr>
        <w:numPr>
          <w:ilvl w:val="0"/>
          <w:numId w:val="1"/>
        </w:numPr>
      </w:pPr>
      <w:r>
        <w:rPr>
          <w:rFonts w:ascii="Arial" w:hAnsi="Arial"/>
          <w:sz w:val="22"/>
          <w:szCs w:val="22"/>
        </w:rPr>
        <w:t xml:space="preserve">Four prompts, each pertaining to a prompting strategy (contextual, non-contextual, argumentative, or querying) used with the AI evaluator, were provided for each category to broadly include as many possible interpretations of the response by the AI as possible. . </w:t>
      </w:r>
    </w:p>
    <w:p w14:paraId="03BB1ED4" w14:textId="77777777" w:rsidR="00605B8D" w:rsidRDefault="00000000">
      <w:pPr>
        <w:numPr>
          <w:ilvl w:val="0"/>
          <w:numId w:val="1"/>
        </w:numPr>
        <w:rPr>
          <w:rFonts w:ascii="Arial" w:hAnsi="Arial"/>
          <w:sz w:val="22"/>
          <w:szCs w:val="22"/>
        </w:rPr>
      </w:pPr>
      <w:r>
        <w:rPr>
          <w:rFonts w:ascii="Arial" w:hAnsi="Arial"/>
          <w:sz w:val="22"/>
          <w:szCs w:val="22"/>
        </w:rPr>
        <w:t xml:space="preserve">The response being evaluated receives either a “PASS” or a “FAIL” for each category. </w:t>
      </w:r>
    </w:p>
    <w:p w14:paraId="3C9A4D69" w14:textId="77777777" w:rsidR="00605B8D" w:rsidRDefault="00000000" w:rsidP="00022753">
      <w:pPr>
        <w:numPr>
          <w:ilvl w:val="1"/>
          <w:numId w:val="1"/>
        </w:numPr>
        <w:rPr>
          <w:rFonts w:ascii="Arial" w:hAnsi="Arial"/>
          <w:sz w:val="22"/>
          <w:szCs w:val="22"/>
        </w:rPr>
      </w:pPr>
      <w:r>
        <w:rPr>
          <w:rFonts w:ascii="Arial" w:hAnsi="Arial"/>
          <w:sz w:val="22"/>
          <w:szCs w:val="22"/>
        </w:rPr>
        <w:t>We developed a three-point system, with the highest score being three and the lowest score being 1, to quantitatively express how highly the model ranks the response being evaluated for each type of prompting strategy for each category.</w:t>
      </w:r>
    </w:p>
    <w:p w14:paraId="069876EF" w14:textId="24AB3E6B" w:rsidR="00605B8D" w:rsidRDefault="00000000" w:rsidP="00022753">
      <w:pPr>
        <w:numPr>
          <w:ilvl w:val="1"/>
          <w:numId w:val="1"/>
        </w:numPr>
      </w:pPr>
      <w:r>
        <w:rPr>
          <w:rFonts w:ascii="Arial" w:hAnsi="Arial"/>
          <w:sz w:val="22"/>
          <w:szCs w:val="22"/>
        </w:rPr>
        <w:t xml:space="preserve">Whether a </w:t>
      </w:r>
      <w:r w:rsidR="00786F9D">
        <w:rPr>
          <w:rFonts w:ascii="Arial" w:hAnsi="Arial"/>
          <w:sz w:val="22"/>
          <w:szCs w:val="22"/>
        </w:rPr>
        <w:t>response</w:t>
      </w:r>
      <w:r>
        <w:rPr>
          <w:rFonts w:ascii="Arial" w:hAnsi="Arial"/>
          <w:sz w:val="22"/>
          <w:szCs w:val="22"/>
        </w:rPr>
        <w:t xml:space="preserve"> passes or fails a category depends on value of the sum of the total points received for all prompt categories of a category. For our study, we considered any category scores of at least eight points to be a “PASS,” and anything less than to be a “FAIL.” </w:t>
      </w:r>
    </w:p>
    <w:p w14:paraId="221774BC" w14:textId="5D298760" w:rsidR="00605B8D" w:rsidRDefault="00000000">
      <w:pPr>
        <w:numPr>
          <w:ilvl w:val="0"/>
          <w:numId w:val="1"/>
        </w:numPr>
        <w:rPr>
          <w:rFonts w:ascii="Arial" w:hAnsi="Arial"/>
          <w:sz w:val="22"/>
          <w:szCs w:val="22"/>
        </w:rPr>
      </w:pPr>
      <w:r>
        <w:rPr>
          <w:rFonts w:ascii="Arial" w:hAnsi="Arial"/>
          <w:sz w:val="22"/>
          <w:szCs w:val="22"/>
        </w:rPr>
        <w:t xml:space="preserve">Responses being judged using </w:t>
      </w:r>
      <w:r w:rsidR="002D7CD1">
        <w:rPr>
          <w:rFonts w:ascii="Arial" w:hAnsi="Arial"/>
          <w:sz w:val="22"/>
          <w:szCs w:val="22"/>
        </w:rPr>
        <w:t xml:space="preserve">the above </w:t>
      </w:r>
      <w:r>
        <w:rPr>
          <w:rFonts w:ascii="Arial" w:hAnsi="Arial"/>
          <w:sz w:val="22"/>
          <w:szCs w:val="22"/>
        </w:rPr>
        <w:t>rubric</w:t>
      </w:r>
      <w:r w:rsidR="002D7CD1">
        <w:rPr>
          <w:rFonts w:ascii="Arial" w:hAnsi="Arial"/>
          <w:sz w:val="22"/>
          <w:szCs w:val="22"/>
        </w:rPr>
        <w:t xml:space="preserve">, which encompasses all five categories and the four prompts for each, </w:t>
      </w:r>
      <w:r>
        <w:rPr>
          <w:rFonts w:ascii="Arial" w:hAnsi="Arial"/>
          <w:sz w:val="22"/>
          <w:szCs w:val="22"/>
        </w:rPr>
        <w:t xml:space="preserve">must be no more than 150 words to preserve the evaluative performance of the LLM-as-a-judge. </w:t>
      </w:r>
    </w:p>
    <w:p w14:paraId="2DE0556F" w14:textId="446FB008" w:rsidR="00605B8D" w:rsidRDefault="00000000">
      <w:pPr>
        <w:rPr>
          <w:rFonts w:ascii="Arial" w:hAnsi="Arial"/>
          <w:sz w:val="22"/>
          <w:szCs w:val="22"/>
        </w:rPr>
      </w:pPr>
      <w:r>
        <w:rPr>
          <w:rFonts w:ascii="Arial" w:hAnsi="Arial"/>
          <w:sz w:val="22"/>
          <w:szCs w:val="22"/>
        </w:rPr>
        <w:t>Following this rubric, responses were judged against source data, manually extracted data, and/or the baselines of knowledge gathered from the Gemini 3.5 Thinking, GPT 5.5, and Claude Opus 4.8 models. The accuracy of the individual baselines was determined subjectively by comparing agreeability across all independently AI-generated baselines. Further, before validation, the baseline documents were consolidated into a single baseline document twice (one an intersection of and the other a union of the papers) to create 1) a set of the most common biomarkers, and 2) a larger baseline of all well-known biomarkers currently being studied (respectively). The AI model (Claude Sonnet 5) used for the knowledge base served as the LLM-as-a-judge in this strategy</w:t>
      </w:r>
      <w:r w:rsidR="00C71624">
        <w:rPr>
          <w:rFonts w:ascii="Arial" w:hAnsi="Arial"/>
          <w:sz w:val="22"/>
          <w:szCs w:val="22"/>
        </w:rPr>
        <w:t xml:space="preserve"> and was told to generate external reports as well as a summary of the evaluation report within the page evaluated (the latter of which was excluded from biomarker-knowledge-</w:t>
      </w:r>
      <w:proofErr w:type="spellStart"/>
      <w:r w:rsidR="00C71624">
        <w:rPr>
          <w:rFonts w:ascii="Arial" w:hAnsi="Arial"/>
          <w:sz w:val="22"/>
          <w:szCs w:val="22"/>
        </w:rPr>
        <w:t>base.</w:t>
      </w:r>
      <w:r w:rsidR="0075473D">
        <w:rPr>
          <w:rFonts w:ascii="Arial" w:hAnsi="Arial"/>
          <w:sz w:val="22"/>
          <w:szCs w:val="22"/>
        </w:rPr>
        <w:t>y</w:t>
      </w:r>
      <w:r w:rsidR="00C71624">
        <w:rPr>
          <w:rFonts w:ascii="Arial" w:hAnsi="Arial"/>
          <w:sz w:val="22"/>
          <w:szCs w:val="22"/>
        </w:rPr>
        <w:t>aml</w:t>
      </w:r>
      <w:proofErr w:type="spellEnd"/>
      <w:r w:rsidR="00C71624">
        <w:rPr>
          <w:rFonts w:ascii="Arial" w:hAnsi="Arial"/>
          <w:sz w:val="22"/>
          <w:szCs w:val="22"/>
        </w:rPr>
        <w:t xml:space="preserve"> validations)</w:t>
      </w:r>
      <w:r>
        <w:rPr>
          <w:rFonts w:ascii="Arial" w:hAnsi="Arial"/>
          <w:sz w:val="22"/>
          <w:szCs w:val="22"/>
        </w:rPr>
        <w:t>. We manually determined the final</w:t>
      </w:r>
      <w:r w:rsidR="00C71624">
        <w:rPr>
          <w:rFonts w:ascii="Arial" w:hAnsi="Arial"/>
          <w:sz w:val="22"/>
          <w:szCs w:val="22"/>
        </w:rPr>
        <w:t xml:space="preserve"> verdict</w:t>
      </w:r>
      <w:r>
        <w:rPr>
          <w:rFonts w:ascii="Arial" w:hAnsi="Arial"/>
          <w:sz w:val="22"/>
          <w:szCs w:val="22"/>
        </w:rPr>
        <w:t xml:space="preserve"> </w:t>
      </w:r>
      <w:r w:rsidR="00C71624">
        <w:rPr>
          <w:rFonts w:ascii="Arial" w:hAnsi="Arial"/>
          <w:sz w:val="22"/>
          <w:szCs w:val="22"/>
        </w:rPr>
        <w:t>on</w:t>
      </w:r>
      <w:r>
        <w:rPr>
          <w:rFonts w:ascii="Arial" w:hAnsi="Arial"/>
          <w:sz w:val="22"/>
          <w:szCs w:val="22"/>
        </w:rPr>
        <w:t xml:space="preserve"> the response being evaluated by considering the completed rubric with </w:t>
      </w:r>
      <w:r w:rsidR="00C71624">
        <w:rPr>
          <w:rFonts w:ascii="Arial" w:hAnsi="Arial"/>
          <w:sz w:val="22"/>
          <w:szCs w:val="22"/>
        </w:rPr>
        <w:t>included</w:t>
      </w:r>
      <w:r>
        <w:rPr>
          <w:rFonts w:ascii="Arial" w:hAnsi="Arial"/>
          <w:sz w:val="22"/>
          <w:szCs w:val="22"/>
        </w:rPr>
        <w:t xml:space="preserve"> “PASS/FAIL” information for each category. The evaluation reports</w:t>
      </w:r>
      <w:r w:rsidR="00AB5D9A">
        <w:rPr>
          <w:rFonts w:ascii="Arial" w:hAnsi="Arial"/>
          <w:sz w:val="22"/>
          <w:szCs w:val="22"/>
        </w:rPr>
        <w:t xml:space="preserve"> generated</w:t>
      </w:r>
      <w:r>
        <w:rPr>
          <w:rFonts w:ascii="Arial" w:hAnsi="Arial"/>
          <w:sz w:val="22"/>
          <w:szCs w:val="22"/>
        </w:rPr>
        <w:t xml:space="preserve"> were evaluated using the same rubric to gauge the accuracy of the AI model’s evaluation. To measure the agreeability of the AI evaluator’s responses to that of human evaluators, we created manual validation reports for some of the same responses and compared them, the findings of which contributed to the rating of some AI-generated evaluations. The information yielded from this cross-checking was used to inform future validation strategy, like specific prompt </w:t>
      </w:r>
      <w:r w:rsidR="00AB5D9A">
        <w:rPr>
          <w:rFonts w:ascii="Arial" w:hAnsi="Arial"/>
          <w:sz w:val="22"/>
          <w:szCs w:val="22"/>
        </w:rPr>
        <w:t>phrasing</w:t>
      </w:r>
      <w:r>
        <w:rPr>
          <w:rFonts w:ascii="Arial" w:hAnsi="Arial"/>
          <w:sz w:val="22"/>
          <w:szCs w:val="22"/>
        </w:rPr>
        <w:t xml:space="preserve"> or more extensive reviewing of discovered </w:t>
      </w:r>
      <w:r>
        <w:rPr>
          <w:rFonts w:ascii="Arial" w:hAnsi="Arial"/>
          <w:sz w:val="22"/>
          <w:szCs w:val="22"/>
        </w:rPr>
        <w:lastRenderedPageBreak/>
        <w:t xml:space="preserve">“weak” areas of the AI-generated validation reports. If unexpected or insufficient data or behavior were detected (through validation or regular observation of the knowledge base), we manually modified CLAUDE.md and/or prompted, critiqued, or queried Claude so it could “learn” from its mistakes and record its responses to inform future output generation – a strategy we referred to as “training.” Our hope was to create a system that reduces human overhead work by critiquing its own output, while also ensuring that a “human in the loop” constrains the AI model. In all, we completed three rounds of validation, which are documented under “Validation” in our GitHub repository alongside our AI-generated baseline documents, validation reports, and detailed validation methodology technique. The public project repository can be found </w:t>
      </w:r>
      <w:hyperlink r:id="rId5">
        <w:r>
          <w:rPr>
            <w:rStyle w:val="Hyperlink"/>
            <w:rFonts w:ascii="Arial" w:hAnsi="Arial"/>
            <w:sz w:val="22"/>
            <w:szCs w:val="22"/>
          </w:rPr>
          <w:t>here</w:t>
        </w:r>
      </w:hyperlink>
      <w:r>
        <w:rPr>
          <w:rFonts w:ascii="Arial" w:hAnsi="Arial"/>
          <w:sz w:val="22"/>
          <w:szCs w:val="22"/>
        </w:rPr>
        <w:t>.</w:t>
      </w:r>
    </w:p>
    <w:p w14:paraId="123A6110" w14:textId="77777777" w:rsidR="00605B8D" w:rsidRDefault="00605B8D">
      <w:pPr>
        <w:rPr>
          <w:rFonts w:ascii="Arial" w:hAnsi="Arial"/>
          <w:sz w:val="22"/>
          <w:szCs w:val="22"/>
        </w:rPr>
      </w:pPr>
    </w:p>
    <w:p w14:paraId="64AA5F34" w14:textId="77777777" w:rsidR="00605B8D" w:rsidRDefault="00605B8D">
      <w:pPr>
        <w:contextualSpacing/>
        <w:rPr>
          <w:rFonts w:ascii="Arial" w:hAnsi="Arial"/>
          <w:sz w:val="22"/>
          <w:szCs w:val="22"/>
        </w:rPr>
      </w:pPr>
    </w:p>
    <w:p w14:paraId="77133729" w14:textId="77777777" w:rsidR="00605B8D" w:rsidRDefault="00000000">
      <w:pPr>
        <w:rPr>
          <w:rFonts w:ascii="Arial" w:hAnsi="Arial"/>
          <w:b/>
          <w:bCs/>
          <w:sz w:val="22"/>
          <w:szCs w:val="22"/>
        </w:rPr>
      </w:pPr>
      <w:r>
        <w:rPr>
          <w:rFonts w:ascii="Arial" w:hAnsi="Arial"/>
          <w:b/>
          <w:bCs/>
          <w:sz w:val="22"/>
          <w:szCs w:val="22"/>
        </w:rPr>
        <w:t>Draft Schema Results:</w:t>
      </w:r>
    </w:p>
    <w:p w14:paraId="373827F7" w14:textId="77777777" w:rsidR="00605B8D" w:rsidRDefault="00000000">
      <w:pPr>
        <w:rPr>
          <w:rFonts w:ascii="Arial" w:hAnsi="Arial"/>
          <w:sz w:val="22"/>
          <w:szCs w:val="22"/>
        </w:rPr>
      </w:pPr>
      <w:r>
        <w:rPr>
          <w:rFonts w:ascii="Arial" w:hAnsi="Arial"/>
          <w:b/>
          <w:bCs/>
          <w:sz w:val="22"/>
          <w:szCs w:val="22"/>
        </w:rPr>
        <w:t>Table 1</w:t>
      </w:r>
      <w:r>
        <w:rPr>
          <w:rFonts w:ascii="Arial" w:hAnsi="Arial"/>
          <w:sz w:val="22"/>
          <w:szCs w:val="22"/>
        </w:rPr>
        <w:t>: Table showing biomarkers manually identified from the dataset and the type of biological sample analyzed (source), number of references within the source data (count), and condition.</w:t>
      </w:r>
    </w:p>
    <w:tbl>
      <w:tblPr>
        <w:tblW w:w="6900" w:type="dxa"/>
        <w:tblInd w:w="-5" w:type="dxa"/>
        <w:tblLayout w:type="fixed"/>
        <w:tblCellMar>
          <w:top w:w="55" w:type="dxa"/>
          <w:left w:w="55" w:type="dxa"/>
          <w:bottom w:w="55" w:type="dxa"/>
          <w:right w:w="55" w:type="dxa"/>
        </w:tblCellMar>
        <w:tblLook w:val="04A0" w:firstRow="1" w:lastRow="0" w:firstColumn="1" w:lastColumn="0" w:noHBand="0" w:noVBand="1"/>
      </w:tblPr>
      <w:tblGrid>
        <w:gridCol w:w="1664"/>
        <w:gridCol w:w="1546"/>
        <w:gridCol w:w="900"/>
        <w:gridCol w:w="2790"/>
      </w:tblGrid>
      <w:tr w:rsidR="00605B8D" w14:paraId="11FB607F" w14:textId="77777777">
        <w:tc>
          <w:tcPr>
            <w:tcW w:w="1664" w:type="dxa"/>
            <w:tcBorders>
              <w:top w:val="single" w:sz="4" w:space="0" w:color="000000"/>
              <w:left w:val="single" w:sz="4" w:space="0" w:color="000000"/>
              <w:bottom w:val="single" w:sz="4" w:space="0" w:color="000000"/>
            </w:tcBorders>
          </w:tcPr>
          <w:p w14:paraId="0062032E" w14:textId="77777777" w:rsidR="00605B8D" w:rsidRDefault="00000000">
            <w:pPr>
              <w:pStyle w:val="TableContents"/>
              <w:rPr>
                <w:rFonts w:ascii="Arial" w:hAnsi="Arial"/>
                <w:b/>
                <w:bCs/>
                <w:sz w:val="22"/>
                <w:szCs w:val="22"/>
              </w:rPr>
            </w:pPr>
            <w:r>
              <w:rPr>
                <w:rFonts w:ascii="Arial" w:hAnsi="Arial"/>
                <w:b/>
                <w:bCs/>
                <w:sz w:val="22"/>
                <w:szCs w:val="22"/>
              </w:rPr>
              <w:t>Biomarker</w:t>
            </w:r>
          </w:p>
        </w:tc>
        <w:tc>
          <w:tcPr>
            <w:tcW w:w="1546" w:type="dxa"/>
            <w:tcBorders>
              <w:top w:val="single" w:sz="4" w:space="0" w:color="000000"/>
              <w:left w:val="single" w:sz="4" w:space="0" w:color="000000"/>
              <w:bottom w:val="single" w:sz="4" w:space="0" w:color="000000"/>
            </w:tcBorders>
          </w:tcPr>
          <w:p w14:paraId="4B20A406" w14:textId="77777777" w:rsidR="00605B8D" w:rsidRDefault="00000000">
            <w:pPr>
              <w:pStyle w:val="TableContents"/>
              <w:rPr>
                <w:rFonts w:ascii="Arial" w:hAnsi="Arial"/>
                <w:b/>
                <w:bCs/>
                <w:sz w:val="22"/>
                <w:szCs w:val="22"/>
              </w:rPr>
            </w:pPr>
            <w:r>
              <w:rPr>
                <w:rFonts w:ascii="Arial" w:hAnsi="Arial"/>
                <w:b/>
                <w:bCs/>
                <w:sz w:val="22"/>
                <w:szCs w:val="22"/>
              </w:rPr>
              <w:t>Source(s)</w:t>
            </w:r>
          </w:p>
        </w:tc>
        <w:tc>
          <w:tcPr>
            <w:tcW w:w="900" w:type="dxa"/>
            <w:tcBorders>
              <w:top w:val="single" w:sz="4" w:space="0" w:color="000000"/>
              <w:left w:val="single" w:sz="4" w:space="0" w:color="000000"/>
              <w:bottom w:val="single" w:sz="4" w:space="0" w:color="000000"/>
            </w:tcBorders>
          </w:tcPr>
          <w:p w14:paraId="3E414961" w14:textId="77777777" w:rsidR="00605B8D" w:rsidRDefault="00000000">
            <w:pPr>
              <w:pStyle w:val="TableContents"/>
              <w:rPr>
                <w:rFonts w:ascii="Arial" w:hAnsi="Arial"/>
                <w:b/>
                <w:bCs/>
                <w:sz w:val="22"/>
                <w:szCs w:val="22"/>
              </w:rPr>
            </w:pPr>
            <w:r>
              <w:rPr>
                <w:rFonts w:ascii="Arial" w:hAnsi="Arial"/>
                <w:b/>
                <w:bCs/>
                <w:sz w:val="22"/>
                <w:szCs w:val="22"/>
              </w:rPr>
              <w:t>Count</w:t>
            </w:r>
          </w:p>
        </w:tc>
        <w:tc>
          <w:tcPr>
            <w:tcW w:w="2790" w:type="dxa"/>
            <w:tcBorders>
              <w:top w:val="single" w:sz="4" w:space="0" w:color="000000"/>
              <w:left w:val="single" w:sz="4" w:space="0" w:color="000000"/>
              <w:bottom w:val="single" w:sz="4" w:space="0" w:color="000000"/>
              <w:right w:val="single" w:sz="4" w:space="0" w:color="000000"/>
            </w:tcBorders>
          </w:tcPr>
          <w:p w14:paraId="69A8F63D" w14:textId="77777777" w:rsidR="00605B8D" w:rsidRDefault="00000000">
            <w:pPr>
              <w:pStyle w:val="TableContents"/>
              <w:rPr>
                <w:rFonts w:ascii="Arial" w:hAnsi="Arial"/>
                <w:b/>
                <w:bCs/>
                <w:sz w:val="22"/>
                <w:szCs w:val="22"/>
              </w:rPr>
            </w:pPr>
            <w:r>
              <w:rPr>
                <w:rFonts w:ascii="Arial" w:hAnsi="Arial"/>
                <w:b/>
                <w:bCs/>
                <w:sz w:val="22"/>
                <w:szCs w:val="22"/>
              </w:rPr>
              <w:t>Associated Condition(s)</w:t>
            </w:r>
          </w:p>
        </w:tc>
      </w:tr>
      <w:tr w:rsidR="00605B8D" w14:paraId="08DE3949" w14:textId="77777777">
        <w:tc>
          <w:tcPr>
            <w:tcW w:w="1664" w:type="dxa"/>
            <w:tcBorders>
              <w:left w:val="single" w:sz="4" w:space="0" w:color="000000"/>
              <w:bottom w:val="single" w:sz="4" w:space="0" w:color="000000"/>
            </w:tcBorders>
          </w:tcPr>
          <w:p w14:paraId="73B1B5E9" w14:textId="77777777" w:rsidR="00605B8D" w:rsidRDefault="00605B8D">
            <w:pPr>
              <w:pStyle w:val="TableContents"/>
              <w:rPr>
                <w:rFonts w:ascii="Arial" w:hAnsi="Arial"/>
                <w:sz w:val="22"/>
                <w:szCs w:val="22"/>
              </w:rPr>
            </w:pPr>
          </w:p>
        </w:tc>
        <w:tc>
          <w:tcPr>
            <w:tcW w:w="1546" w:type="dxa"/>
            <w:tcBorders>
              <w:left w:val="single" w:sz="4" w:space="0" w:color="000000"/>
              <w:bottom w:val="single" w:sz="4" w:space="0" w:color="000000"/>
            </w:tcBorders>
          </w:tcPr>
          <w:p w14:paraId="039C9A51" w14:textId="77777777" w:rsidR="00605B8D" w:rsidRDefault="00605B8D">
            <w:pPr>
              <w:pStyle w:val="TableContents"/>
              <w:rPr>
                <w:rFonts w:ascii="Arial" w:hAnsi="Arial"/>
                <w:sz w:val="22"/>
                <w:szCs w:val="22"/>
              </w:rPr>
            </w:pPr>
          </w:p>
        </w:tc>
        <w:tc>
          <w:tcPr>
            <w:tcW w:w="900" w:type="dxa"/>
            <w:tcBorders>
              <w:left w:val="single" w:sz="4" w:space="0" w:color="000000"/>
              <w:bottom w:val="single" w:sz="4" w:space="0" w:color="000000"/>
            </w:tcBorders>
          </w:tcPr>
          <w:p w14:paraId="29D8D3D8" w14:textId="77777777" w:rsidR="00605B8D" w:rsidRDefault="00605B8D">
            <w:pPr>
              <w:pStyle w:val="TableContents"/>
              <w:rPr>
                <w:rFonts w:ascii="Arial" w:hAnsi="Arial"/>
                <w:sz w:val="22"/>
                <w:szCs w:val="22"/>
              </w:rPr>
            </w:pPr>
          </w:p>
        </w:tc>
        <w:tc>
          <w:tcPr>
            <w:tcW w:w="2790" w:type="dxa"/>
            <w:tcBorders>
              <w:left w:val="single" w:sz="4" w:space="0" w:color="000000"/>
              <w:bottom w:val="single" w:sz="4" w:space="0" w:color="000000"/>
              <w:right w:val="single" w:sz="4" w:space="0" w:color="000000"/>
            </w:tcBorders>
          </w:tcPr>
          <w:p w14:paraId="7E43C4B4" w14:textId="77777777" w:rsidR="00605B8D" w:rsidRDefault="00605B8D">
            <w:pPr>
              <w:pStyle w:val="TableContents"/>
              <w:rPr>
                <w:rFonts w:ascii="Arial" w:hAnsi="Arial"/>
                <w:sz w:val="22"/>
                <w:szCs w:val="22"/>
              </w:rPr>
            </w:pPr>
          </w:p>
        </w:tc>
      </w:tr>
    </w:tbl>
    <w:p w14:paraId="50485DCA" w14:textId="77777777" w:rsidR="00605B8D" w:rsidRDefault="00605B8D">
      <w:pPr>
        <w:rPr>
          <w:rFonts w:ascii="Arial" w:hAnsi="Arial"/>
          <w:b/>
          <w:bCs/>
          <w:sz w:val="22"/>
          <w:szCs w:val="22"/>
        </w:rPr>
      </w:pPr>
    </w:p>
    <w:p w14:paraId="0342F809" w14:textId="77777777" w:rsidR="00605B8D" w:rsidRDefault="00000000">
      <w:pPr>
        <w:contextualSpacing/>
        <w:rPr>
          <w:rFonts w:ascii="Arial" w:hAnsi="Arial"/>
          <w:sz w:val="22"/>
          <w:szCs w:val="22"/>
        </w:rPr>
      </w:pPr>
      <w:r>
        <w:rPr>
          <w:rFonts w:ascii="Arial" w:hAnsi="Arial"/>
          <w:b/>
          <w:bCs/>
          <w:sz w:val="22"/>
          <w:szCs w:val="22"/>
        </w:rPr>
        <w:t>Listing 1</w:t>
      </w:r>
      <w:r>
        <w:rPr>
          <w:rFonts w:ascii="Arial" w:hAnsi="Arial"/>
          <w:sz w:val="22"/>
          <w:szCs w:val="22"/>
        </w:rPr>
        <w:t>: A snippet of the “Combined Model” section of the Claude-generated YAML file, in which one source ID (data file) cites at least two biomarker IDs (biomarkers).</w:t>
      </w:r>
    </w:p>
    <w:p w14:paraId="3B322917" w14:textId="77777777" w:rsidR="00605B8D" w:rsidRDefault="00000000">
      <w:pPr>
        <w:rPr>
          <w:rFonts w:ascii="Arial" w:hAnsi="Arial"/>
          <w:i/>
          <w:color w:val="212121"/>
          <w:sz w:val="60"/>
        </w:rPr>
      </w:pPr>
      <w:proofErr w:type="spellStart"/>
      <w:r>
        <w:rPr>
          <w:rFonts w:ascii="Arial" w:hAnsi="Arial"/>
          <w:i/>
          <w:sz w:val="22"/>
          <w:szCs w:val="22"/>
          <w:shd w:val="clear" w:color="auto" w:fill="D9D9D9"/>
        </w:rPr>
        <w:t>papp_a_plus_free_beta_hcg</w:t>
      </w:r>
      <w:proofErr w:type="spellEnd"/>
      <w:r>
        <w:rPr>
          <w:rFonts w:ascii="Arial" w:hAnsi="Arial"/>
          <w:i/>
          <w:sz w:val="22"/>
          <w:szCs w:val="22"/>
          <w:shd w:val="clear" w:color="auto" w:fill="D9D9D9"/>
        </w:rPr>
        <w:t>:</w:t>
      </w:r>
    </w:p>
    <w:p w14:paraId="0E5F3D90" w14:textId="77777777" w:rsidR="00605B8D" w:rsidRDefault="00000000">
      <w:pPr>
        <w:rPr>
          <w:rFonts w:ascii="Arial" w:hAnsi="Arial"/>
          <w:i/>
          <w:color w:val="212121"/>
          <w:sz w:val="60"/>
        </w:rPr>
      </w:pPr>
      <w:r>
        <w:rPr>
          <w:rFonts w:ascii="Arial" w:hAnsi="Arial"/>
          <w:i/>
          <w:sz w:val="22"/>
          <w:szCs w:val="22"/>
          <w:shd w:val="clear" w:color="auto" w:fill="D9D9D9"/>
        </w:rPr>
        <w:t xml:space="preserve">    </w:t>
      </w:r>
      <w:r>
        <w:rPr>
          <w:rFonts w:ascii="Arial" w:hAnsi="Arial"/>
          <w:i/>
          <w:sz w:val="22"/>
          <w:szCs w:val="22"/>
          <w:shd w:val="clear" w:color="auto" w:fill="D9D9D9"/>
        </w:rPr>
        <w:tab/>
      </w:r>
      <w:proofErr w:type="spellStart"/>
      <w:r>
        <w:rPr>
          <w:rFonts w:ascii="Arial" w:hAnsi="Arial"/>
          <w:i/>
          <w:sz w:val="22"/>
          <w:szCs w:val="22"/>
          <w:shd w:val="clear" w:color="auto" w:fill="D9D9D9"/>
        </w:rPr>
        <w:t>source_id</w:t>
      </w:r>
      <w:proofErr w:type="spellEnd"/>
      <w:r>
        <w:rPr>
          <w:rFonts w:ascii="Arial" w:hAnsi="Arial"/>
          <w:i/>
          <w:sz w:val="22"/>
          <w:szCs w:val="22"/>
          <w:shd w:val="clear" w:color="auto" w:fill="D9D9D9"/>
        </w:rPr>
        <w:t>: src_ijms26_06187</w:t>
      </w:r>
    </w:p>
    <w:p w14:paraId="76C97E7F" w14:textId="77777777" w:rsidR="00605B8D" w:rsidRDefault="00000000">
      <w:pPr>
        <w:rPr>
          <w:rFonts w:ascii="Arial" w:hAnsi="Arial"/>
          <w:i/>
          <w:color w:val="212121"/>
          <w:sz w:val="60"/>
        </w:rPr>
      </w:pPr>
      <w:r>
        <w:rPr>
          <w:rFonts w:ascii="Arial" w:hAnsi="Arial"/>
          <w:i/>
          <w:sz w:val="22"/>
          <w:szCs w:val="22"/>
          <w:shd w:val="clear" w:color="auto" w:fill="D9D9D9"/>
        </w:rPr>
        <w:t xml:space="preserve">    </w:t>
      </w:r>
      <w:r>
        <w:rPr>
          <w:rFonts w:ascii="Arial" w:hAnsi="Arial"/>
          <w:i/>
          <w:sz w:val="22"/>
          <w:szCs w:val="22"/>
          <w:shd w:val="clear" w:color="auto" w:fill="D9D9D9"/>
        </w:rPr>
        <w:tab/>
      </w:r>
      <w:proofErr w:type="spellStart"/>
      <w:r>
        <w:rPr>
          <w:rFonts w:ascii="Arial" w:hAnsi="Arial"/>
          <w:i/>
          <w:sz w:val="22"/>
          <w:szCs w:val="22"/>
          <w:shd w:val="clear" w:color="auto" w:fill="D9D9D9"/>
        </w:rPr>
        <w:t>biomarker_ids</w:t>
      </w:r>
      <w:proofErr w:type="spellEnd"/>
      <w:r>
        <w:rPr>
          <w:rFonts w:ascii="Arial" w:hAnsi="Arial"/>
          <w:i/>
          <w:sz w:val="22"/>
          <w:szCs w:val="22"/>
          <w:shd w:val="clear" w:color="auto" w:fill="D9D9D9"/>
        </w:rPr>
        <w:t xml:space="preserve">: [PAPP-A, </w:t>
      </w:r>
      <w:proofErr w:type="spellStart"/>
      <w:r>
        <w:rPr>
          <w:rFonts w:ascii="Arial" w:hAnsi="Arial"/>
          <w:i/>
          <w:sz w:val="22"/>
          <w:szCs w:val="22"/>
          <w:shd w:val="clear" w:color="auto" w:fill="D9D9D9"/>
        </w:rPr>
        <w:t>free_beta_hCG</w:t>
      </w:r>
      <w:proofErr w:type="spellEnd"/>
      <w:r>
        <w:rPr>
          <w:rFonts w:ascii="Arial" w:hAnsi="Arial"/>
          <w:i/>
          <w:sz w:val="22"/>
          <w:szCs w:val="22"/>
          <w:shd w:val="clear" w:color="auto" w:fill="D9D9D9"/>
        </w:rPr>
        <w:t>]</w:t>
      </w:r>
    </w:p>
    <w:p w14:paraId="2B06CF64" w14:textId="77777777" w:rsidR="00605B8D" w:rsidRDefault="00000000">
      <w:pPr>
        <w:rPr>
          <w:rFonts w:ascii="Arial" w:hAnsi="Arial"/>
          <w:i/>
          <w:color w:val="212121"/>
          <w:sz w:val="60"/>
        </w:rPr>
      </w:pPr>
      <w:r>
        <w:rPr>
          <w:rFonts w:ascii="Arial" w:hAnsi="Arial"/>
          <w:i/>
          <w:sz w:val="22"/>
          <w:szCs w:val="22"/>
          <w:shd w:val="clear" w:color="auto" w:fill="D9D9D9"/>
        </w:rPr>
        <w:t xml:space="preserve">    </w:t>
      </w:r>
      <w:r>
        <w:rPr>
          <w:rFonts w:ascii="Arial" w:hAnsi="Arial"/>
          <w:i/>
          <w:sz w:val="22"/>
          <w:szCs w:val="22"/>
          <w:shd w:val="clear" w:color="auto" w:fill="D9D9D9"/>
        </w:rPr>
        <w:tab/>
        <w:t xml:space="preserve">technology: </w:t>
      </w:r>
      <w:proofErr w:type="spellStart"/>
      <w:r>
        <w:rPr>
          <w:rFonts w:ascii="Arial" w:hAnsi="Arial"/>
          <w:i/>
          <w:sz w:val="22"/>
          <w:szCs w:val="22"/>
          <w:shd w:val="clear" w:color="auto" w:fill="D9D9D9"/>
        </w:rPr>
        <w:t>logistic_regression</w:t>
      </w:r>
      <w:proofErr w:type="spellEnd"/>
    </w:p>
    <w:p w14:paraId="3F4EEF8B" w14:textId="77777777" w:rsidR="00605B8D" w:rsidRDefault="00000000">
      <w:pPr>
        <w:rPr>
          <w:rFonts w:ascii="Arial" w:hAnsi="Arial"/>
          <w:i/>
          <w:color w:val="212121"/>
          <w:sz w:val="60"/>
        </w:rPr>
      </w:pPr>
      <w:r>
        <w:rPr>
          <w:rFonts w:ascii="Arial" w:hAnsi="Arial"/>
          <w:i/>
          <w:sz w:val="22"/>
          <w:szCs w:val="22"/>
          <w:shd w:val="clear" w:color="auto" w:fill="D9D9D9"/>
        </w:rPr>
        <w:t>   </w:t>
      </w:r>
      <w:r>
        <w:rPr>
          <w:rFonts w:ascii="Arial" w:hAnsi="Arial"/>
          <w:i/>
          <w:sz w:val="22"/>
          <w:szCs w:val="22"/>
          <w:shd w:val="clear" w:color="auto" w:fill="D9D9D9"/>
        </w:rPr>
        <w:tab/>
      </w:r>
      <w:proofErr w:type="spellStart"/>
      <w:r>
        <w:rPr>
          <w:rFonts w:ascii="Arial" w:hAnsi="Arial"/>
          <w:i/>
          <w:sz w:val="22"/>
          <w:szCs w:val="22"/>
          <w:shd w:val="clear" w:color="auto" w:fill="D9D9D9"/>
        </w:rPr>
        <w:t>method_note</w:t>
      </w:r>
      <w:proofErr w:type="spellEnd"/>
      <w:r>
        <w:rPr>
          <w:rFonts w:ascii="Arial" w:hAnsi="Arial"/>
          <w:i/>
          <w:sz w:val="22"/>
          <w:szCs w:val="22"/>
          <w:shd w:val="clear" w:color="auto" w:fill="D9D9D9"/>
        </w:rPr>
        <w:t>: &gt;</w:t>
      </w:r>
    </w:p>
    <w:p w14:paraId="52487486" w14:textId="77777777" w:rsidR="00605B8D" w:rsidRDefault="00000000">
      <w:pPr>
        <w:rPr>
          <w:rFonts w:ascii="Arial" w:hAnsi="Arial"/>
          <w:i/>
          <w:color w:val="212121"/>
          <w:sz w:val="60"/>
        </w:rPr>
      </w:pPr>
      <w:r>
        <w:rPr>
          <w:rFonts w:ascii="Arial" w:hAnsi="Arial"/>
          <w:i/>
          <w:sz w:val="22"/>
          <w:szCs w:val="22"/>
          <w:shd w:val="clear" w:color="auto" w:fill="D9D9D9"/>
        </w:rPr>
        <w:t xml:space="preserve">      </w:t>
      </w:r>
      <w:r>
        <w:rPr>
          <w:rFonts w:ascii="Arial" w:hAnsi="Arial"/>
          <w:i/>
          <w:sz w:val="22"/>
          <w:szCs w:val="22"/>
          <w:shd w:val="clear" w:color="auto" w:fill="D9D9D9"/>
        </w:rPr>
        <w:tab/>
      </w:r>
      <w:r>
        <w:rPr>
          <w:rFonts w:ascii="Arial" w:hAnsi="Arial"/>
          <w:i/>
          <w:sz w:val="22"/>
          <w:szCs w:val="22"/>
          <w:shd w:val="clear" w:color="auto" w:fill="D9D9D9"/>
        </w:rPr>
        <w:tab/>
        <w:t>PAPP-A values were inverted (since it trends down while β-</w:t>
      </w:r>
      <w:proofErr w:type="spellStart"/>
      <w:r>
        <w:rPr>
          <w:rFonts w:ascii="Arial" w:hAnsi="Arial"/>
          <w:i/>
          <w:sz w:val="22"/>
          <w:szCs w:val="22"/>
          <w:shd w:val="clear" w:color="auto" w:fill="D9D9D9"/>
        </w:rPr>
        <w:t>hCG</w:t>
      </w:r>
      <w:proofErr w:type="spellEnd"/>
      <w:r>
        <w:rPr>
          <w:rFonts w:ascii="Arial" w:hAnsi="Arial"/>
          <w:i/>
          <w:sz w:val="22"/>
          <w:szCs w:val="22"/>
          <w:shd w:val="clear" w:color="auto" w:fill="D9D9D9"/>
        </w:rPr>
        <w:t xml:space="preserve"> trends up) and both </w:t>
      </w:r>
      <w:r>
        <w:rPr>
          <w:rFonts w:ascii="Arial" w:hAnsi="Arial"/>
          <w:i/>
          <w:sz w:val="22"/>
          <w:szCs w:val="22"/>
          <w:shd w:val="clear" w:color="auto" w:fill="D9D9D9"/>
        </w:rPr>
        <w:tab/>
      </w:r>
      <w:r>
        <w:rPr>
          <w:rFonts w:ascii="Arial" w:hAnsi="Arial"/>
          <w:i/>
          <w:sz w:val="22"/>
          <w:szCs w:val="22"/>
          <w:shd w:val="clear" w:color="auto" w:fill="D9D9D9"/>
        </w:rPr>
        <w:tab/>
      </w:r>
      <w:r>
        <w:rPr>
          <w:rFonts w:ascii="Arial" w:hAnsi="Arial"/>
          <w:i/>
          <w:sz w:val="22"/>
          <w:szCs w:val="22"/>
          <w:shd w:val="clear" w:color="auto" w:fill="D9D9D9"/>
        </w:rPr>
        <w:tab/>
        <w:t xml:space="preserve">markers min-max normalized before fitting a logistic regression; predicted probabilities </w:t>
      </w:r>
      <w:r>
        <w:rPr>
          <w:rFonts w:ascii="Arial" w:hAnsi="Arial"/>
          <w:i/>
          <w:sz w:val="22"/>
          <w:szCs w:val="22"/>
          <w:shd w:val="clear" w:color="auto" w:fill="D9D9D9"/>
        </w:rPr>
        <w:tab/>
      </w:r>
      <w:r>
        <w:rPr>
          <w:rFonts w:ascii="Arial" w:hAnsi="Arial"/>
          <w:i/>
          <w:sz w:val="22"/>
          <w:szCs w:val="22"/>
          <w:shd w:val="clear" w:color="auto" w:fill="D9D9D9"/>
        </w:rPr>
        <w:tab/>
      </w:r>
      <w:r>
        <w:rPr>
          <w:rFonts w:ascii="Arial" w:hAnsi="Arial"/>
          <w:i/>
          <w:sz w:val="22"/>
          <w:szCs w:val="22"/>
          <w:shd w:val="clear" w:color="auto" w:fill="D9D9D9"/>
        </w:rPr>
        <w:tab/>
        <w:t>were then used for ROC/AUC estimation.</w:t>
      </w:r>
    </w:p>
    <w:p w14:paraId="40AB0807" w14:textId="77777777" w:rsidR="00605B8D" w:rsidRDefault="00000000">
      <w:pPr>
        <w:rPr>
          <w:rFonts w:ascii="Arial" w:hAnsi="Arial"/>
          <w:i/>
          <w:color w:val="212121"/>
          <w:sz w:val="60"/>
        </w:rPr>
      </w:pPr>
      <w:r>
        <w:rPr>
          <w:rFonts w:ascii="Arial" w:hAnsi="Arial"/>
          <w:i/>
          <w:sz w:val="22"/>
          <w:szCs w:val="22"/>
          <w:shd w:val="clear" w:color="auto" w:fill="D9D9D9"/>
        </w:rPr>
        <w:t>   </w:t>
      </w:r>
      <w:r>
        <w:rPr>
          <w:rFonts w:ascii="Arial" w:hAnsi="Arial"/>
          <w:i/>
          <w:sz w:val="22"/>
          <w:szCs w:val="22"/>
          <w:shd w:val="clear" w:color="auto" w:fill="D9D9D9"/>
        </w:rPr>
        <w:tab/>
        <w:t xml:space="preserve"> results:</w:t>
      </w:r>
    </w:p>
    <w:p w14:paraId="7C5FDC17" w14:textId="77777777" w:rsidR="00605B8D" w:rsidRDefault="00000000">
      <w:pPr>
        <w:rPr>
          <w:rFonts w:ascii="Arial" w:hAnsi="Arial"/>
          <w:i/>
          <w:color w:val="212121"/>
          <w:sz w:val="60"/>
        </w:rPr>
      </w:pPr>
      <w:r>
        <w:rPr>
          <w:rFonts w:ascii="Arial" w:hAnsi="Arial"/>
          <w:i/>
          <w:sz w:val="22"/>
          <w:szCs w:val="22"/>
          <w:shd w:val="clear" w:color="auto" w:fill="D9D9D9"/>
        </w:rPr>
        <w:t xml:space="preserve">      </w:t>
      </w:r>
      <w:r>
        <w:rPr>
          <w:rFonts w:ascii="Arial" w:hAnsi="Arial"/>
          <w:i/>
          <w:sz w:val="22"/>
          <w:szCs w:val="22"/>
          <w:shd w:val="clear" w:color="auto" w:fill="D9D9D9"/>
        </w:rPr>
        <w:tab/>
      </w:r>
      <w:r>
        <w:rPr>
          <w:rFonts w:ascii="Arial" w:hAnsi="Arial"/>
          <w:i/>
          <w:sz w:val="22"/>
          <w:szCs w:val="22"/>
          <w:shd w:val="clear" w:color="auto" w:fill="D9D9D9"/>
        </w:rPr>
        <w:tab/>
        <w:t>- comparison: "control vs. PAS"</w:t>
      </w:r>
    </w:p>
    <w:p w14:paraId="048B5F9C" w14:textId="77777777" w:rsidR="00605B8D" w:rsidRDefault="00000000">
      <w:pPr>
        <w:rPr>
          <w:rFonts w:ascii="Arial" w:hAnsi="Arial"/>
          <w:i/>
          <w:color w:val="212121"/>
          <w:sz w:val="60"/>
        </w:rPr>
      </w:pPr>
      <w:r>
        <w:rPr>
          <w:rFonts w:ascii="Arial" w:hAnsi="Arial"/>
          <w:i/>
          <w:sz w:val="22"/>
          <w:szCs w:val="22"/>
          <w:shd w:val="clear" w:color="auto" w:fill="D9D9D9"/>
        </w:rPr>
        <w:t xml:space="preserve">        </w:t>
      </w:r>
      <w:r>
        <w:rPr>
          <w:rFonts w:ascii="Arial" w:hAnsi="Arial"/>
          <w:i/>
          <w:sz w:val="22"/>
          <w:szCs w:val="22"/>
          <w:shd w:val="clear" w:color="auto" w:fill="D9D9D9"/>
        </w:rPr>
        <w:tab/>
      </w:r>
      <w:r>
        <w:rPr>
          <w:rFonts w:ascii="Arial" w:hAnsi="Arial"/>
          <w:i/>
          <w:sz w:val="22"/>
          <w:szCs w:val="22"/>
          <w:shd w:val="clear" w:color="auto" w:fill="D9D9D9"/>
        </w:rPr>
        <w:tab/>
      </w:r>
      <w:r>
        <w:rPr>
          <w:rFonts w:ascii="Arial" w:hAnsi="Arial"/>
          <w:i/>
          <w:sz w:val="22"/>
          <w:szCs w:val="22"/>
          <w:shd w:val="clear" w:color="auto" w:fill="D9D9D9"/>
        </w:rPr>
        <w:tab/>
      </w:r>
      <w:proofErr w:type="spellStart"/>
      <w:r>
        <w:rPr>
          <w:rFonts w:ascii="Arial" w:hAnsi="Arial"/>
          <w:i/>
          <w:sz w:val="22"/>
          <w:szCs w:val="22"/>
          <w:shd w:val="clear" w:color="auto" w:fill="D9D9D9"/>
        </w:rPr>
        <w:t>auc</w:t>
      </w:r>
      <w:proofErr w:type="spellEnd"/>
      <w:r>
        <w:rPr>
          <w:rFonts w:ascii="Arial" w:hAnsi="Arial"/>
          <w:i/>
          <w:sz w:val="22"/>
          <w:szCs w:val="22"/>
          <w:shd w:val="clear" w:color="auto" w:fill="D9D9D9"/>
        </w:rPr>
        <w:t>: 0.85</w:t>
      </w:r>
    </w:p>
    <w:p w14:paraId="71DFA3E2" w14:textId="77777777" w:rsidR="00605B8D" w:rsidRDefault="00000000">
      <w:pPr>
        <w:rPr>
          <w:rFonts w:ascii="Arial" w:hAnsi="Arial"/>
          <w:i/>
          <w:color w:val="212121"/>
          <w:sz w:val="60"/>
        </w:rPr>
      </w:pPr>
      <w:r>
        <w:rPr>
          <w:rFonts w:ascii="Arial" w:hAnsi="Arial"/>
          <w:i/>
          <w:sz w:val="22"/>
          <w:szCs w:val="22"/>
          <w:shd w:val="clear" w:color="auto" w:fill="D9D9D9"/>
        </w:rPr>
        <w:t xml:space="preserve">        </w:t>
      </w:r>
      <w:r>
        <w:rPr>
          <w:rFonts w:ascii="Arial" w:hAnsi="Arial"/>
          <w:i/>
          <w:sz w:val="22"/>
          <w:szCs w:val="22"/>
          <w:shd w:val="clear" w:color="auto" w:fill="D9D9D9"/>
        </w:rPr>
        <w:tab/>
      </w:r>
      <w:r>
        <w:rPr>
          <w:rFonts w:ascii="Arial" w:hAnsi="Arial"/>
          <w:i/>
          <w:sz w:val="22"/>
          <w:szCs w:val="22"/>
          <w:shd w:val="clear" w:color="auto" w:fill="D9D9D9"/>
        </w:rPr>
        <w:tab/>
      </w:r>
      <w:r>
        <w:rPr>
          <w:rFonts w:ascii="Arial" w:hAnsi="Arial"/>
          <w:i/>
          <w:sz w:val="22"/>
          <w:szCs w:val="22"/>
          <w:shd w:val="clear" w:color="auto" w:fill="D9D9D9"/>
        </w:rPr>
        <w:tab/>
      </w:r>
      <w:proofErr w:type="spellStart"/>
      <w:r>
        <w:rPr>
          <w:rFonts w:ascii="Arial" w:hAnsi="Arial"/>
          <w:i/>
          <w:sz w:val="22"/>
          <w:szCs w:val="22"/>
          <w:shd w:val="clear" w:color="auto" w:fill="D9D9D9"/>
        </w:rPr>
        <w:t>sensitivity_pct</w:t>
      </w:r>
      <w:proofErr w:type="spellEnd"/>
      <w:r>
        <w:rPr>
          <w:rFonts w:ascii="Arial" w:hAnsi="Arial"/>
          <w:i/>
          <w:sz w:val="22"/>
          <w:szCs w:val="22"/>
          <w:shd w:val="clear" w:color="auto" w:fill="D9D9D9"/>
        </w:rPr>
        <w:t>: 85.2</w:t>
      </w:r>
    </w:p>
    <w:p w14:paraId="2B9F087E" w14:textId="77777777" w:rsidR="00605B8D" w:rsidRDefault="00000000">
      <w:pPr>
        <w:rPr>
          <w:rFonts w:ascii="Arial" w:hAnsi="Arial"/>
          <w:i/>
          <w:color w:val="212121"/>
          <w:sz w:val="60"/>
        </w:rPr>
      </w:pPr>
      <w:r>
        <w:rPr>
          <w:rFonts w:ascii="Arial" w:hAnsi="Arial"/>
          <w:i/>
          <w:sz w:val="22"/>
          <w:szCs w:val="22"/>
          <w:shd w:val="clear" w:color="auto" w:fill="D9D9D9"/>
        </w:rPr>
        <w:t xml:space="preserve">        </w:t>
      </w:r>
      <w:r>
        <w:rPr>
          <w:rFonts w:ascii="Arial" w:hAnsi="Arial"/>
          <w:i/>
          <w:sz w:val="22"/>
          <w:szCs w:val="22"/>
          <w:shd w:val="clear" w:color="auto" w:fill="D9D9D9"/>
        </w:rPr>
        <w:tab/>
      </w:r>
      <w:r>
        <w:rPr>
          <w:rFonts w:ascii="Arial" w:hAnsi="Arial"/>
          <w:i/>
          <w:sz w:val="22"/>
          <w:szCs w:val="22"/>
          <w:shd w:val="clear" w:color="auto" w:fill="D9D9D9"/>
        </w:rPr>
        <w:tab/>
      </w:r>
      <w:r>
        <w:rPr>
          <w:rFonts w:ascii="Arial" w:hAnsi="Arial"/>
          <w:i/>
          <w:sz w:val="22"/>
          <w:szCs w:val="22"/>
          <w:shd w:val="clear" w:color="auto" w:fill="D9D9D9"/>
        </w:rPr>
        <w:tab/>
      </w:r>
      <w:proofErr w:type="spellStart"/>
      <w:r>
        <w:rPr>
          <w:rFonts w:ascii="Arial" w:hAnsi="Arial"/>
          <w:i/>
          <w:sz w:val="22"/>
          <w:szCs w:val="22"/>
          <w:shd w:val="clear" w:color="auto" w:fill="D9D9D9"/>
        </w:rPr>
        <w:t>specificity_pct</w:t>
      </w:r>
      <w:proofErr w:type="spellEnd"/>
      <w:r>
        <w:rPr>
          <w:rFonts w:ascii="Arial" w:hAnsi="Arial"/>
          <w:i/>
          <w:sz w:val="22"/>
          <w:szCs w:val="22"/>
          <w:shd w:val="clear" w:color="auto" w:fill="D9D9D9"/>
        </w:rPr>
        <w:t>: 72</w:t>
      </w:r>
    </w:p>
    <w:p w14:paraId="0F159920" w14:textId="77777777" w:rsidR="00605B8D" w:rsidRDefault="00000000">
      <w:pPr>
        <w:rPr>
          <w:rFonts w:ascii="Arial" w:hAnsi="Arial"/>
          <w:i/>
          <w:color w:val="212121"/>
          <w:sz w:val="60"/>
        </w:rPr>
      </w:pPr>
      <w:r>
        <w:rPr>
          <w:rFonts w:ascii="Arial" w:hAnsi="Arial"/>
          <w:i/>
          <w:sz w:val="22"/>
          <w:szCs w:val="22"/>
          <w:shd w:val="clear" w:color="auto" w:fill="D9D9D9"/>
        </w:rPr>
        <w:t xml:space="preserve">        </w:t>
      </w:r>
      <w:r>
        <w:rPr>
          <w:rFonts w:ascii="Arial" w:hAnsi="Arial"/>
          <w:i/>
          <w:sz w:val="22"/>
          <w:szCs w:val="22"/>
          <w:shd w:val="clear" w:color="auto" w:fill="D9D9D9"/>
        </w:rPr>
        <w:tab/>
      </w:r>
      <w:r>
        <w:rPr>
          <w:rFonts w:ascii="Arial" w:hAnsi="Arial"/>
          <w:i/>
          <w:sz w:val="22"/>
          <w:szCs w:val="22"/>
          <w:shd w:val="clear" w:color="auto" w:fill="D9D9D9"/>
        </w:rPr>
        <w:tab/>
      </w:r>
      <w:r>
        <w:rPr>
          <w:rFonts w:ascii="Arial" w:hAnsi="Arial"/>
          <w:i/>
          <w:sz w:val="22"/>
          <w:szCs w:val="22"/>
          <w:shd w:val="clear" w:color="auto" w:fill="D9D9D9"/>
        </w:rPr>
        <w:tab/>
        <w:t>cutoff: "0.48 (predicted probability)"</w:t>
      </w:r>
    </w:p>
    <w:p w14:paraId="4AA021D0" w14:textId="77777777" w:rsidR="00605B8D" w:rsidRPr="00786F9D" w:rsidRDefault="00000000">
      <w:pPr>
        <w:rPr>
          <w:rFonts w:ascii="Arial" w:hAnsi="Arial"/>
          <w:i/>
          <w:color w:val="212121"/>
          <w:sz w:val="60"/>
          <w:lang w:val="es-MX"/>
        </w:rPr>
      </w:pPr>
      <w:r>
        <w:rPr>
          <w:rFonts w:ascii="Arial" w:hAnsi="Arial"/>
          <w:i/>
          <w:sz w:val="22"/>
          <w:szCs w:val="22"/>
          <w:shd w:val="clear" w:color="auto" w:fill="D9D9D9"/>
        </w:rPr>
        <w:t>     </w:t>
      </w:r>
      <w:r>
        <w:rPr>
          <w:rFonts w:ascii="Arial" w:hAnsi="Arial"/>
          <w:i/>
          <w:sz w:val="22"/>
          <w:szCs w:val="22"/>
          <w:shd w:val="clear" w:color="auto" w:fill="D9D9D9"/>
        </w:rPr>
        <w:tab/>
      </w:r>
      <w:r>
        <w:rPr>
          <w:rFonts w:ascii="Arial" w:hAnsi="Arial"/>
          <w:i/>
          <w:sz w:val="22"/>
          <w:szCs w:val="22"/>
          <w:shd w:val="clear" w:color="auto" w:fill="D9D9D9"/>
        </w:rPr>
        <w:tab/>
        <w:t xml:space="preserve"> </w:t>
      </w:r>
      <w:r w:rsidRPr="00786F9D">
        <w:rPr>
          <w:rFonts w:ascii="Arial" w:hAnsi="Arial"/>
          <w:i/>
          <w:sz w:val="22"/>
          <w:szCs w:val="22"/>
          <w:shd w:val="clear" w:color="auto" w:fill="D9D9D9"/>
          <w:lang w:val="es-MX"/>
        </w:rPr>
        <w:t xml:space="preserve">- </w:t>
      </w:r>
      <w:proofErr w:type="spellStart"/>
      <w:r w:rsidRPr="00786F9D">
        <w:rPr>
          <w:rFonts w:ascii="Arial" w:hAnsi="Arial"/>
          <w:i/>
          <w:sz w:val="22"/>
          <w:szCs w:val="22"/>
          <w:shd w:val="clear" w:color="auto" w:fill="D9D9D9"/>
          <w:lang w:val="es-MX"/>
        </w:rPr>
        <w:t>comparison</w:t>
      </w:r>
      <w:proofErr w:type="spellEnd"/>
      <w:r w:rsidRPr="00786F9D">
        <w:rPr>
          <w:rFonts w:ascii="Arial" w:hAnsi="Arial"/>
          <w:i/>
          <w:sz w:val="22"/>
          <w:szCs w:val="22"/>
          <w:shd w:val="clear" w:color="auto" w:fill="D9D9D9"/>
          <w:lang w:val="es-MX"/>
        </w:rPr>
        <w:t>: "control vs. placenta previa"</w:t>
      </w:r>
    </w:p>
    <w:p w14:paraId="7C3E0372" w14:textId="77777777" w:rsidR="00605B8D" w:rsidRPr="00786F9D" w:rsidRDefault="00000000">
      <w:pPr>
        <w:rPr>
          <w:rFonts w:ascii="Arial" w:hAnsi="Arial"/>
          <w:i/>
          <w:color w:val="212121"/>
          <w:sz w:val="60"/>
          <w:lang w:val="es-MX"/>
        </w:rPr>
      </w:pPr>
      <w:r w:rsidRPr="00786F9D">
        <w:rPr>
          <w:rFonts w:ascii="Arial" w:hAnsi="Arial"/>
          <w:i/>
          <w:sz w:val="22"/>
          <w:szCs w:val="22"/>
          <w:shd w:val="clear" w:color="auto" w:fill="D9D9D9"/>
          <w:lang w:val="es-MX"/>
        </w:rPr>
        <w:t xml:space="preserve">      </w:t>
      </w:r>
      <w:r w:rsidRPr="00786F9D">
        <w:rPr>
          <w:rFonts w:ascii="Arial" w:hAnsi="Arial"/>
          <w:i/>
          <w:sz w:val="22"/>
          <w:szCs w:val="22"/>
          <w:shd w:val="clear" w:color="auto" w:fill="D9D9D9"/>
          <w:lang w:val="es-MX"/>
        </w:rPr>
        <w:tab/>
      </w:r>
      <w:r w:rsidRPr="00786F9D">
        <w:rPr>
          <w:rFonts w:ascii="Arial" w:hAnsi="Arial"/>
          <w:i/>
          <w:sz w:val="22"/>
          <w:szCs w:val="22"/>
          <w:shd w:val="clear" w:color="auto" w:fill="D9D9D9"/>
          <w:lang w:val="es-MX"/>
        </w:rPr>
        <w:tab/>
      </w:r>
      <w:r w:rsidRPr="00786F9D">
        <w:rPr>
          <w:rFonts w:ascii="Arial" w:hAnsi="Arial"/>
          <w:i/>
          <w:sz w:val="22"/>
          <w:szCs w:val="22"/>
          <w:shd w:val="clear" w:color="auto" w:fill="D9D9D9"/>
          <w:lang w:val="es-MX"/>
        </w:rPr>
        <w:tab/>
      </w:r>
      <w:proofErr w:type="spellStart"/>
      <w:r w:rsidRPr="00786F9D">
        <w:rPr>
          <w:rFonts w:ascii="Arial" w:hAnsi="Arial"/>
          <w:i/>
          <w:sz w:val="22"/>
          <w:szCs w:val="22"/>
          <w:shd w:val="clear" w:color="auto" w:fill="D9D9D9"/>
          <w:lang w:val="es-MX"/>
        </w:rPr>
        <w:t>auc</w:t>
      </w:r>
      <w:proofErr w:type="spellEnd"/>
      <w:r w:rsidRPr="00786F9D">
        <w:rPr>
          <w:rFonts w:ascii="Arial" w:hAnsi="Arial"/>
          <w:i/>
          <w:sz w:val="22"/>
          <w:szCs w:val="22"/>
          <w:shd w:val="clear" w:color="auto" w:fill="D9D9D9"/>
          <w:lang w:val="es-MX"/>
        </w:rPr>
        <w:t>: 0.88</w:t>
      </w:r>
    </w:p>
    <w:p w14:paraId="72173947" w14:textId="77777777" w:rsidR="00605B8D" w:rsidRDefault="00000000">
      <w:pPr>
        <w:rPr>
          <w:rFonts w:ascii="Arial" w:hAnsi="Arial"/>
          <w:i/>
          <w:color w:val="212121"/>
          <w:sz w:val="60"/>
        </w:rPr>
      </w:pPr>
      <w:r w:rsidRPr="00786F9D">
        <w:rPr>
          <w:rFonts w:ascii="Arial" w:hAnsi="Arial"/>
          <w:i/>
          <w:sz w:val="22"/>
          <w:szCs w:val="22"/>
          <w:shd w:val="clear" w:color="auto" w:fill="D9D9D9"/>
          <w:lang w:val="es-MX"/>
        </w:rPr>
        <w:t xml:space="preserve">      </w:t>
      </w:r>
      <w:r w:rsidRPr="00786F9D">
        <w:rPr>
          <w:rFonts w:ascii="Arial" w:hAnsi="Arial"/>
          <w:i/>
          <w:sz w:val="22"/>
          <w:szCs w:val="22"/>
          <w:shd w:val="clear" w:color="auto" w:fill="D9D9D9"/>
          <w:lang w:val="es-MX"/>
        </w:rPr>
        <w:tab/>
      </w:r>
      <w:r w:rsidRPr="00786F9D">
        <w:rPr>
          <w:rFonts w:ascii="Arial" w:hAnsi="Arial"/>
          <w:i/>
          <w:sz w:val="22"/>
          <w:szCs w:val="22"/>
          <w:shd w:val="clear" w:color="auto" w:fill="D9D9D9"/>
          <w:lang w:val="es-MX"/>
        </w:rPr>
        <w:tab/>
      </w:r>
      <w:r w:rsidRPr="00786F9D">
        <w:rPr>
          <w:rFonts w:ascii="Arial" w:hAnsi="Arial"/>
          <w:i/>
          <w:sz w:val="22"/>
          <w:szCs w:val="22"/>
          <w:shd w:val="clear" w:color="auto" w:fill="D9D9D9"/>
          <w:lang w:val="es-MX"/>
        </w:rPr>
        <w:tab/>
      </w:r>
      <w:proofErr w:type="spellStart"/>
      <w:r>
        <w:rPr>
          <w:rFonts w:ascii="Arial" w:hAnsi="Arial"/>
          <w:i/>
          <w:sz w:val="22"/>
          <w:szCs w:val="22"/>
          <w:shd w:val="clear" w:color="auto" w:fill="D9D9D9"/>
        </w:rPr>
        <w:t>sensitivity_pct</w:t>
      </w:r>
      <w:proofErr w:type="spellEnd"/>
      <w:r>
        <w:rPr>
          <w:rFonts w:ascii="Arial" w:hAnsi="Arial"/>
          <w:i/>
          <w:sz w:val="22"/>
          <w:szCs w:val="22"/>
          <w:shd w:val="clear" w:color="auto" w:fill="D9D9D9"/>
        </w:rPr>
        <w:t>: 100</w:t>
      </w:r>
    </w:p>
    <w:p w14:paraId="7FFD4536" w14:textId="77777777" w:rsidR="00605B8D" w:rsidRDefault="00000000">
      <w:pPr>
        <w:rPr>
          <w:rFonts w:ascii="Arial" w:hAnsi="Arial"/>
          <w:i/>
          <w:color w:val="212121"/>
          <w:sz w:val="60"/>
        </w:rPr>
      </w:pPr>
      <w:r>
        <w:rPr>
          <w:rFonts w:ascii="Arial" w:hAnsi="Arial"/>
          <w:i/>
          <w:sz w:val="22"/>
          <w:szCs w:val="22"/>
          <w:shd w:val="clear" w:color="auto" w:fill="D9D9D9"/>
        </w:rPr>
        <w:t xml:space="preserve">        </w:t>
      </w:r>
      <w:r>
        <w:rPr>
          <w:rFonts w:ascii="Arial" w:hAnsi="Arial"/>
          <w:i/>
          <w:sz w:val="22"/>
          <w:szCs w:val="22"/>
          <w:shd w:val="clear" w:color="auto" w:fill="D9D9D9"/>
        </w:rPr>
        <w:tab/>
      </w:r>
      <w:r>
        <w:rPr>
          <w:rFonts w:ascii="Arial" w:hAnsi="Arial"/>
          <w:i/>
          <w:sz w:val="22"/>
          <w:szCs w:val="22"/>
          <w:shd w:val="clear" w:color="auto" w:fill="D9D9D9"/>
        </w:rPr>
        <w:tab/>
      </w:r>
      <w:r>
        <w:rPr>
          <w:rFonts w:ascii="Arial" w:hAnsi="Arial"/>
          <w:i/>
          <w:sz w:val="22"/>
          <w:szCs w:val="22"/>
          <w:shd w:val="clear" w:color="auto" w:fill="D9D9D9"/>
        </w:rPr>
        <w:tab/>
      </w:r>
      <w:proofErr w:type="spellStart"/>
      <w:r>
        <w:rPr>
          <w:rFonts w:ascii="Arial" w:hAnsi="Arial"/>
          <w:i/>
          <w:sz w:val="22"/>
          <w:szCs w:val="22"/>
          <w:shd w:val="clear" w:color="auto" w:fill="D9D9D9"/>
        </w:rPr>
        <w:t>specificity_pct</w:t>
      </w:r>
      <w:proofErr w:type="spellEnd"/>
      <w:r>
        <w:rPr>
          <w:rFonts w:ascii="Arial" w:hAnsi="Arial"/>
          <w:i/>
          <w:sz w:val="22"/>
          <w:szCs w:val="22"/>
          <w:shd w:val="clear" w:color="auto" w:fill="D9D9D9"/>
        </w:rPr>
        <w:t>: 72</w:t>
      </w:r>
    </w:p>
    <w:p w14:paraId="32552287" w14:textId="77777777" w:rsidR="00605B8D" w:rsidRDefault="00000000">
      <w:pPr>
        <w:rPr>
          <w:rFonts w:ascii="Arial" w:hAnsi="Arial"/>
          <w:i/>
          <w:color w:val="212121"/>
          <w:sz w:val="60"/>
        </w:rPr>
      </w:pPr>
      <w:r>
        <w:rPr>
          <w:rFonts w:ascii="Arial" w:hAnsi="Arial"/>
          <w:i/>
          <w:sz w:val="22"/>
          <w:szCs w:val="22"/>
          <w:shd w:val="clear" w:color="auto" w:fill="D9D9D9"/>
        </w:rPr>
        <w:t xml:space="preserve">        </w:t>
      </w:r>
      <w:r>
        <w:rPr>
          <w:rFonts w:ascii="Arial" w:hAnsi="Arial"/>
          <w:i/>
          <w:sz w:val="22"/>
          <w:szCs w:val="22"/>
          <w:shd w:val="clear" w:color="auto" w:fill="D9D9D9"/>
        </w:rPr>
        <w:tab/>
      </w:r>
      <w:r>
        <w:rPr>
          <w:rFonts w:ascii="Arial" w:hAnsi="Arial"/>
          <w:i/>
          <w:sz w:val="22"/>
          <w:szCs w:val="22"/>
          <w:shd w:val="clear" w:color="auto" w:fill="D9D9D9"/>
        </w:rPr>
        <w:tab/>
      </w:r>
      <w:r>
        <w:rPr>
          <w:rFonts w:ascii="Arial" w:hAnsi="Arial"/>
          <w:i/>
          <w:sz w:val="22"/>
          <w:szCs w:val="22"/>
          <w:shd w:val="clear" w:color="auto" w:fill="D9D9D9"/>
        </w:rPr>
        <w:tab/>
        <w:t>cutoff: "0.55 (predicted probability)"</w:t>
      </w:r>
    </w:p>
    <w:p w14:paraId="071A5CE7" w14:textId="77777777" w:rsidR="00605B8D" w:rsidRDefault="00000000">
      <w:pPr>
        <w:rPr>
          <w:rFonts w:ascii="Arial" w:hAnsi="Arial"/>
          <w:i/>
          <w:color w:val="212121"/>
          <w:sz w:val="60"/>
        </w:rPr>
      </w:pPr>
      <w:r>
        <w:rPr>
          <w:rFonts w:ascii="Arial" w:hAnsi="Arial"/>
          <w:i/>
          <w:sz w:val="22"/>
          <w:szCs w:val="22"/>
          <w:shd w:val="clear" w:color="auto" w:fill="D9D9D9"/>
        </w:rPr>
        <w:t>   </w:t>
      </w:r>
      <w:r>
        <w:rPr>
          <w:rFonts w:ascii="Arial" w:hAnsi="Arial"/>
          <w:i/>
          <w:sz w:val="22"/>
          <w:szCs w:val="22"/>
          <w:shd w:val="clear" w:color="auto" w:fill="D9D9D9"/>
        </w:rPr>
        <w:tab/>
        <w:t xml:space="preserve"> caveat: &gt;</w:t>
      </w:r>
    </w:p>
    <w:p w14:paraId="196AC4D0" w14:textId="77777777" w:rsidR="00605B8D" w:rsidRDefault="00000000">
      <w:pPr>
        <w:rPr>
          <w:rFonts w:ascii="Arial" w:hAnsi="Arial"/>
          <w:i/>
          <w:color w:val="212121"/>
          <w:sz w:val="60"/>
        </w:rPr>
      </w:pPr>
      <w:r>
        <w:rPr>
          <w:rFonts w:ascii="Arial" w:hAnsi="Arial"/>
          <w:i/>
          <w:sz w:val="22"/>
          <w:szCs w:val="22"/>
          <w:shd w:val="clear" w:color="auto" w:fill="D9D9D9"/>
        </w:rPr>
        <w:t xml:space="preserve">    </w:t>
      </w:r>
      <w:r>
        <w:rPr>
          <w:rFonts w:ascii="Arial" w:hAnsi="Arial"/>
          <w:i/>
          <w:sz w:val="22"/>
          <w:szCs w:val="22"/>
          <w:shd w:val="clear" w:color="auto" w:fill="D9D9D9"/>
        </w:rPr>
        <w:tab/>
      </w:r>
      <w:r>
        <w:rPr>
          <w:rFonts w:ascii="Arial" w:hAnsi="Arial"/>
          <w:i/>
          <w:sz w:val="22"/>
          <w:szCs w:val="22"/>
          <w:shd w:val="clear" w:color="auto" w:fill="D9D9D9"/>
        </w:rPr>
        <w:tab/>
        <w:t xml:space="preserve"> Improves on either marker alone for pathological-vs-healthy discrimination, but neither </w:t>
      </w:r>
      <w:r>
        <w:rPr>
          <w:rFonts w:ascii="Arial" w:hAnsi="Arial"/>
          <w:i/>
          <w:sz w:val="22"/>
          <w:szCs w:val="22"/>
          <w:shd w:val="clear" w:color="auto" w:fill="D9D9D9"/>
        </w:rPr>
        <w:tab/>
      </w:r>
      <w:r>
        <w:rPr>
          <w:rFonts w:ascii="Arial" w:hAnsi="Arial"/>
          <w:i/>
          <w:sz w:val="22"/>
          <w:szCs w:val="22"/>
          <w:shd w:val="clear" w:color="auto" w:fill="D9D9D9"/>
        </w:rPr>
        <w:tab/>
      </w:r>
      <w:r>
        <w:rPr>
          <w:rFonts w:ascii="Arial" w:hAnsi="Arial"/>
          <w:i/>
          <w:sz w:val="22"/>
          <w:szCs w:val="22"/>
          <w:shd w:val="clear" w:color="auto" w:fill="D9D9D9"/>
        </w:rPr>
        <w:tab/>
        <w:t xml:space="preserve">the individual markers nor this combined model reliably distinguish PAS from placenta </w:t>
      </w:r>
      <w:r>
        <w:rPr>
          <w:rFonts w:ascii="Arial" w:hAnsi="Arial"/>
          <w:i/>
          <w:sz w:val="22"/>
          <w:szCs w:val="22"/>
          <w:shd w:val="clear" w:color="auto" w:fill="D9D9D9"/>
        </w:rPr>
        <w:tab/>
      </w:r>
      <w:r>
        <w:rPr>
          <w:rFonts w:ascii="Arial" w:hAnsi="Arial"/>
          <w:i/>
          <w:sz w:val="22"/>
          <w:szCs w:val="22"/>
          <w:shd w:val="clear" w:color="auto" w:fill="D9D9D9"/>
        </w:rPr>
        <w:tab/>
      </w:r>
      <w:r>
        <w:rPr>
          <w:rFonts w:ascii="Arial" w:hAnsi="Arial"/>
          <w:i/>
          <w:sz w:val="22"/>
          <w:szCs w:val="22"/>
          <w:shd w:val="clear" w:color="auto" w:fill="D9D9D9"/>
        </w:rPr>
        <w:tab/>
        <w:t>previa</w:t>
      </w:r>
    </w:p>
    <w:p w14:paraId="300D3090" w14:textId="77777777" w:rsidR="00605B8D" w:rsidRDefault="00605B8D">
      <w:pPr>
        <w:rPr>
          <w:rFonts w:ascii="Arial" w:hAnsi="Arial"/>
          <w:sz w:val="22"/>
          <w:szCs w:val="22"/>
        </w:rPr>
      </w:pPr>
    </w:p>
    <w:p w14:paraId="050CC55B" w14:textId="77777777" w:rsidR="00605B8D" w:rsidRDefault="00000000">
      <w:pPr>
        <w:rPr>
          <w:rFonts w:ascii="Arial" w:hAnsi="Arial"/>
          <w:sz w:val="22"/>
          <w:szCs w:val="22"/>
        </w:rPr>
      </w:pPr>
      <w:r>
        <w:rPr>
          <w:rFonts w:ascii="Arial" w:hAnsi="Arial"/>
          <w:b/>
          <w:bCs/>
          <w:sz w:val="22"/>
          <w:szCs w:val="22"/>
        </w:rPr>
        <w:t>Listing 2</w:t>
      </w:r>
      <w:r>
        <w:rPr>
          <w:rFonts w:ascii="Arial" w:hAnsi="Arial"/>
          <w:sz w:val="22"/>
          <w:szCs w:val="22"/>
        </w:rPr>
        <w:t xml:space="preserve">: </w:t>
      </w:r>
      <w:proofErr w:type="spellStart"/>
      <w:r>
        <w:rPr>
          <w:rFonts w:ascii="Arial" w:hAnsi="Arial"/>
          <w:sz w:val="22"/>
          <w:szCs w:val="22"/>
        </w:rPr>
        <w:t>BioRender</w:t>
      </w:r>
      <w:proofErr w:type="spellEnd"/>
      <w:r>
        <w:rPr>
          <w:rFonts w:ascii="Arial" w:hAnsi="Arial"/>
          <w:sz w:val="22"/>
          <w:szCs w:val="22"/>
        </w:rPr>
        <w:t xml:space="preserve"> concept map showing the relationship between PAS and trophoblastic invasion as an example of the information generated by a knowledge graph of the data.</w:t>
      </w:r>
    </w:p>
    <w:p w14:paraId="49E87BAC" w14:textId="77777777" w:rsidR="000E614B" w:rsidRDefault="000E614B">
      <w:pPr>
        <w:rPr>
          <w:rFonts w:ascii="Arial" w:hAnsi="Arial"/>
          <w:sz w:val="22"/>
          <w:szCs w:val="22"/>
        </w:rPr>
      </w:pPr>
    </w:p>
    <w:p w14:paraId="55FBDAA5" w14:textId="77777777" w:rsidR="00605B8D" w:rsidRDefault="00605B8D">
      <w:pPr>
        <w:rPr>
          <w:rFonts w:ascii="Arial" w:hAnsi="Arial"/>
          <w:sz w:val="22"/>
          <w:szCs w:val="22"/>
        </w:rPr>
      </w:pPr>
    </w:p>
    <w:p w14:paraId="39FFDAB0" w14:textId="77777777" w:rsidR="00605B8D" w:rsidRDefault="00000000">
      <w:pPr>
        <w:contextualSpacing/>
        <w:rPr>
          <w:rFonts w:ascii="Arial" w:hAnsi="Arial"/>
          <w:b/>
          <w:bCs/>
          <w:sz w:val="22"/>
          <w:szCs w:val="22"/>
        </w:rPr>
      </w:pPr>
      <w:bookmarkStart w:id="0" w:name="Bibliography"/>
      <w:r>
        <w:rPr>
          <w:rFonts w:ascii="Arial" w:hAnsi="Arial"/>
          <w:b/>
          <w:bCs/>
          <w:sz w:val="22"/>
          <w:szCs w:val="22"/>
        </w:rPr>
        <w:t>Bibliography</w:t>
      </w:r>
      <w:bookmarkEnd w:id="0"/>
    </w:p>
    <w:p w14:paraId="2775573F" w14:textId="77777777" w:rsidR="00605B8D" w:rsidRDefault="00000000">
      <w:pPr>
        <w:ind w:left="709" w:hanging="709"/>
        <w:contextualSpacing/>
        <w:rPr>
          <w:rFonts w:ascii="Arial" w:hAnsi="Arial"/>
          <w:sz w:val="22"/>
          <w:szCs w:val="22"/>
        </w:rPr>
      </w:pPr>
      <w:r>
        <w:rPr>
          <w:rFonts w:ascii="Arial" w:hAnsi="Arial"/>
          <w:sz w:val="22"/>
          <w:szCs w:val="22"/>
        </w:rPr>
        <w:t xml:space="preserve">1. Silver, R. M., &amp; Branch, D. W. (April 18, 2018). Placenta Accreta Spectrum. </w:t>
      </w:r>
      <w:r>
        <w:rPr>
          <w:rFonts w:ascii="Arial" w:hAnsi="Arial"/>
          <w:i/>
          <w:iCs/>
          <w:sz w:val="22"/>
          <w:szCs w:val="22"/>
        </w:rPr>
        <w:t>The New England Journal of Medicine, 378</w:t>
      </w:r>
      <w:r>
        <w:rPr>
          <w:rFonts w:ascii="Arial" w:hAnsi="Arial"/>
          <w:sz w:val="22"/>
          <w:szCs w:val="22"/>
        </w:rPr>
        <w:t>(16), 1529-1536</w:t>
      </w:r>
      <w:r>
        <w:rPr>
          <w:rFonts w:ascii="Arial" w:hAnsi="Arial"/>
          <w:i/>
          <w:iCs/>
          <w:sz w:val="22"/>
          <w:szCs w:val="22"/>
        </w:rPr>
        <w:t xml:space="preserve">. </w:t>
      </w:r>
      <w:hyperlink r:id="rId6">
        <w:r>
          <w:rPr>
            <w:rStyle w:val="Hyperlink"/>
            <w:rFonts w:ascii="Arial" w:hAnsi="Arial"/>
            <w:sz w:val="22"/>
            <w:szCs w:val="22"/>
          </w:rPr>
          <w:t>doi:10.1056/NEJMcp1709324</w:t>
        </w:r>
      </w:hyperlink>
      <w:r>
        <w:rPr>
          <w:rFonts w:ascii="Arial" w:hAnsi="Arial"/>
          <w:sz w:val="22"/>
          <w:szCs w:val="22"/>
        </w:rPr>
        <w:t xml:space="preserve"> </w:t>
      </w:r>
    </w:p>
    <w:p w14:paraId="5BA0E666" w14:textId="77777777" w:rsidR="00605B8D" w:rsidRDefault="00000000">
      <w:pPr>
        <w:ind w:left="709" w:hanging="709"/>
        <w:contextualSpacing/>
        <w:rPr>
          <w:rFonts w:ascii="Arial" w:hAnsi="Arial"/>
          <w:sz w:val="22"/>
          <w:szCs w:val="22"/>
        </w:rPr>
      </w:pPr>
      <w:r>
        <w:rPr>
          <w:rFonts w:ascii="Arial" w:hAnsi="Arial"/>
          <w:sz w:val="22"/>
          <w:szCs w:val="22"/>
        </w:rPr>
        <w:t xml:space="preserve">2. Afshar, Y., Dong, J., Zhao, P., Li, L., Zhang, R. Y., Zhang, C., Yin, O., Han, C. S., Einerson, B. D., Gonzalez, T. L., Zhang, H., Zhou, A., Yang, Z., Chou, S., Sun, N., Cheng, J., Zhu, H., Wang, J., </w:t>
      </w:r>
      <w:r>
        <w:rPr>
          <w:rFonts w:ascii="Arial" w:hAnsi="Arial"/>
          <w:sz w:val="22"/>
          <w:szCs w:val="22"/>
        </w:rPr>
        <w:lastRenderedPageBreak/>
        <w:t xml:space="preserve">Zhang, T. </w:t>
      </w:r>
      <w:proofErr w:type="gramStart"/>
      <w:r>
        <w:rPr>
          <w:rFonts w:ascii="Arial" w:hAnsi="Arial"/>
          <w:sz w:val="22"/>
          <w:szCs w:val="22"/>
        </w:rPr>
        <w:t>X.,…</w:t>
      </w:r>
      <w:proofErr w:type="gramEnd"/>
      <w:r>
        <w:rPr>
          <w:rFonts w:ascii="Arial" w:hAnsi="Arial"/>
          <w:sz w:val="22"/>
          <w:szCs w:val="22"/>
        </w:rPr>
        <w:t xml:space="preserve">, Zhu, Y. (August 3, 2021). Circulating trophoblast cell clusters for early detection of placenta accreta </w:t>
      </w:r>
      <w:proofErr w:type="spellStart"/>
      <w:r>
        <w:rPr>
          <w:rFonts w:ascii="Arial" w:hAnsi="Arial"/>
          <w:sz w:val="22"/>
          <w:szCs w:val="22"/>
        </w:rPr>
        <w:t>spectruk</w:t>
      </w:r>
      <w:proofErr w:type="spellEnd"/>
      <w:r>
        <w:rPr>
          <w:rFonts w:ascii="Arial" w:hAnsi="Arial"/>
          <w:sz w:val="22"/>
          <w:szCs w:val="22"/>
        </w:rPr>
        <w:t xml:space="preserve"> disorders. </w:t>
      </w:r>
      <w:r>
        <w:rPr>
          <w:rFonts w:ascii="Arial" w:hAnsi="Arial"/>
          <w:i/>
          <w:iCs/>
          <w:sz w:val="22"/>
          <w:szCs w:val="22"/>
        </w:rPr>
        <w:t>Nature Communications, 12</w:t>
      </w:r>
      <w:r>
        <w:rPr>
          <w:rFonts w:ascii="Arial" w:hAnsi="Arial"/>
          <w:sz w:val="22"/>
          <w:szCs w:val="22"/>
        </w:rPr>
        <w:t>(4408).</w:t>
      </w:r>
      <w:r>
        <w:rPr>
          <w:rFonts w:ascii="Arial" w:hAnsi="Arial"/>
          <w:i/>
          <w:iCs/>
          <w:sz w:val="22"/>
          <w:szCs w:val="22"/>
        </w:rPr>
        <w:t xml:space="preserve"> </w:t>
      </w:r>
      <w:hyperlink r:id="rId7">
        <w:r>
          <w:rPr>
            <w:rStyle w:val="Hyperlink"/>
            <w:rFonts w:ascii="Arial" w:hAnsi="Arial"/>
            <w:i/>
            <w:iCs/>
            <w:sz w:val="22"/>
            <w:szCs w:val="22"/>
          </w:rPr>
          <w:t>https://doi.org/10.1038/s41467-021-24627-2</w:t>
        </w:r>
      </w:hyperlink>
      <w:r>
        <w:rPr>
          <w:rFonts w:ascii="Arial" w:hAnsi="Arial"/>
          <w:i/>
          <w:iCs/>
          <w:sz w:val="22"/>
          <w:szCs w:val="22"/>
        </w:rPr>
        <w:t xml:space="preserve"> </w:t>
      </w:r>
    </w:p>
    <w:p w14:paraId="46B3C114" w14:textId="77777777" w:rsidR="00605B8D" w:rsidRDefault="00000000">
      <w:pPr>
        <w:ind w:left="709" w:hanging="709"/>
        <w:contextualSpacing/>
        <w:rPr>
          <w:rFonts w:ascii="Arial" w:hAnsi="Arial"/>
          <w:sz w:val="22"/>
          <w:szCs w:val="22"/>
        </w:rPr>
      </w:pPr>
      <w:r>
        <w:rPr>
          <w:rFonts w:ascii="Arial" w:hAnsi="Arial"/>
          <w:sz w:val="22"/>
          <w:szCs w:val="22"/>
        </w:rPr>
        <w:t xml:space="preserve">3. </w:t>
      </w:r>
      <w:r>
        <w:rPr>
          <w:rFonts w:ascii="Arial" w:hAnsi="Arial"/>
          <w:i/>
          <w:iCs/>
          <w:sz w:val="22"/>
          <w:szCs w:val="22"/>
        </w:rPr>
        <w:t>Placenta Accreta Spectrum Disorder</w:t>
      </w:r>
      <w:r>
        <w:rPr>
          <w:rFonts w:ascii="Arial" w:hAnsi="Arial"/>
          <w:sz w:val="22"/>
          <w:szCs w:val="22"/>
        </w:rPr>
        <w:t xml:space="preserve">. (n.d.). UPMC. </w:t>
      </w:r>
      <w:hyperlink r:id="rId8">
        <w:r>
          <w:rPr>
            <w:rStyle w:val="Hyperlink"/>
            <w:rFonts w:ascii="Arial" w:hAnsi="Arial"/>
            <w:sz w:val="22"/>
            <w:szCs w:val="22"/>
          </w:rPr>
          <w:t>https://www.upmc.com/conditions/p/placenta-accreta</w:t>
        </w:r>
      </w:hyperlink>
      <w:r>
        <w:rPr>
          <w:rFonts w:ascii="Arial" w:hAnsi="Arial"/>
          <w:sz w:val="22"/>
          <w:szCs w:val="22"/>
        </w:rPr>
        <w:t xml:space="preserve"> </w:t>
      </w:r>
    </w:p>
    <w:p w14:paraId="7902F6ED" w14:textId="77777777" w:rsidR="00605B8D" w:rsidRPr="00786F9D" w:rsidRDefault="00000000">
      <w:pPr>
        <w:ind w:left="709" w:hanging="709"/>
        <w:contextualSpacing/>
        <w:rPr>
          <w:lang w:val="es-MX"/>
        </w:rPr>
      </w:pPr>
      <w:r>
        <w:rPr>
          <w:rFonts w:ascii="Arial" w:hAnsi="Arial"/>
          <w:sz w:val="22"/>
          <w:szCs w:val="22"/>
        </w:rPr>
        <w:t xml:space="preserve">4. Javed, H., Habiba, U., Rubab, U. E., Saleem, S., Khan, Z. A., Ghafoor, L. A., Karim, S., Noor, S. M., Shah, M., &amp; Khan, W. S. (January 9, 2026). Risk Factors Associated With Placenta Previa: A Matched Case-Control Study. </w:t>
      </w:r>
      <w:proofErr w:type="spellStart"/>
      <w:r w:rsidRPr="00786F9D">
        <w:rPr>
          <w:rFonts w:ascii="Arial" w:hAnsi="Arial"/>
          <w:i/>
          <w:iCs/>
          <w:sz w:val="22"/>
          <w:szCs w:val="22"/>
          <w:lang w:val="es-MX"/>
        </w:rPr>
        <w:t>Cureus</w:t>
      </w:r>
      <w:proofErr w:type="spellEnd"/>
      <w:r w:rsidRPr="00786F9D">
        <w:rPr>
          <w:rFonts w:ascii="Arial" w:hAnsi="Arial"/>
          <w:i/>
          <w:iCs/>
          <w:sz w:val="22"/>
          <w:szCs w:val="22"/>
          <w:lang w:val="es-MX"/>
        </w:rPr>
        <w:t>, 18</w:t>
      </w:r>
      <w:r w:rsidRPr="00786F9D">
        <w:rPr>
          <w:rFonts w:ascii="Arial" w:hAnsi="Arial"/>
          <w:sz w:val="22"/>
          <w:szCs w:val="22"/>
          <w:lang w:val="es-MX"/>
        </w:rPr>
        <w:t>(1). doi:</w:t>
      </w:r>
      <w:hyperlink r:id="rId9" w:tgtFrame="_blank">
        <w:r w:rsidRPr="00786F9D">
          <w:rPr>
            <w:rStyle w:val="Hyperlink"/>
            <w:rFonts w:ascii="Arial" w:hAnsi="Arial"/>
            <w:color w:val="1A4480"/>
            <w:sz w:val="22"/>
            <w:szCs w:val="22"/>
            <w:lang w:val="es-MX"/>
          </w:rPr>
          <w:t>10.7759/cureus.101157</w:t>
        </w:r>
      </w:hyperlink>
    </w:p>
    <w:p w14:paraId="01C7DA10" w14:textId="77777777" w:rsidR="00605B8D" w:rsidRDefault="00000000">
      <w:pPr>
        <w:ind w:left="709" w:hanging="709"/>
        <w:contextualSpacing/>
      </w:pPr>
      <w:r w:rsidRPr="00786F9D">
        <w:rPr>
          <w:rFonts w:ascii="Arial" w:hAnsi="Arial"/>
          <w:sz w:val="22"/>
          <w:szCs w:val="22"/>
          <w:lang w:val="es-MX"/>
        </w:rPr>
        <w:t xml:space="preserve">5. </w:t>
      </w:r>
      <w:proofErr w:type="spellStart"/>
      <w:r w:rsidRPr="00786F9D">
        <w:rPr>
          <w:rFonts w:ascii="Arial" w:hAnsi="Arial"/>
          <w:sz w:val="22"/>
          <w:szCs w:val="22"/>
          <w:lang w:val="es-MX"/>
        </w:rPr>
        <w:t>Kuribayashi</w:t>
      </w:r>
      <w:proofErr w:type="spellEnd"/>
      <w:r w:rsidRPr="00786F9D">
        <w:rPr>
          <w:rFonts w:ascii="Arial" w:hAnsi="Arial"/>
          <w:sz w:val="22"/>
          <w:szCs w:val="22"/>
          <w:lang w:val="es-MX"/>
        </w:rPr>
        <w:t xml:space="preserve">, M., Tsuda, H., </w:t>
      </w:r>
      <w:proofErr w:type="spellStart"/>
      <w:r w:rsidRPr="00786F9D">
        <w:rPr>
          <w:rFonts w:ascii="Arial" w:hAnsi="Arial"/>
          <w:sz w:val="22"/>
          <w:szCs w:val="22"/>
          <w:lang w:val="es-MX"/>
        </w:rPr>
        <w:t>Ito</w:t>
      </w:r>
      <w:proofErr w:type="spellEnd"/>
      <w:r w:rsidRPr="00786F9D">
        <w:rPr>
          <w:rFonts w:ascii="Arial" w:hAnsi="Arial"/>
          <w:sz w:val="22"/>
          <w:szCs w:val="22"/>
          <w:lang w:val="es-MX"/>
        </w:rPr>
        <w:t xml:space="preserve">, Y., Tezuka, A., Ando, T., </w:t>
      </w:r>
      <w:proofErr w:type="spellStart"/>
      <w:r w:rsidRPr="00786F9D">
        <w:rPr>
          <w:rFonts w:ascii="Arial" w:hAnsi="Arial"/>
          <w:sz w:val="22"/>
          <w:szCs w:val="22"/>
          <w:lang w:val="es-MX"/>
        </w:rPr>
        <w:t>Tamakoshi</w:t>
      </w:r>
      <w:proofErr w:type="spellEnd"/>
      <w:r w:rsidRPr="00786F9D">
        <w:rPr>
          <w:rFonts w:ascii="Arial" w:hAnsi="Arial"/>
          <w:sz w:val="22"/>
          <w:szCs w:val="22"/>
          <w:lang w:val="es-MX"/>
        </w:rPr>
        <w:t xml:space="preserve">, K., &amp; Mizuno, K. (November 5, 2021). </w:t>
      </w:r>
      <w:r>
        <w:rPr>
          <w:rFonts w:ascii="Arial" w:hAnsi="Arial"/>
          <w:sz w:val="22"/>
          <w:szCs w:val="22"/>
        </w:rPr>
        <w:t xml:space="preserve">Evaluation of the risk factors for antepartum hemorrhage in cases of placenta previa: a retrospective cohort study. </w:t>
      </w:r>
      <w:r>
        <w:rPr>
          <w:rFonts w:ascii="Arial" w:hAnsi="Arial"/>
          <w:i/>
          <w:iCs/>
          <w:sz w:val="22"/>
          <w:szCs w:val="22"/>
        </w:rPr>
        <w:t>Journal of International Medical Research,49</w:t>
      </w:r>
      <w:r>
        <w:rPr>
          <w:rFonts w:ascii="Arial" w:hAnsi="Arial"/>
          <w:sz w:val="22"/>
          <w:szCs w:val="22"/>
        </w:rPr>
        <w:t>(11).</w:t>
      </w:r>
      <w:r>
        <w:rPr>
          <w:rFonts w:ascii="Arial" w:hAnsi="Arial"/>
          <w:i/>
          <w:iCs/>
          <w:sz w:val="22"/>
          <w:szCs w:val="22"/>
        </w:rPr>
        <w:t xml:space="preserve"> </w:t>
      </w:r>
      <w:r>
        <w:rPr>
          <w:rFonts w:ascii="Arial" w:hAnsi="Arial"/>
          <w:color w:val="1B1B1B"/>
          <w:sz w:val="22"/>
          <w:szCs w:val="22"/>
        </w:rPr>
        <w:t>doi:</w:t>
      </w:r>
      <w:hyperlink r:id="rId10" w:tgtFrame="_blank">
        <w:r>
          <w:rPr>
            <w:rStyle w:val="Hyperlink"/>
            <w:rFonts w:ascii="Arial" w:hAnsi="Arial"/>
            <w:color w:val="005EA2"/>
            <w:sz w:val="22"/>
            <w:szCs w:val="22"/>
          </w:rPr>
          <w:t>10.1177/03000605211054706</w:t>
        </w:r>
      </w:hyperlink>
      <w:r>
        <w:rPr>
          <w:rFonts w:ascii="Arial" w:hAnsi="Arial"/>
          <w:sz w:val="22"/>
          <w:szCs w:val="22"/>
        </w:rPr>
        <w:t xml:space="preserve"> </w:t>
      </w:r>
    </w:p>
    <w:p w14:paraId="6B0543F1" w14:textId="77777777" w:rsidR="00605B8D" w:rsidRDefault="00000000">
      <w:pPr>
        <w:ind w:left="709" w:hanging="709"/>
        <w:contextualSpacing/>
        <w:rPr>
          <w:rFonts w:ascii="Liberation Sans" w:hAnsi="Liberation Sans"/>
          <w:sz w:val="22"/>
          <w:szCs w:val="22"/>
        </w:rPr>
      </w:pPr>
      <w:r>
        <w:rPr>
          <w:rFonts w:ascii="Arial" w:hAnsi="Arial"/>
          <w:sz w:val="22"/>
          <w:szCs w:val="22"/>
        </w:rPr>
        <w:t xml:space="preserve">6. </w:t>
      </w:r>
      <w:r>
        <w:rPr>
          <w:rFonts w:ascii="Arial" w:hAnsi="Arial"/>
          <w:i/>
          <w:iCs/>
          <w:sz w:val="22"/>
          <w:szCs w:val="22"/>
        </w:rPr>
        <w:t>AI Hallucination Rates &amp; Benchmarks in 2026.</w:t>
      </w:r>
      <w:r>
        <w:rPr>
          <w:rFonts w:ascii="Arial" w:hAnsi="Arial"/>
          <w:sz w:val="22"/>
          <w:szCs w:val="22"/>
        </w:rPr>
        <w:t xml:space="preserve"> (June 9, 2026). </w:t>
      </w:r>
      <w:proofErr w:type="spellStart"/>
      <w:r>
        <w:rPr>
          <w:rFonts w:ascii="Arial" w:hAnsi="Arial"/>
          <w:sz w:val="22"/>
          <w:szCs w:val="22"/>
        </w:rPr>
        <w:t>Suprmind</w:t>
      </w:r>
      <w:proofErr w:type="spellEnd"/>
      <w:r>
        <w:rPr>
          <w:rFonts w:ascii="Arial" w:hAnsi="Arial"/>
          <w:sz w:val="22"/>
          <w:szCs w:val="22"/>
        </w:rPr>
        <w:t>.</w:t>
      </w:r>
      <w:r>
        <w:rPr>
          <w:rFonts w:ascii="Arial" w:hAnsi="Arial"/>
          <w:i/>
          <w:iCs/>
          <w:sz w:val="22"/>
          <w:szCs w:val="22"/>
        </w:rPr>
        <w:t xml:space="preserve"> </w:t>
      </w:r>
      <w:hyperlink r:id="rId11">
        <w:r>
          <w:rPr>
            <w:rStyle w:val="Hyperlink"/>
            <w:rFonts w:ascii="Arial" w:hAnsi="Arial"/>
            <w:sz w:val="22"/>
            <w:szCs w:val="22"/>
          </w:rPr>
          <w:t>https://suprmind.ai/hub/ai-hallucination-rates-and-benchmarks/</w:t>
        </w:r>
      </w:hyperlink>
      <w:r>
        <w:rPr>
          <w:rFonts w:ascii="Arial" w:hAnsi="Arial"/>
          <w:sz w:val="22"/>
          <w:szCs w:val="22"/>
        </w:rPr>
        <w:t xml:space="preserve"> </w:t>
      </w:r>
    </w:p>
    <w:p w14:paraId="440C743B" w14:textId="77777777" w:rsidR="00605B8D" w:rsidRDefault="00000000">
      <w:pPr>
        <w:ind w:left="709" w:hanging="709"/>
        <w:contextualSpacing/>
        <w:rPr>
          <w:rFonts w:ascii="Liberation Sans" w:hAnsi="Liberation Sans"/>
          <w:sz w:val="22"/>
          <w:szCs w:val="22"/>
        </w:rPr>
      </w:pPr>
      <w:r>
        <w:rPr>
          <w:rFonts w:ascii="Arial" w:hAnsi="Arial"/>
          <w:sz w:val="22"/>
          <w:szCs w:val="22"/>
        </w:rPr>
        <w:t>7. Karpathy, A. [</w:t>
      </w:r>
      <w:proofErr w:type="spellStart"/>
      <w:r>
        <w:rPr>
          <w:rFonts w:ascii="Arial" w:hAnsi="Arial"/>
          <w:sz w:val="22"/>
          <w:szCs w:val="22"/>
        </w:rPr>
        <w:t>karpathy</w:t>
      </w:r>
      <w:proofErr w:type="spellEnd"/>
      <w:r>
        <w:rPr>
          <w:rFonts w:ascii="Arial" w:hAnsi="Arial"/>
          <w:sz w:val="22"/>
          <w:szCs w:val="22"/>
        </w:rPr>
        <w:t xml:space="preserve">]. (April 4, 2026). </w:t>
      </w:r>
      <w:r>
        <w:rPr>
          <w:rFonts w:ascii="Arial" w:hAnsi="Arial"/>
          <w:i/>
          <w:iCs/>
          <w:sz w:val="22"/>
          <w:szCs w:val="22"/>
        </w:rPr>
        <w:t>LLM Wiki</w:t>
      </w:r>
      <w:r>
        <w:rPr>
          <w:rFonts w:ascii="Arial" w:hAnsi="Arial"/>
          <w:sz w:val="22"/>
          <w:szCs w:val="22"/>
        </w:rPr>
        <w:t xml:space="preserve"> [Web log post]. GitHub. </w:t>
      </w:r>
      <w:hyperlink r:id="rId12">
        <w:r>
          <w:rPr>
            <w:rStyle w:val="Hyperlink"/>
            <w:rFonts w:ascii="Arial" w:hAnsi="Arial"/>
            <w:sz w:val="22"/>
            <w:szCs w:val="22"/>
          </w:rPr>
          <w:t>https://gist.github.com/karpathy/442a6bf555914893e9891c11519de94f</w:t>
        </w:r>
      </w:hyperlink>
      <w:r>
        <w:rPr>
          <w:rFonts w:ascii="Arial" w:hAnsi="Arial"/>
          <w:sz w:val="22"/>
          <w:szCs w:val="22"/>
        </w:rPr>
        <w:t xml:space="preserve"> </w:t>
      </w:r>
    </w:p>
    <w:p w14:paraId="2CD3D9C5" w14:textId="77777777" w:rsidR="00605B8D" w:rsidRDefault="00000000">
      <w:pPr>
        <w:ind w:left="709" w:hanging="709"/>
        <w:contextualSpacing/>
        <w:rPr>
          <w:rFonts w:ascii="Liberation Sans" w:hAnsi="Liberation Sans"/>
          <w:sz w:val="22"/>
          <w:szCs w:val="22"/>
        </w:rPr>
      </w:pPr>
      <w:r>
        <w:rPr>
          <w:rFonts w:ascii="Arial" w:hAnsi="Arial"/>
          <w:sz w:val="22"/>
          <w:szCs w:val="22"/>
        </w:rPr>
        <w:t xml:space="preserve">8. </w:t>
      </w:r>
      <w:r>
        <w:rPr>
          <w:rFonts w:ascii="Arial" w:hAnsi="Arial"/>
          <w:i/>
          <w:iCs/>
          <w:sz w:val="22"/>
          <w:szCs w:val="22"/>
        </w:rPr>
        <w:t>Biomarkers.</w:t>
      </w:r>
      <w:r>
        <w:rPr>
          <w:rFonts w:ascii="Arial" w:hAnsi="Arial"/>
          <w:sz w:val="22"/>
          <w:szCs w:val="22"/>
        </w:rPr>
        <w:t xml:space="preserve"> </w:t>
      </w:r>
      <w:proofErr w:type="gramStart"/>
      <w:r>
        <w:rPr>
          <w:rFonts w:ascii="Arial" w:hAnsi="Arial"/>
          <w:sz w:val="22"/>
          <w:szCs w:val="22"/>
        </w:rPr>
        <w:t>(n.d.) National Institute</w:t>
      </w:r>
      <w:proofErr w:type="gramEnd"/>
      <w:r>
        <w:rPr>
          <w:rFonts w:ascii="Arial" w:hAnsi="Arial"/>
          <w:sz w:val="22"/>
          <w:szCs w:val="22"/>
        </w:rPr>
        <w:t xml:space="preserve"> of Environmental Health Sciences. </w:t>
      </w:r>
      <w:hyperlink r:id="rId13">
        <w:r>
          <w:rPr>
            <w:rStyle w:val="Hyperlink"/>
            <w:rFonts w:ascii="Arial" w:hAnsi="Arial"/>
            <w:sz w:val="22"/>
            <w:szCs w:val="22"/>
          </w:rPr>
          <w:t>https://www.niehs.nih.gov/health/topics/science/biomarkers</w:t>
        </w:r>
      </w:hyperlink>
      <w:r>
        <w:rPr>
          <w:rFonts w:ascii="Arial" w:hAnsi="Arial"/>
          <w:sz w:val="22"/>
          <w:szCs w:val="22"/>
        </w:rPr>
        <w:t xml:space="preserve"> </w:t>
      </w:r>
    </w:p>
    <w:p w14:paraId="56562857" w14:textId="77777777" w:rsidR="00605B8D" w:rsidRDefault="00000000">
      <w:pPr>
        <w:ind w:left="709" w:hanging="709"/>
        <w:contextualSpacing/>
        <w:rPr>
          <w:rFonts w:ascii="Liberation Sans" w:hAnsi="Liberation Sans"/>
          <w:sz w:val="22"/>
          <w:szCs w:val="22"/>
        </w:rPr>
      </w:pPr>
      <w:r>
        <w:rPr>
          <w:rFonts w:ascii="Arial" w:hAnsi="Arial"/>
          <w:sz w:val="22"/>
          <w:szCs w:val="22"/>
        </w:rPr>
        <w:t xml:space="preserve">9. Teacher’s Tech. (April 12, 2026). </w:t>
      </w:r>
      <w:proofErr w:type="spellStart"/>
      <w:r>
        <w:rPr>
          <w:rFonts w:ascii="Arial" w:hAnsi="Arial"/>
          <w:i/>
          <w:iCs/>
          <w:sz w:val="22"/>
          <w:szCs w:val="22"/>
        </w:rPr>
        <w:t>Karpathy’s</w:t>
      </w:r>
      <w:proofErr w:type="spellEnd"/>
      <w:r>
        <w:rPr>
          <w:rFonts w:ascii="Arial" w:hAnsi="Arial"/>
          <w:i/>
          <w:iCs/>
          <w:sz w:val="22"/>
          <w:szCs w:val="22"/>
        </w:rPr>
        <w:t xml:space="preserve"> LLM Wiki – Full Beginner Setup Guide</w:t>
      </w:r>
      <w:r>
        <w:rPr>
          <w:rFonts w:ascii="Arial" w:hAnsi="Arial"/>
          <w:sz w:val="22"/>
          <w:szCs w:val="22"/>
        </w:rPr>
        <w:t xml:space="preserve"> [Video]. YouTube. </w:t>
      </w:r>
      <w:hyperlink r:id="rId14">
        <w:r>
          <w:rPr>
            <w:rStyle w:val="Hyperlink"/>
            <w:rFonts w:ascii="Arial" w:hAnsi="Arial"/>
            <w:sz w:val="22"/>
            <w:szCs w:val="22"/>
          </w:rPr>
          <w:t>https://www.youtube.com/watch?v=iXd0t60YmMw</w:t>
        </w:r>
      </w:hyperlink>
      <w:r>
        <w:rPr>
          <w:rFonts w:ascii="Arial" w:hAnsi="Arial"/>
          <w:sz w:val="22"/>
          <w:szCs w:val="22"/>
        </w:rPr>
        <w:t xml:space="preserve"> </w:t>
      </w:r>
    </w:p>
    <w:p w14:paraId="42568046" w14:textId="77777777" w:rsidR="00605B8D" w:rsidRDefault="00000000">
      <w:pPr>
        <w:ind w:left="709" w:hanging="709"/>
        <w:contextualSpacing/>
        <w:rPr>
          <w:rFonts w:ascii="Liberation Sans" w:hAnsi="Liberation Sans"/>
          <w:sz w:val="22"/>
          <w:szCs w:val="22"/>
        </w:rPr>
      </w:pPr>
      <w:r>
        <w:rPr>
          <w:rFonts w:ascii="Arial" w:hAnsi="Arial"/>
          <w:sz w:val="22"/>
          <w:szCs w:val="22"/>
        </w:rPr>
        <w:t xml:space="preserve">10. Keet, J. (April 11, 2026). </w:t>
      </w:r>
      <w:r>
        <w:rPr>
          <w:rFonts w:ascii="Arial" w:hAnsi="Arial"/>
          <w:i/>
          <w:iCs/>
          <w:sz w:val="22"/>
          <w:szCs w:val="22"/>
        </w:rPr>
        <w:t xml:space="preserve">CLAUDE.md </w:t>
      </w:r>
      <w:r>
        <w:rPr>
          <w:rFonts w:ascii="Arial" w:hAnsi="Arial"/>
          <w:sz w:val="22"/>
          <w:szCs w:val="22"/>
        </w:rPr>
        <w:t xml:space="preserve">[Source code]. Dropbox. </w:t>
      </w:r>
      <w:hyperlink r:id="rId15">
        <w:r>
          <w:rPr>
            <w:rStyle w:val="Hyperlink"/>
            <w:rFonts w:ascii="Arial" w:hAnsi="Arial"/>
            <w:sz w:val="22"/>
            <w:szCs w:val="22"/>
          </w:rPr>
          <w:t>https://www.dropbox.com/scl/fi/pcta8aoyc6e1o0do17hd3/CLAUDE.md?rlkey=kjw290wwvlckdsf03tkz7hraq&amp;st=8cmoy64p&amp;e=3&amp;dl=0</w:t>
        </w:r>
      </w:hyperlink>
      <w:r>
        <w:rPr>
          <w:rFonts w:ascii="Arial" w:hAnsi="Arial"/>
          <w:sz w:val="22"/>
          <w:szCs w:val="22"/>
        </w:rPr>
        <w:t xml:space="preserve"> </w:t>
      </w:r>
    </w:p>
    <w:p w14:paraId="38F5A462" w14:textId="19175436" w:rsidR="007A7E20" w:rsidRDefault="00000000" w:rsidP="007A7E20">
      <w:pPr>
        <w:ind w:left="709" w:hanging="709"/>
        <w:contextualSpacing/>
        <w:rPr>
          <w:rFonts w:ascii="Arial" w:hAnsi="Arial"/>
          <w:sz w:val="22"/>
          <w:szCs w:val="22"/>
        </w:rPr>
      </w:pPr>
      <w:r>
        <w:rPr>
          <w:rFonts w:ascii="Arial" w:hAnsi="Arial"/>
          <w:sz w:val="22"/>
          <w:szCs w:val="22"/>
        </w:rPr>
        <w:t>11. Kim, J. [</w:t>
      </w:r>
      <w:proofErr w:type="spellStart"/>
      <w:r>
        <w:rPr>
          <w:rFonts w:ascii="Arial" w:hAnsi="Arial"/>
          <w:sz w:val="22"/>
          <w:szCs w:val="22"/>
        </w:rPr>
        <w:t>junhewk</w:t>
      </w:r>
      <w:proofErr w:type="spellEnd"/>
      <w:r>
        <w:rPr>
          <w:rFonts w:ascii="Arial" w:hAnsi="Arial"/>
          <w:sz w:val="22"/>
          <w:szCs w:val="22"/>
        </w:rPr>
        <w:t xml:space="preserve">]. (2025). </w:t>
      </w:r>
      <w:r>
        <w:rPr>
          <w:rFonts w:ascii="Arial" w:hAnsi="Arial"/>
          <w:i/>
          <w:iCs/>
          <w:sz w:val="22"/>
          <w:szCs w:val="22"/>
        </w:rPr>
        <w:t xml:space="preserve">Simple Graph Builder </w:t>
      </w:r>
      <w:r>
        <w:rPr>
          <w:rFonts w:ascii="Arial" w:hAnsi="Arial"/>
          <w:sz w:val="22"/>
          <w:szCs w:val="22"/>
        </w:rPr>
        <w:t>(Version 0.3.8)</w:t>
      </w:r>
      <w:r>
        <w:rPr>
          <w:rFonts w:ascii="Arial" w:hAnsi="Arial"/>
          <w:i/>
          <w:iCs/>
          <w:sz w:val="22"/>
          <w:szCs w:val="22"/>
        </w:rPr>
        <w:t xml:space="preserve"> </w:t>
      </w:r>
      <w:r>
        <w:rPr>
          <w:rFonts w:ascii="Arial" w:hAnsi="Arial"/>
          <w:sz w:val="22"/>
          <w:szCs w:val="22"/>
        </w:rPr>
        <w:t xml:space="preserve">[Computer software]. Obsidian.  </w:t>
      </w:r>
      <w:hyperlink r:id="rId16">
        <w:r>
          <w:rPr>
            <w:rStyle w:val="Hyperlink"/>
            <w:rFonts w:ascii="Arial" w:hAnsi="Arial"/>
            <w:sz w:val="22"/>
            <w:szCs w:val="22"/>
          </w:rPr>
          <w:t>https://community.obsidian.md/plugins/simple-graph-builder</w:t>
        </w:r>
      </w:hyperlink>
      <w:r>
        <w:rPr>
          <w:rFonts w:ascii="Arial" w:hAnsi="Arial"/>
          <w:sz w:val="22"/>
          <w:szCs w:val="22"/>
        </w:rPr>
        <w:t xml:space="preserve"> </w:t>
      </w:r>
    </w:p>
    <w:p w14:paraId="20C75560" w14:textId="52FFB318" w:rsidR="007A7E20" w:rsidRPr="00FC73AD" w:rsidRDefault="007A7E20" w:rsidP="00FC73AD">
      <w:pPr>
        <w:ind w:left="706" w:hanging="706"/>
        <w:rPr>
          <w:rFonts w:ascii="Arial" w:hAnsi="Arial"/>
          <w:sz w:val="22"/>
          <w:szCs w:val="22"/>
        </w:rPr>
      </w:pPr>
      <w:r>
        <w:rPr>
          <w:rFonts w:ascii="Arial" w:hAnsi="Arial"/>
          <w:sz w:val="22"/>
          <w:szCs w:val="22"/>
        </w:rPr>
        <w:t xml:space="preserve">12. </w:t>
      </w:r>
      <w:r w:rsidR="00FC73AD">
        <w:rPr>
          <w:rFonts w:ascii="Arial" w:hAnsi="Arial"/>
          <w:sz w:val="22"/>
          <w:szCs w:val="22"/>
        </w:rPr>
        <w:t xml:space="preserve">American College of Obstetricians and Gynecologists (ACOG) &amp; the Society for Maternal-Fetal Medicine. (December 2018). Placenta Accreta Spectrum. </w:t>
      </w:r>
      <w:r w:rsidR="00FC73AD">
        <w:rPr>
          <w:rFonts w:ascii="Arial" w:hAnsi="Arial"/>
          <w:i/>
          <w:iCs/>
          <w:sz w:val="22"/>
          <w:szCs w:val="22"/>
        </w:rPr>
        <w:t>Obstetric Care Consensus, 132</w:t>
      </w:r>
      <w:r w:rsidR="00FC73AD">
        <w:rPr>
          <w:rFonts w:ascii="Arial" w:hAnsi="Arial"/>
          <w:sz w:val="22"/>
          <w:szCs w:val="22"/>
        </w:rPr>
        <w:t xml:space="preserve">(6). </w:t>
      </w:r>
      <w:hyperlink r:id="rId17" w:history="1">
        <w:r w:rsidR="00FC73AD" w:rsidRPr="0093642A">
          <w:rPr>
            <w:rStyle w:val="Hyperlink"/>
            <w:rFonts w:ascii="Arial" w:hAnsi="Arial"/>
            <w:sz w:val="22"/>
            <w:szCs w:val="22"/>
          </w:rPr>
          <w:t>https://www.acog.org/clinical/clinical-guidance/obstetric-care-consensus/articles/2018/12/placenta-accreta-spectrum#</w:t>
        </w:r>
      </w:hyperlink>
      <w:r w:rsidR="00FC73AD">
        <w:rPr>
          <w:rFonts w:ascii="Arial" w:hAnsi="Arial"/>
          <w:sz w:val="22"/>
          <w:szCs w:val="22"/>
        </w:rPr>
        <w:t xml:space="preserve"> </w:t>
      </w:r>
    </w:p>
    <w:sectPr w:rsidR="007A7E20" w:rsidRPr="00FC73AD">
      <w:pgSz w:w="12240" w:h="15840"/>
      <w:pgMar w:top="1134" w:right="1134" w:bottom="1134" w:left="1134" w:header="0" w:footer="0" w:gutter="0"/>
      <w:cols w:space="720"/>
      <w:formProt w:val="0"/>
      <w:docGrid w:linePitch="312"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panose1 w:val="05010000000000000000"/>
    <w:charset w:val="00"/>
    <w:family w:val="auto"/>
    <w:pitch w:val="variable"/>
    <w:sig w:usb0="800000AF" w:usb1="1001ECEA" w:usb2="00000000" w:usb3="00000000" w:csb0="80000001"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910B3"/>
    <w:multiLevelType w:val="hybridMultilevel"/>
    <w:tmpl w:val="8690E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BC26EE"/>
    <w:multiLevelType w:val="multilevel"/>
    <w:tmpl w:val="68ACEF3E"/>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3CC21AB6"/>
    <w:multiLevelType w:val="multilevel"/>
    <w:tmpl w:val="FD1A7AF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638413703">
    <w:abstractNumId w:val="2"/>
  </w:num>
  <w:num w:numId="2" w16cid:durableId="1226449162">
    <w:abstractNumId w:val="1"/>
  </w:num>
  <w:num w:numId="3" w16cid:durableId="1781610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hyphenationZone w:val="0"/>
  <w:characterSpacingControl w:val="doNotCompress"/>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05B8D"/>
    <w:rsid w:val="00022753"/>
    <w:rsid w:val="000E614B"/>
    <w:rsid w:val="00193EEF"/>
    <w:rsid w:val="002D7CD1"/>
    <w:rsid w:val="0030536D"/>
    <w:rsid w:val="00327D19"/>
    <w:rsid w:val="003B4AF8"/>
    <w:rsid w:val="003D0267"/>
    <w:rsid w:val="0040417F"/>
    <w:rsid w:val="00412B30"/>
    <w:rsid w:val="00481963"/>
    <w:rsid w:val="00482295"/>
    <w:rsid w:val="005C4EC1"/>
    <w:rsid w:val="00605B8D"/>
    <w:rsid w:val="006829A4"/>
    <w:rsid w:val="006E2B92"/>
    <w:rsid w:val="0072368E"/>
    <w:rsid w:val="007448D6"/>
    <w:rsid w:val="0075473D"/>
    <w:rsid w:val="00786F9D"/>
    <w:rsid w:val="007A7E20"/>
    <w:rsid w:val="007B6284"/>
    <w:rsid w:val="007E17F7"/>
    <w:rsid w:val="00962A67"/>
    <w:rsid w:val="00A136FD"/>
    <w:rsid w:val="00AB5D9A"/>
    <w:rsid w:val="00B40B11"/>
    <w:rsid w:val="00B5057B"/>
    <w:rsid w:val="00B76A37"/>
    <w:rsid w:val="00C71624"/>
    <w:rsid w:val="00CC1CF5"/>
    <w:rsid w:val="00D54499"/>
    <w:rsid w:val="00FC7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DCD88"/>
  <w15:docId w15:val="{1293A41C-C913-4D75-A221-B7D5A102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Hyperlink">
    <w:name w:val="Hyperlink"/>
    <w:rPr>
      <w:color w:val="000080"/>
      <w:u w:val="single"/>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Comment">
    <w:name w:val="Comment"/>
    <w:basedOn w:val="Normal"/>
    <w:qFormat/>
    <w:pPr>
      <w:spacing w:before="56"/>
      <w:ind w:left="57" w:right="57"/>
    </w:pPr>
    <w:rPr>
      <w:sz w:val="20"/>
      <w:szCs w:val="20"/>
    </w:rPr>
  </w:style>
  <w:style w:type="paragraph" w:customStyle="1" w:styleId="TableContents">
    <w:name w:val="Table Contents"/>
    <w:basedOn w:val="Normal"/>
    <w:qFormat/>
    <w:pPr>
      <w:widowControl w:val="0"/>
      <w:suppressLineNumbers/>
    </w:pPr>
  </w:style>
  <w:style w:type="paragraph" w:customStyle="1" w:styleId="HeaderandFooter">
    <w:name w:val="Header and Footer"/>
    <w:basedOn w:val="Normal"/>
    <w:qFormat/>
    <w:pPr>
      <w:suppressLineNumbers/>
      <w:tabs>
        <w:tab w:val="center" w:pos="4986"/>
        <w:tab w:val="right" w:pos="9972"/>
      </w:tabs>
    </w:pPr>
  </w:style>
  <w:style w:type="paragraph" w:styleId="Footer">
    <w:name w:val="footer"/>
    <w:basedOn w:val="HeaderandFooter"/>
  </w:style>
  <w:style w:type="character" w:styleId="UnresolvedMention">
    <w:name w:val="Unresolved Mention"/>
    <w:basedOn w:val="DefaultParagraphFont"/>
    <w:uiPriority w:val="99"/>
    <w:semiHidden/>
    <w:unhideWhenUsed/>
    <w:rsid w:val="00481963"/>
    <w:rPr>
      <w:color w:val="605E5C"/>
      <w:shd w:val="clear" w:color="auto" w:fill="E1DFDD"/>
    </w:rPr>
  </w:style>
  <w:style w:type="paragraph" w:styleId="ListParagraph">
    <w:name w:val="List Paragraph"/>
    <w:basedOn w:val="Normal"/>
    <w:uiPriority w:val="34"/>
    <w:qFormat/>
    <w:rsid w:val="007A7E20"/>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upmc.com/conditions/p/placenta-accreta" TargetMode="External"/><Relationship Id="rId13" Type="http://schemas.openxmlformats.org/officeDocument/2006/relationships/hyperlink" Target="https://www.niehs.nih.gov/health/topics/science/biomarker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38/s41467-021-24627-2" TargetMode="External"/><Relationship Id="rId12" Type="http://schemas.openxmlformats.org/officeDocument/2006/relationships/hyperlink" Target="https://gist.github.com/karpathy/442a6bf555914893e9891c11519de94f" TargetMode="External"/><Relationship Id="rId17" Type="http://schemas.openxmlformats.org/officeDocument/2006/relationships/hyperlink" Target="https://www.acog.org/clinical/clinical-guidance/obstetric-care-consensus/articles/2018/12/placenta-accreta-spectrum#" TargetMode="External"/><Relationship Id="rId2" Type="http://schemas.openxmlformats.org/officeDocument/2006/relationships/styles" Target="styles.xml"/><Relationship Id="rId16" Type="http://schemas.openxmlformats.org/officeDocument/2006/relationships/hyperlink" Target="https://community.obsidian.md/plugins/simple-graph-builder" TargetMode="External"/><Relationship Id="rId1" Type="http://schemas.openxmlformats.org/officeDocument/2006/relationships/numbering" Target="numbering.xml"/><Relationship Id="rId6" Type="http://schemas.openxmlformats.org/officeDocument/2006/relationships/hyperlink" Target="https://doi.org/10.1056/NEJMcp1709324" TargetMode="External"/><Relationship Id="rId11" Type="http://schemas.openxmlformats.org/officeDocument/2006/relationships/hyperlink" Target="https://suprmind.ai/hub/ai-hallucination-rates-and-benchmarks/" TargetMode="External"/><Relationship Id="rId5" Type="http://schemas.openxmlformats.org/officeDocument/2006/relationships/hyperlink" Target="https://github.com/Jillian-Puskar/Building-an-AI-Powered-Knowledge-Base-for-Biomarkers-of-Abnormal-Placentation-Disorders" TargetMode="External"/><Relationship Id="rId15" Type="http://schemas.openxmlformats.org/officeDocument/2006/relationships/hyperlink" Target="https://www.dropbox.com/scl/fi/pcta8aoyc6e1o0do17hd3/CLAUDE.md?rlkey=kjw290wwvlckdsf03tkz7hraq&amp;st=8cmoy64p&amp;e=3&amp;dl=0" TargetMode="External"/><Relationship Id="rId10" Type="http://schemas.openxmlformats.org/officeDocument/2006/relationships/hyperlink" Target="https://doi.org/10.1177/03000605211054706"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7759/cureus.101157" TargetMode="External"/><Relationship Id="rId14" Type="http://schemas.openxmlformats.org/officeDocument/2006/relationships/hyperlink" Target="https://www.youtube.com/watch?v=iXd0t60YmMw"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3011</Words>
  <Characters>17165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jp172659@mypacyber.org</dc:creator>
  <dc:description/>
  <cp:lastModifiedBy>jp172659@mypacyber.org</cp:lastModifiedBy>
  <cp:revision>2</cp:revision>
  <cp:lastPrinted>2026-07-10T09:09:00Z</cp:lastPrinted>
  <dcterms:created xsi:type="dcterms:W3CDTF">2026-07-23T16:50:00Z</dcterms:created>
  <dcterms:modified xsi:type="dcterms:W3CDTF">2026-07-23T16:50:00Z</dcterms:modified>
  <dc:language>en-US</dc:language>
</cp:coreProperties>
</file>