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6B2C3E" w:sz="24" w:space="12"/>
        </w:pBdr>
        <w:spacing w:after="60" w:before="1400"/>
        <w:jc w:val="left"/>
      </w:pPr>
      <w:r>
        <w:rPr>
          <w:rFonts w:ascii="Calibri" w:cs="Calibri" w:eastAsia="Calibri" w:hAnsi="Calibri"/>
          <w:b/>
          <w:bCs/>
          <w:color w:val="1A2733"/>
          <w:sz w:val="52"/>
          <w:szCs w:val="52"/>
        </w:rPr>
        <w:t xml:space="preserve">Critical Pathways and Biomarkers</w:t>
      </w:r>
    </w:p>
    <w:p>
      <w:pPr>
        <w:pBdr>
          <w:left w:val="single" w:color="6B2C3E" w:sz="24" w:space="12"/>
        </w:pBdr>
        <w:spacing w:after="40"/>
      </w:pPr>
      <w:r>
        <w:rPr>
          <w:rFonts w:ascii="Calibri" w:cs="Calibri" w:eastAsia="Calibri" w:hAnsi="Calibri"/>
          <w:color w:val="1F4E5F"/>
          <w:sz w:val="34"/>
          <w:szCs w:val="34"/>
        </w:rPr>
        <w:t xml:space="preserve">for the Early Detection of Placenta Accreta Spectrum</w:t>
      </w:r>
    </w:p>
    <w:p>
      <w:pPr>
        <w:pBdr>
          <w:left w:val="single" w:color="6B2C3E" w:sz="24" w:space="12"/>
        </w:pBdr>
        <w:spacing w:after="300"/>
      </w:pPr>
      <w:r>
        <w:rPr>
          <w:rFonts w:ascii="Calibri" w:cs="Calibri" w:eastAsia="Calibri" w:hAnsi="Calibri"/>
          <w:color w:val="1F4E5F"/>
          <w:sz w:val="34"/>
          <w:szCs w:val="34"/>
        </w:rPr>
        <w:t xml:space="preserve">and Placenta Previa Disorders</w:t>
      </w:r>
    </w:p>
    <w:p>
      <w:pPr>
        <w:spacing w:after="120" w:line="276"/>
      </w:pPr>
      <w:r>
        <w:rPr>
          <w:rFonts w:ascii="Calibri" w:cs="Calibri" w:eastAsia="Calibri" w:hAnsi="Calibri"/>
          <w:i/>
          <w:iCs/>
          <w:color w:val="556067"/>
          <w:sz w:val="21"/>
          <w:szCs w:val="21"/>
        </w:rPr>
        <w:t xml:space="preserve">A baseline knowledge reference. </w:t>
      </w:r>
      <w:r>
        <w:rPr>
          <w:rFonts w:ascii="Calibri" w:cs="Calibri" w:eastAsia="Calibri" w:hAnsi="Calibri"/>
          <w:color w:val="556067"/>
          <w:sz w:val="21"/>
          <w:szCs w:val="21"/>
        </w:rPr>
        <w:t xml:space="preserve">Compiled July 2026 from current peer-reviewed literature. This summary is intended as a scientific/educational reference and does not constitute clinical guidance.</w:t>
      </w:r>
    </w:p>
    <w:p>
      <w:pPr>
        <w:spacing w:after="160"/>
      </w:pPr>
    </w:p>
    <w:p>
      <w:pPr>
        <w:spacing w:after="100"/>
      </w:pPr>
      <w:r>
        <w:rPr>
          <w:rFonts w:ascii="Calibri" w:cs="Calibri" w:eastAsia="Calibri" w:hAnsi="Calibri"/>
          <w:b/>
          <w:bCs/>
          <w:color w:val="1F4E5F"/>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4E5F" w:sz="10" w:space="4"/>
        </w:pBdr>
        <w:spacing w:after="140" w:before="320"/>
      </w:pPr>
      <w:r>
        <w:rPr>
          <w:rFonts w:ascii="Calibri" w:cs="Calibri" w:eastAsia="Calibri" w:hAnsi="Calibri"/>
          <w:b/>
          <w:bCs/>
          <w:color w:val="1F4E5F"/>
          <w:sz w:val="30"/>
          <w:szCs w:val="30"/>
        </w:rPr>
        <w:t xml:space="preserve">1. Overview and Definitions</w:t>
      </w:r>
    </w:p>
    <w:p>
      <w:pPr>
        <w:spacing w:after="120" w:line="276"/>
      </w:pPr>
      <w:r>
        <w:rPr>
          <w:rFonts w:ascii="Calibri" w:cs="Calibri" w:eastAsia="Calibri" w:hAnsi="Calibri"/>
          <w:color w:val="1A2733"/>
          <w:sz w:val="21"/>
          <w:szCs w:val="21"/>
        </w:rPr>
        <w:t xml:space="preserve">Placenta previa and the placenta accreta spectrum (PAS) are related but distinct disorders of placental implantation that are leading contributors to severe maternal hemorrhage, transfusion, peripartum hysterectomy, and maternal mortality. They frequently co-occur, and previa is one of the strongest risk factors for PAS. Because outcomes improve dramatically when these conditions are anticipated before delivery, there is intense interest in pathways and biomarkers that permit reliable detection early in pregnancy — ideally in the first trimester — rather than at the traditional third-trimester ultrasound stage, which often identifies cases too late for optimal delivery planning.</w:t>
      </w:r>
    </w:p>
    <w:p>
      <w:pPr>
        <w:pStyle w:val="Heading2"/>
        <w:spacing w:after="90" w:before="220"/>
      </w:pPr>
      <w:r>
        <w:rPr>
          <w:rFonts w:ascii="Calibri" w:cs="Calibri" w:eastAsia="Calibri" w:hAnsi="Calibri"/>
          <w:b/>
          <w:bCs/>
          <w:color w:val="6B2C3E"/>
          <w:sz w:val="25"/>
          <w:szCs w:val="25"/>
        </w:rPr>
        <w:t xml:space="preserve">1.1 Placenta previa</w:t>
      </w:r>
    </w:p>
    <w:p>
      <w:pPr>
        <w:spacing w:after="120" w:line="276"/>
      </w:pPr>
      <w:r>
        <w:rPr>
          <w:rFonts w:ascii="Calibri" w:cs="Calibri" w:eastAsia="Calibri" w:hAnsi="Calibri"/>
          <w:color w:val="1A2733"/>
          <w:sz w:val="21"/>
          <w:szCs w:val="21"/>
        </w:rPr>
        <w:t xml:space="preserve">Placenta previa is an abnormally low placental location in which placental tissue overlies or lies adjacent to the internal cervical os. Complete previa denotes full coverage of the os; the older grading scheme distinguished minor (low-lying / reaching the os) from major (partially or completely covering the os) disease, and updated classifications aim to describe hemorrhage risk more precisely to guide management.</w:t>
      </w:r>
    </w:p>
    <w:p>
      <w:pPr>
        <w:pStyle w:val="Heading2"/>
        <w:spacing w:after="90" w:before="220"/>
      </w:pPr>
      <w:r>
        <w:rPr>
          <w:rFonts w:ascii="Calibri" w:cs="Calibri" w:eastAsia="Calibri" w:hAnsi="Calibri"/>
          <w:b/>
          <w:bCs/>
          <w:color w:val="6B2C3E"/>
          <w:sz w:val="25"/>
          <w:szCs w:val="25"/>
        </w:rPr>
        <w:t xml:space="preserve">1.2 Placenta accreta spectrum (PAS)</w:t>
      </w:r>
    </w:p>
    <w:p>
      <w:pPr>
        <w:spacing w:after="120" w:line="276"/>
      </w:pPr>
      <w:r>
        <w:rPr>
          <w:rFonts w:ascii="Calibri" w:cs="Calibri" w:eastAsia="Calibri" w:hAnsi="Calibri"/>
          <w:color w:val="1A2733"/>
          <w:sz w:val="21"/>
          <w:szCs w:val="21"/>
        </w:rPr>
        <w:t xml:space="preserve">PAS describes abnormally adherent or invasive placentation and is stratified by depth of myometrial involvement:</w:t>
      </w:r>
    </w:p>
    <w:p>
      <w:pPr>
        <w:pStyle w:val="ListParagraph"/>
        <w:numPr>
          <w:ilvl w:val="0"/>
          <w:numId w:val="2"/>
        </w:numPr>
        <w:spacing w:after="70" w:line="264"/>
      </w:pPr>
      <w:r>
        <w:rPr>
          <w:rFonts w:ascii="Calibri" w:cs="Calibri" w:eastAsia="Calibri" w:hAnsi="Calibri"/>
          <w:b/>
          <w:bCs/>
          <w:color w:val="1A2733"/>
          <w:sz w:val="21"/>
          <w:szCs w:val="21"/>
        </w:rPr>
        <w:t xml:space="preserve">Placenta accreta — </w:t>
      </w:r>
      <w:r>
        <w:rPr>
          <w:rFonts w:ascii="Calibri" w:cs="Calibri" w:eastAsia="Calibri" w:hAnsi="Calibri"/>
          <w:color w:val="1A2733"/>
          <w:sz w:val="21"/>
          <w:szCs w:val="21"/>
        </w:rPr>
        <w:t xml:space="preserve">adherence to myometrium with invasion of less than roughly half the myometrial thickness.</w:t>
      </w:r>
    </w:p>
    <w:p>
      <w:pPr>
        <w:pStyle w:val="ListParagraph"/>
        <w:numPr>
          <w:ilvl w:val="0"/>
          <w:numId w:val="2"/>
        </w:numPr>
        <w:spacing w:after="70" w:line="264"/>
      </w:pPr>
      <w:r>
        <w:rPr>
          <w:rFonts w:ascii="Calibri" w:cs="Calibri" w:eastAsia="Calibri" w:hAnsi="Calibri"/>
          <w:b/>
          <w:bCs/>
          <w:color w:val="1A2733"/>
          <w:sz w:val="21"/>
          <w:szCs w:val="21"/>
        </w:rPr>
        <w:t xml:space="preserve">Placenta increta — </w:t>
      </w:r>
      <w:r>
        <w:rPr>
          <w:rFonts w:ascii="Calibri" w:cs="Calibri" w:eastAsia="Calibri" w:hAnsi="Calibri"/>
          <w:color w:val="1A2733"/>
          <w:sz w:val="21"/>
          <w:szCs w:val="21"/>
        </w:rPr>
        <w:t xml:space="preserve">invasion extending through more than half of the myometrium.</w:t>
      </w:r>
    </w:p>
    <w:p>
      <w:pPr>
        <w:pStyle w:val="ListParagraph"/>
        <w:numPr>
          <w:ilvl w:val="0"/>
          <w:numId w:val="2"/>
        </w:numPr>
        <w:spacing w:after="70" w:line="264"/>
      </w:pPr>
      <w:r>
        <w:rPr>
          <w:rFonts w:ascii="Calibri" w:cs="Calibri" w:eastAsia="Calibri" w:hAnsi="Calibri"/>
          <w:b/>
          <w:bCs/>
          <w:color w:val="1A2733"/>
          <w:sz w:val="21"/>
          <w:szCs w:val="21"/>
        </w:rPr>
        <w:t xml:space="preserve">Placenta percreta — </w:t>
      </w:r>
      <w:r>
        <w:rPr>
          <w:rFonts w:ascii="Calibri" w:cs="Calibri" w:eastAsia="Calibri" w:hAnsi="Calibri"/>
          <w:color w:val="1A2733"/>
          <w:sz w:val="21"/>
          <w:szCs w:val="21"/>
        </w:rPr>
        <w:t xml:space="preserve">invasion through the full myometrial thickness and serosa, sometimes reaching adjacent organs such as the bladder.</w:t>
      </w:r>
    </w:p>
    <w:p>
      <w:pPr>
        <w:spacing w:after="120" w:line="276"/>
      </w:pPr>
      <w:r>
        <w:rPr>
          <w:rFonts w:ascii="Calibri" w:cs="Calibri" w:eastAsia="Calibri" w:hAnsi="Calibri"/>
          <w:color w:val="1A2733"/>
          <w:sz w:val="21"/>
          <w:szCs w:val="21"/>
        </w:rPr>
        <w:t xml:space="preserve">PAS incidence has risen in parallel with cesarean delivery rates, since uterine scarring is central to its pathogenesis. Its most consequential clinical feature is catastrophic hemorrhage at attempted placental separation, which is why antenatal recognition is so important.</w:t>
      </w:r>
    </w:p>
    <w:p>
      <w:pPr>
        <w:pStyle w:val="Heading1"/>
        <w:pBdr>
          <w:bottom w:val="single" w:color="1F4E5F" w:sz="10" w:space="4"/>
        </w:pBdr>
        <w:spacing w:after="140" w:before="320"/>
      </w:pPr>
      <w:r>
        <w:rPr>
          <w:rFonts w:ascii="Calibri" w:cs="Calibri" w:eastAsia="Calibri" w:hAnsi="Calibri"/>
          <w:b/>
          <w:bCs/>
          <w:color w:val="1F4E5F"/>
          <w:sz w:val="30"/>
          <w:szCs w:val="30"/>
        </w:rPr>
        <w:t xml:space="preserve">2. Critical Pathophysiological Pathways</w:t>
      </w:r>
    </w:p>
    <w:p>
      <w:pPr>
        <w:spacing w:after="120" w:line="276"/>
      </w:pPr>
      <w:r>
        <w:rPr>
          <w:rFonts w:ascii="Calibri" w:cs="Calibri" w:eastAsia="Calibri" w:hAnsi="Calibri"/>
          <w:color w:val="1A2733"/>
          <w:sz w:val="21"/>
          <w:szCs w:val="21"/>
        </w:rPr>
        <w:t xml:space="preserve">Normal placentation depends on tightly regulated invasion of extravillous trophoblasts (EVTs) into a receptive decidua, coordinated spiral artery remodeling, controlled extracellular matrix (ECM) turnover, and immune tolerance at the maternal–fetal interface. PAS represents a breakdown of these controls. Contemporary single-cell and spatial transcriptomic work has reframed PAS less as pure "trophoblast over-invasion" and more as a loss of boundary limits in the decidua and endothelium, in which deficient inhibitory cues in a scarred uterus permit unrestrained trophoblast contact with myometrium. The pathways below are the ones most consistently implicated.</w:t>
      </w:r>
    </w:p>
    <w:p>
      <w:pPr>
        <w:pStyle w:val="Heading2"/>
        <w:spacing w:after="90" w:before="220"/>
      </w:pPr>
      <w:r>
        <w:rPr>
          <w:rFonts w:ascii="Calibri" w:cs="Calibri" w:eastAsia="Calibri" w:hAnsi="Calibri"/>
          <w:b/>
          <w:bCs/>
          <w:color w:val="6B2C3E"/>
          <w:sz w:val="25"/>
          <w:szCs w:val="25"/>
        </w:rPr>
        <w:t xml:space="preserve">2.1 Decidual deficiency and loss of boundary limits</w:t>
      </w:r>
    </w:p>
    <w:p>
      <w:pPr>
        <w:spacing w:after="120" w:line="276"/>
      </w:pPr>
      <w:r>
        <w:rPr>
          <w:rFonts w:ascii="Calibri" w:cs="Calibri" w:eastAsia="Calibri" w:hAnsi="Calibri"/>
          <w:color w:val="1A2733"/>
          <w:sz w:val="21"/>
          <w:szCs w:val="21"/>
        </w:rPr>
        <w:t xml:space="preserve">A defective or absent decidua — typically over a cesarean scar — is regarded as the primary lesion. Where the decidua is incomplete, trophoblasts contact myometrium directly, and the normal signals that restrain invasion and enable clean placental separation are lost. Single-cell studies localize much of the abnormality to stromal and endothelial compartments rather than the trophoblast alone, with altered ECM remodeling, growth-factor signaling, and angiogenesis in the decidual bed.</w:t>
      </w:r>
    </w:p>
    <w:p>
      <w:pPr>
        <w:pStyle w:val="Heading2"/>
        <w:spacing w:after="90" w:before="220"/>
      </w:pPr>
      <w:r>
        <w:rPr>
          <w:rFonts w:ascii="Calibri" w:cs="Calibri" w:eastAsia="Calibri" w:hAnsi="Calibri"/>
          <w:b/>
          <w:bCs/>
          <w:color w:val="6B2C3E"/>
          <w:sz w:val="25"/>
          <w:szCs w:val="25"/>
        </w:rPr>
        <w:t xml:space="preserve">2.2 Trophoblast invasion and epithelial–mesenchymal transition (EMT)</w:t>
      </w:r>
    </w:p>
    <w:p>
      <w:pPr>
        <w:spacing w:after="120" w:line="276"/>
      </w:pPr>
      <w:r>
        <w:rPr>
          <w:rFonts w:ascii="Calibri" w:cs="Calibri" w:eastAsia="Calibri" w:hAnsi="Calibri"/>
          <w:color w:val="1A2733"/>
          <w:sz w:val="21"/>
          <w:szCs w:val="21"/>
        </w:rPr>
        <w:t xml:space="preserve">EVT invasion normally mirrors a controlled, physiologic form of the same programs used by invasive tumors. In PAS, EVTs display a more mesenchymal, invasive phenotype with loss of E-cadherin, consistent with heightened EMT. Effectors include matrix metalloproteinases (MMPs) that degrade ECM and permit deeper penetration. The parallels with trophoblastic malignancy (choriocarcinoma) highlight shared invasion machinery and candidate targets.</w:t>
      </w:r>
    </w:p>
    <w:p>
      <w:pPr>
        <w:pStyle w:val="Heading2"/>
        <w:spacing w:after="90" w:before="220"/>
      </w:pPr>
      <w:r>
        <w:rPr>
          <w:rFonts w:ascii="Calibri" w:cs="Calibri" w:eastAsia="Calibri" w:hAnsi="Calibri"/>
          <w:b/>
          <w:bCs/>
          <w:color w:val="6B2C3E"/>
          <w:sz w:val="25"/>
          <w:szCs w:val="25"/>
        </w:rPr>
        <w:t xml:space="preserve">2.3 Angiogenesis and spiral artery remodeling</w:t>
      </w:r>
    </w:p>
    <w:p>
      <w:pPr>
        <w:spacing w:after="120" w:line="276"/>
      </w:pPr>
      <w:r>
        <w:rPr>
          <w:rFonts w:ascii="Calibri" w:cs="Calibri" w:eastAsia="Calibri" w:hAnsi="Calibri"/>
          <w:color w:val="1A2733"/>
          <w:sz w:val="21"/>
          <w:szCs w:val="21"/>
        </w:rPr>
        <w:t xml:space="preserve">Abnormal hypervascularity is a defining imaging and histologic feature of PAS. Dysregulated pro- and anti-angiogenic balance — involving vascular endothelial growth factor (VEGF), placental growth factor (PlGF), and their antagonists — accompanies aberrant vascular remodeling. Endothelial genes such as APOLD1 and EDNRB, implicated in spiral artery remodeling and abnormal decidua, are altered in PAS, and reduced anti-angiogenic/anti-invasive factors (e.g., endostatin, pigment epithelium-derived factor) are associated with excessive invasion.</w:t>
      </w:r>
    </w:p>
    <w:p>
      <w:pPr>
        <w:pStyle w:val="Heading2"/>
        <w:spacing w:after="90" w:before="220"/>
      </w:pPr>
      <w:r>
        <w:rPr>
          <w:rFonts w:ascii="Calibri" w:cs="Calibri" w:eastAsia="Calibri" w:hAnsi="Calibri"/>
          <w:b/>
          <w:bCs/>
          <w:color w:val="6B2C3E"/>
          <w:sz w:val="25"/>
          <w:szCs w:val="25"/>
        </w:rPr>
        <w:t xml:space="preserve">2.4 Immune microenvironment at the invasion front</w:t>
      </w:r>
    </w:p>
    <w:p>
      <w:pPr>
        <w:spacing w:after="120" w:line="276"/>
      </w:pPr>
      <w:r>
        <w:rPr>
          <w:rFonts w:ascii="Calibri" w:cs="Calibri" w:eastAsia="Calibri" w:hAnsi="Calibri"/>
          <w:color w:val="1A2733"/>
          <w:sz w:val="21"/>
          <w:szCs w:val="21"/>
        </w:rPr>
        <w:t xml:space="preserve">The invasive interface is an immunologically distinctive niche. Spatial transcriptomics show trophoblasts driving HLA-G and EBI3 signaling that supports immune escape, while smooth-muscle regions upregulate immunomodulatory checkpoints such as CD274 (PD-L1), HAVCR2 (TIM-3), and IDO1. This immune remodeling both permits and sustains deep invasion.</w:t>
      </w:r>
    </w:p>
    <w:p>
      <w:pPr>
        <w:pStyle w:val="Heading2"/>
        <w:spacing w:after="90" w:before="220"/>
      </w:pPr>
      <w:r>
        <w:rPr>
          <w:rFonts w:ascii="Calibri" w:cs="Calibri" w:eastAsia="Calibri" w:hAnsi="Calibri"/>
          <w:b/>
          <w:bCs/>
          <w:color w:val="6B2C3E"/>
          <w:sz w:val="25"/>
          <w:szCs w:val="25"/>
        </w:rPr>
        <w:t xml:space="preserve">2.5 Key intracellular signaling cascades</w:t>
      </w:r>
    </w:p>
    <w:p>
      <w:pPr>
        <w:spacing w:after="120" w:line="276"/>
      </w:pPr>
      <w:r>
        <w:rPr>
          <w:rFonts w:ascii="Calibri" w:cs="Calibri" w:eastAsia="Calibri" w:hAnsi="Calibri"/>
          <w:color w:val="1A2733"/>
          <w:sz w:val="21"/>
          <w:szCs w:val="21"/>
        </w:rPr>
        <w:t xml:space="preserve">Several signaling pathways recur across mechanistic studies as regulators of trophoblast proliferation, survival, and invasion, and are therefore candidate therapeutic and biomarker nodes:</w:t>
      </w:r>
    </w:p>
    <w:tbl>
      <w:tblPr>
        <w:tblW w:type="dxa" w:w="9360"/>
        <w:tblBorders>
          <w:top w:val="single" w:color="9AA9B0" w:sz="4"/>
          <w:left w:val="single" w:color="9AA9B0" w:sz="4"/>
          <w:bottom w:val="single" w:color="9AA9B0" w:sz="4"/>
          <w:right w:val="single" w:color="9AA9B0" w:sz="4"/>
          <w:insideH w:val="single" w:color="9AA9B0" w:sz="2"/>
          <w:insideV w:val="single" w:color="9AA9B0" w:sz="2"/>
        </w:tblBorders>
      </w:tblPr>
      <w:tblGrid>
        <w:gridCol w:w="2400"/>
        <w:gridCol w:w="3560"/>
        <w:gridCol w:w="3400"/>
      </w:tblGrid>
      <w:tr>
        <w:trPr>
          <w:tblHeader/>
        </w:trPr>
        <w:tc>
          <w:tcPr>
            <w:tcW w:type="dxa" w:w="240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Pathway</w:t>
            </w:r>
          </w:p>
        </w:tc>
        <w:tc>
          <w:tcPr>
            <w:tcW w:type="dxa" w:w="356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Role in placentation</w:t>
            </w:r>
          </w:p>
        </w:tc>
        <w:tc>
          <w:tcPr>
            <w:tcW w:type="dxa" w:w="340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Relevance to PAS</w:t>
            </w:r>
          </w:p>
        </w:tc>
      </w:tr>
      <w:tr>
        <w:tc>
          <w:tcPr>
            <w:tcW w:type="dxa" w:w="24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Notch</w:t>
            </w:r>
          </w:p>
        </w:tc>
        <w:tc>
          <w:tcPr>
            <w:tcW w:type="dxa" w:w="356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Cell-fate decisions and trophoblast differentiation</w:t>
            </w:r>
          </w:p>
        </w:tc>
        <w:tc>
          <w:tcPr>
            <w:tcW w:type="dxa" w:w="34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Aberrant signaling linked to dysregulated invasion</w:t>
            </w:r>
          </w:p>
        </w:tc>
      </w:tr>
      <w:tr>
        <w:tc>
          <w:tcPr>
            <w:tcW w:type="dxa" w:w="24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PI3K / Akt</w:t>
            </w:r>
          </w:p>
        </w:tc>
        <w:tc>
          <w:tcPr>
            <w:tcW w:type="dxa" w:w="356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Cell survival, proliferation, migration</w:t>
            </w:r>
          </w:p>
        </w:tc>
        <w:tc>
          <w:tcPr>
            <w:tcW w:type="dxa" w:w="34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Promotes trophoblast invasiveness when dysregulated</w:t>
            </w:r>
          </w:p>
        </w:tc>
      </w:tr>
      <w:tr>
        <w:tc>
          <w:tcPr>
            <w:tcW w:type="dxa" w:w="24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STAT3</w:t>
            </w:r>
          </w:p>
        </w:tc>
        <w:tc>
          <w:tcPr>
            <w:tcW w:type="dxa" w:w="356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Proliferation, migration, inflammation</w:t>
            </w:r>
          </w:p>
        </w:tc>
        <w:tc>
          <w:tcPr>
            <w:tcW w:type="dxa" w:w="34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Associated with enhanced invasive phenotype</w:t>
            </w:r>
          </w:p>
        </w:tc>
      </w:tr>
      <w:tr>
        <w:tc>
          <w:tcPr>
            <w:tcW w:type="dxa" w:w="24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TGF-β</w:t>
            </w:r>
          </w:p>
        </w:tc>
        <w:tc>
          <w:tcPr>
            <w:tcW w:type="dxa" w:w="356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Normally restrains EVT invasion; regulates EMT</w:t>
            </w:r>
          </w:p>
        </w:tc>
        <w:tc>
          <w:tcPr>
            <w:tcW w:type="dxa" w:w="34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Altered signaling releases invasion brakes</w:t>
            </w:r>
          </w:p>
        </w:tc>
      </w:tr>
      <w:tr>
        <w:tc>
          <w:tcPr>
            <w:tcW w:type="dxa" w:w="24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HGF / c-Met</w:t>
            </w:r>
          </w:p>
        </w:tc>
        <w:tc>
          <w:tcPr>
            <w:tcW w:type="dxa" w:w="356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Trophoblast proliferation and vascular formation</w:t>
            </w:r>
          </w:p>
        </w:tc>
        <w:tc>
          <w:tcPr>
            <w:tcW w:type="dxa" w:w="34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Upregulated at accreta sites (single-cell data)</w:t>
            </w:r>
          </w:p>
        </w:tc>
      </w:tr>
    </w:tbl>
    <w:p>
      <w:pPr>
        <w:pStyle w:val="Heading2"/>
        <w:spacing w:after="90" w:before="220"/>
      </w:pPr>
      <w:r>
        <w:rPr>
          <w:rFonts w:ascii="Calibri" w:cs="Calibri" w:eastAsia="Calibri" w:hAnsi="Calibri"/>
          <w:b/>
          <w:bCs/>
          <w:color w:val="6B2C3E"/>
          <w:sz w:val="25"/>
          <w:szCs w:val="25"/>
        </w:rPr>
        <w:t xml:space="preserve">2.6 Non-coding RNA and epigenetic regulation</w:t>
      </w:r>
    </w:p>
    <w:p>
      <w:pPr>
        <w:spacing w:after="120" w:line="276"/>
      </w:pPr>
      <w:r>
        <w:rPr>
          <w:rFonts w:ascii="Calibri" w:cs="Calibri" w:eastAsia="Calibri" w:hAnsi="Calibri"/>
          <w:color w:val="1A2733"/>
          <w:sz w:val="21"/>
          <w:szCs w:val="21"/>
        </w:rPr>
        <w:t xml:space="preserve">Small non-coding RNAs fine-tune the invasion and angiogenesis programs and are emerging as both mechanistic drivers and circulating markers. Reported examples include miR-193a-3p, which promotes trophoblast migration and invasion through EMT (targeting EFNB2) under decidua-defect conditions, and circulating PIWI-interacting RNAs (piRNAs) that correlate with angiogenic and inflammatory mediators and can, in early pregnancy, help distinguish excessive-invasion states (PAS) from deficient-invasion states such as preeclampsia.</w:t>
      </w:r>
    </w:p>
    <w:p>
      <w:r>
        <w:br w:type="page"/>
      </w:r>
    </w:p>
    <w:p>
      <w:pPr>
        <w:pStyle w:val="Heading1"/>
        <w:pBdr>
          <w:bottom w:val="single" w:color="1F4E5F" w:sz="10" w:space="4"/>
        </w:pBdr>
        <w:spacing w:after="140" w:before="320"/>
      </w:pPr>
      <w:r>
        <w:rPr>
          <w:rFonts w:ascii="Calibri" w:cs="Calibri" w:eastAsia="Calibri" w:hAnsi="Calibri"/>
          <w:b/>
          <w:bCs/>
          <w:color w:val="1F4E5F"/>
          <w:sz w:val="30"/>
          <w:szCs w:val="30"/>
        </w:rPr>
        <w:t xml:space="preserve">3. Biomarkers for Early Detection</w:t>
      </w:r>
    </w:p>
    <w:p>
      <w:pPr>
        <w:spacing w:after="120" w:line="276"/>
      </w:pPr>
      <w:r>
        <w:rPr>
          <w:rFonts w:ascii="Calibri" w:cs="Calibri" w:eastAsia="Calibri" w:hAnsi="Calibri"/>
          <w:color w:val="1A2733"/>
          <w:sz w:val="21"/>
          <w:szCs w:val="21"/>
        </w:rPr>
        <w:t xml:space="preserve">No single circulating biomarker is yet accurate enough for stand-alone clinical prediction of PAS or previa. The strongest current signals come from repurposing established first-trimester aneuploidy-screening analytes, from angiogenic markers, and from cell-free nucleic acids — increasingly combined into multi-marker models. The tables below organize the main categories, their directional changes, and their status.</w:t>
      </w:r>
    </w:p>
    <w:p>
      <w:pPr>
        <w:pStyle w:val="Heading2"/>
        <w:spacing w:after="90" w:before="220"/>
      </w:pPr>
      <w:r>
        <w:rPr>
          <w:rFonts w:ascii="Calibri" w:cs="Calibri" w:eastAsia="Calibri" w:hAnsi="Calibri"/>
          <w:b/>
          <w:bCs/>
          <w:color w:val="6B2C3E"/>
          <w:sz w:val="25"/>
          <w:szCs w:val="25"/>
        </w:rPr>
        <w:t xml:space="preserve">3.1 Established first-trimester serum analytes</w:t>
      </w:r>
    </w:p>
    <w:tbl>
      <w:tblPr>
        <w:tblW w:type="dxa" w:w="9360"/>
        <w:tblBorders>
          <w:top w:val="single" w:color="9AA9B0" w:sz="4"/>
          <w:left w:val="single" w:color="9AA9B0" w:sz="4"/>
          <w:bottom w:val="single" w:color="9AA9B0" w:sz="4"/>
          <w:right w:val="single" w:color="9AA9B0" w:sz="4"/>
          <w:insideH w:val="single" w:color="9AA9B0" w:sz="2"/>
          <w:insideV w:val="single" w:color="9AA9B0" w:sz="2"/>
        </w:tblBorders>
      </w:tblPr>
      <w:tblGrid>
        <w:gridCol w:w="2100"/>
        <w:gridCol w:w="3300"/>
        <w:gridCol w:w="3960"/>
      </w:tblGrid>
      <w:tr>
        <w:trPr>
          <w:tblHeader/>
        </w:trPr>
        <w:tc>
          <w:tcPr>
            <w:tcW w:type="dxa" w:w="210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Marker</w:t>
            </w:r>
          </w:p>
        </w:tc>
        <w:tc>
          <w:tcPr>
            <w:tcW w:type="dxa" w:w="330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Reported change in PAS / previa</w:t>
            </w:r>
          </w:p>
        </w:tc>
        <w:tc>
          <w:tcPr>
            <w:tcW w:type="dxa" w:w="396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Notes on utility</w:t>
            </w:r>
          </w:p>
        </w:tc>
      </w:tr>
      <w:tr>
        <w:tc>
          <w:tcPr>
            <w:tcW w:type="dxa" w:w="21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PAPP-A</w:t>
            </w:r>
          </w:p>
        </w:tc>
        <w:tc>
          <w:tcPr>
            <w:tcW w:type="dxa" w:w="33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Elevated in first trimester in several PAS cohorts (previa-complicated pregnancies)</w:t>
            </w:r>
          </w:p>
        </w:tc>
        <w:tc>
          <w:tcPr>
            <w:tcW w:type="dxa" w:w="396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Findings not fully consistent across studies; better in combination</w:t>
            </w:r>
          </w:p>
        </w:tc>
      </w:tr>
      <w:tr>
        <w:tc>
          <w:tcPr>
            <w:tcW w:type="dxa" w:w="21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Free β-hCG</w:t>
            </w:r>
          </w:p>
        </w:tc>
        <w:tc>
          <w:tcPr>
            <w:tcW w:type="dxa" w:w="33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Elevated in first-trimester PAS cases</w:t>
            </w:r>
          </w:p>
        </w:tc>
        <w:tc>
          <w:tcPr>
            <w:tcW w:type="dxa" w:w="396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Combined PAPP-A + β-hCG models improve accuracy over single markers</w:t>
            </w:r>
          </w:p>
        </w:tc>
      </w:tr>
      <w:tr>
        <w:tc>
          <w:tcPr>
            <w:tcW w:type="dxa" w:w="21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Maternal serum AFP</w:t>
            </w:r>
          </w:p>
        </w:tc>
        <w:tc>
          <w:tcPr>
            <w:tcW w:type="dxa" w:w="33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Elevated in some PAS series</w:t>
            </w:r>
          </w:p>
        </w:tc>
        <w:tc>
          <w:tcPr>
            <w:tcW w:type="dxa" w:w="396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Long studied; insufficient accuracy alone for routine prediction</w:t>
            </w:r>
          </w:p>
        </w:tc>
      </w:tr>
    </w:tbl>
    <w:p>
      <w:pPr>
        <w:spacing w:after="120" w:line="276"/>
      </w:pPr>
      <w:r>
        <w:rPr>
          <w:rFonts w:ascii="Calibri" w:cs="Calibri" w:eastAsia="Calibri" w:hAnsi="Calibri"/>
          <w:i/>
          <w:iCs/>
          <w:color w:val="1A2733"/>
          <w:sz w:val="21"/>
          <w:szCs w:val="21"/>
        </w:rPr>
        <w:t xml:space="preserve">Illustrative performance: </w:t>
      </w:r>
      <w:r>
        <w:rPr>
          <w:rFonts w:ascii="Calibri" w:cs="Calibri" w:eastAsia="Calibri" w:hAnsi="Calibri"/>
          <w:i/>
          <w:iCs/>
          <w:color w:val="556067"/>
          <w:sz w:val="21"/>
          <w:szCs w:val="21"/>
        </w:rPr>
        <w:t xml:space="preserve">a case-control study of combined first-trimester PAPP-A and free β-hCG reported ROC AUCs around 0.85 for PAS and 0.88 for previa, supporting integration of biochemical markers into first-trimester risk assessment while calling for prospective validation.</w:t>
      </w:r>
    </w:p>
    <w:p>
      <w:pPr>
        <w:pStyle w:val="Heading2"/>
        <w:spacing w:after="90" w:before="220"/>
      </w:pPr>
      <w:r>
        <w:rPr>
          <w:rFonts w:ascii="Calibri" w:cs="Calibri" w:eastAsia="Calibri" w:hAnsi="Calibri"/>
          <w:b/>
          <w:bCs/>
          <w:color w:val="6B2C3E"/>
          <w:sz w:val="25"/>
          <w:szCs w:val="25"/>
        </w:rPr>
        <w:t xml:space="preserve">3.2 Angiogenic and anti-angiogenic markers</w:t>
      </w:r>
    </w:p>
    <w:tbl>
      <w:tblPr>
        <w:tblW w:type="dxa" w:w="9360"/>
        <w:tblBorders>
          <w:top w:val="single" w:color="9AA9B0" w:sz="4"/>
          <w:left w:val="single" w:color="9AA9B0" w:sz="4"/>
          <w:bottom w:val="single" w:color="9AA9B0" w:sz="4"/>
          <w:right w:val="single" w:color="9AA9B0" w:sz="4"/>
          <w:insideH w:val="single" w:color="9AA9B0" w:sz="2"/>
          <w:insideV w:val="single" w:color="9AA9B0" w:sz="2"/>
        </w:tblBorders>
      </w:tblPr>
      <w:tblGrid>
        <w:gridCol w:w="2100"/>
        <w:gridCol w:w="3300"/>
        <w:gridCol w:w="3960"/>
      </w:tblGrid>
      <w:tr>
        <w:trPr>
          <w:tblHeader/>
        </w:trPr>
        <w:tc>
          <w:tcPr>
            <w:tcW w:type="dxa" w:w="210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Marker</w:t>
            </w:r>
          </w:p>
        </w:tc>
        <w:tc>
          <w:tcPr>
            <w:tcW w:type="dxa" w:w="330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Biology</w:t>
            </w:r>
          </w:p>
        </w:tc>
        <w:tc>
          <w:tcPr>
            <w:tcW w:type="dxa" w:w="3960"/>
            <w:shd w:fill="1F4E5F" w:color="auto" w:val="clear"/>
            <w:tcMar>
              <w:top w:type="dxa" w:w="60"/>
              <w:left w:type="dxa" w:w="90"/>
              <w:bottom w:type="dxa" w:w="60"/>
              <w:right w:type="dxa" w:w="90"/>
            </w:tcMar>
          </w:tcPr>
          <w:p>
            <w:pPr>
              <w:spacing w:after="40" w:line="252"/>
            </w:pPr>
            <w:r>
              <w:rPr>
                <w:rFonts w:ascii="Calibri" w:cs="Calibri" w:eastAsia="Calibri" w:hAnsi="Calibri"/>
                <w:b/>
                <w:bCs/>
                <w:color w:val="FFFFFF"/>
                <w:sz w:val="19"/>
                <w:szCs w:val="19"/>
              </w:rPr>
              <w:t xml:space="preserve">Role</w:t>
            </w:r>
          </w:p>
        </w:tc>
      </w:tr>
      <w:tr>
        <w:tc>
          <w:tcPr>
            <w:tcW w:type="dxa" w:w="21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PlGF</w:t>
            </w:r>
          </w:p>
        </w:tc>
        <w:tc>
          <w:tcPr>
            <w:tcW w:type="dxa" w:w="33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Pro-angiogenic placental growth factor</w:t>
            </w:r>
          </w:p>
        </w:tc>
        <w:tc>
          <w:tcPr>
            <w:tcW w:type="dxa" w:w="396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Reflects placental vascular status; studied across abnormal placentation</w:t>
            </w:r>
          </w:p>
        </w:tc>
      </w:tr>
      <w:tr>
        <w:tc>
          <w:tcPr>
            <w:tcW w:type="dxa" w:w="21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sFlt-1</w:t>
            </w:r>
          </w:p>
        </w:tc>
        <w:tc>
          <w:tcPr>
            <w:tcW w:type="dxa" w:w="330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Soluble VEGF/PlGF antagonist (anti-angiogenic)</w:t>
            </w:r>
          </w:p>
        </w:tc>
        <w:tc>
          <w:tcPr>
            <w:tcW w:type="dxa" w:w="3960"/>
            <w:shd w:fill="F5F8F9" w:color="auto" w:val="clear"/>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sFlt-1/PlGF balance central to placental dysfunction phenotypes</w:t>
            </w:r>
          </w:p>
        </w:tc>
      </w:tr>
      <w:tr>
        <w:tc>
          <w:tcPr>
            <w:tcW w:type="dxa" w:w="21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VEGF / endostatin / PEDF</w:t>
            </w:r>
          </w:p>
        </w:tc>
        <w:tc>
          <w:tcPr>
            <w:tcW w:type="dxa" w:w="330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Angiogenesis regulators</w:t>
            </w:r>
          </w:p>
        </w:tc>
        <w:tc>
          <w:tcPr>
            <w:tcW w:type="dxa" w:w="3960"/>
            <w:tcMar>
              <w:top w:type="dxa" w:w="60"/>
              <w:left w:type="dxa" w:w="90"/>
              <w:bottom w:type="dxa" w:w="60"/>
              <w:right w:type="dxa" w:w="90"/>
            </w:tcMar>
          </w:tcPr>
          <w:p>
            <w:pPr>
              <w:spacing w:after="40" w:line="252"/>
            </w:pPr>
            <w:r>
              <w:rPr>
                <w:rFonts w:ascii="Calibri" w:cs="Calibri" w:eastAsia="Calibri" w:hAnsi="Calibri"/>
                <w:color w:val="1A2733"/>
                <w:sz w:val="19"/>
                <w:szCs w:val="19"/>
              </w:rPr>
              <w:t xml:space="preserve">Imbalance tracks with excessive invasion in PAS tissue</w:t>
            </w:r>
          </w:p>
        </w:tc>
      </w:tr>
    </w:tbl>
    <w:p>
      <w:pPr>
        <w:pStyle w:val="Heading2"/>
        <w:spacing w:after="90" w:before="220"/>
      </w:pPr>
      <w:r>
        <w:rPr>
          <w:rFonts w:ascii="Calibri" w:cs="Calibri" w:eastAsia="Calibri" w:hAnsi="Calibri"/>
          <w:b/>
          <w:bCs/>
          <w:color w:val="6B2C3E"/>
          <w:sz w:val="25"/>
          <w:szCs w:val="25"/>
        </w:rPr>
        <w:t xml:space="preserve">3.3 Cell-free nucleic acids</w:t>
      </w:r>
    </w:p>
    <w:p>
      <w:pPr>
        <w:spacing w:after="120" w:line="276"/>
      </w:pPr>
      <w:r>
        <w:rPr>
          <w:rFonts w:ascii="Calibri" w:cs="Calibri" w:eastAsia="Calibri" w:hAnsi="Calibri"/>
          <w:color w:val="1A2733"/>
          <w:sz w:val="21"/>
          <w:szCs w:val="21"/>
        </w:rPr>
        <w:t xml:space="preserve">Cell-free fetal/placental DNA (cffDNA) circulating in maternal plasma has been investigated as a marker of morbidly adherent placenta, with sensitivity and specificity assessed alongside clinical, sonographic, and MRI criteria. More broadly, advanced cfDNA analytics — for example nucleosome-accessibility profiling of low-coverage whole-genome sequencing from routine noninvasive prenatal screening — can detect early placental and endothelial signatures of placental dysfunction months before clinical onset, illustrating a platform that may extend to abnormal placentation. Total cfDNA concentration also rises with placental disease severity.</w:t>
      </w:r>
    </w:p>
    <w:p>
      <w:pPr>
        <w:pStyle w:val="Heading2"/>
        <w:spacing w:after="90" w:before="220"/>
      </w:pPr>
      <w:r>
        <w:rPr>
          <w:rFonts w:ascii="Calibri" w:cs="Calibri" w:eastAsia="Calibri" w:hAnsi="Calibri"/>
          <w:b/>
          <w:bCs/>
          <w:color w:val="6B2C3E"/>
          <w:sz w:val="25"/>
          <w:szCs w:val="25"/>
        </w:rPr>
        <w:t xml:space="preserve">3.4 Emerging molecular and tissue-level markers</w:t>
      </w:r>
    </w:p>
    <w:p>
      <w:pPr>
        <w:pStyle w:val="ListParagraph"/>
        <w:numPr>
          <w:ilvl w:val="0"/>
          <w:numId w:val="2"/>
        </w:numPr>
        <w:spacing w:after="70" w:line="264"/>
      </w:pPr>
      <w:r>
        <w:rPr>
          <w:rFonts w:ascii="Calibri" w:cs="Calibri" w:eastAsia="Calibri" w:hAnsi="Calibri"/>
          <w:b/>
          <w:bCs/>
          <w:color w:val="1A2733"/>
          <w:sz w:val="21"/>
          <w:szCs w:val="21"/>
        </w:rPr>
        <w:t xml:space="preserve">Circulating piRNAs (e.g., hsa_piR_020497, hsa_piR_019949, piR_019675, hsa_piR_019122) </w:t>
      </w:r>
      <w:r>
        <w:rPr>
          <w:rFonts w:ascii="Calibri" w:cs="Calibri" w:eastAsia="Calibri" w:hAnsi="Calibri"/>
          <w:color w:val="1A2733"/>
          <w:sz w:val="21"/>
          <w:szCs w:val="21"/>
        </w:rPr>
        <w:t xml:space="preserve">and clusterin have been combined into first-trimester (11–14 week) logistic-regression screening models.</w:t>
      </w:r>
    </w:p>
    <w:p>
      <w:pPr>
        <w:pStyle w:val="ListParagraph"/>
        <w:numPr>
          <w:ilvl w:val="0"/>
          <w:numId w:val="2"/>
        </w:numPr>
        <w:spacing w:after="70" w:line="264"/>
      </w:pPr>
      <w:r>
        <w:rPr>
          <w:rFonts w:ascii="Calibri" w:cs="Calibri" w:eastAsia="Calibri" w:hAnsi="Calibri"/>
          <w:b/>
          <w:bCs/>
          <w:color w:val="1A2733"/>
          <w:sz w:val="21"/>
          <w:szCs w:val="21"/>
        </w:rPr>
        <w:t xml:space="preserve">miR-193a-3p </w:t>
      </w:r>
      <w:r>
        <w:rPr>
          <w:rFonts w:ascii="Calibri" w:cs="Calibri" w:eastAsia="Calibri" w:hAnsi="Calibri"/>
          <w:color w:val="1A2733"/>
          <w:sz w:val="21"/>
          <w:szCs w:val="21"/>
        </w:rPr>
        <w:t xml:space="preserve">and related microRNAs offer mechanistic and potential circulating-marker value.</w:t>
      </w:r>
    </w:p>
    <w:p>
      <w:pPr>
        <w:pStyle w:val="ListParagraph"/>
        <w:numPr>
          <w:ilvl w:val="0"/>
          <w:numId w:val="2"/>
        </w:numPr>
        <w:spacing w:after="70" w:line="264"/>
      </w:pPr>
      <w:r>
        <w:rPr>
          <w:rFonts w:ascii="Calibri" w:cs="Calibri" w:eastAsia="Calibri" w:hAnsi="Calibri"/>
          <w:b/>
          <w:bCs/>
          <w:color w:val="1A2733"/>
          <w:sz w:val="21"/>
          <w:szCs w:val="21"/>
        </w:rPr>
        <w:t xml:space="preserve">Tissue signatures from single-cell studies </w:t>
      </w:r>
      <w:r>
        <w:rPr>
          <w:rFonts w:ascii="Calibri" w:cs="Calibri" w:eastAsia="Calibri" w:hAnsi="Calibri"/>
          <w:color w:val="1A2733"/>
          <w:sz w:val="21"/>
          <w:szCs w:val="21"/>
        </w:rPr>
        <w:t xml:space="preserve">— including EGFL6, SPARC, vimentin, HGF/c-Met, CD36, PTK2, EGFR, and HLA-G — may be refined into diagnostic assays and progression trackers.</w:t>
      </w:r>
    </w:p>
    <w:p>
      <w:pPr>
        <w:pStyle w:val="Heading2"/>
        <w:spacing w:after="90" w:before="220"/>
      </w:pPr>
      <w:r>
        <w:rPr>
          <w:rFonts w:ascii="Calibri" w:cs="Calibri" w:eastAsia="Calibri" w:hAnsi="Calibri"/>
          <w:b/>
          <w:bCs/>
          <w:color w:val="6B2C3E"/>
          <w:sz w:val="25"/>
          <w:szCs w:val="25"/>
        </w:rPr>
        <w:t xml:space="preserve">3.5 Hematologic indices</w:t>
      </w:r>
    </w:p>
    <w:p>
      <w:pPr>
        <w:spacing w:after="120" w:line="276"/>
      </w:pPr>
      <w:r>
        <w:rPr>
          <w:rFonts w:ascii="Calibri" w:cs="Calibri" w:eastAsia="Calibri" w:hAnsi="Calibri"/>
          <w:color w:val="1A2733"/>
          <w:sz w:val="21"/>
          <w:szCs w:val="21"/>
        </w:rPr>
        <w:t xml:space="preserve">Routinely collected complete-blood-count parameters have shown modest associations: reduced mean platelet volume (MPV) has been reported in PAS complicating previa, whereas inflammatory ratios such as neutrophil-to-lymphocyte and platelet-to-lymphocyte have generally not distinguished cases. These are inexpensive but low-specificity adjuncts at best.</w:t>
      </w:r>
    </w:p>
    <w:p>
      <w:r>
        <w:br w:type="page"/>
      </w:r>
    </w:p>
    <w:p>
      <w:pPr>
        <w:pStyle w:val="Heading1"/>
        <w:pBdr>
          <w:bottom w:val="single" w:color="1F4E5F" w:sz="10" w:space="4"/>
        </w:pBdr>
        <w:spacing w:after="140" w:before="320"/>
      </w:pPr>
      <w:r>
        <w:rPr>
          <w:rFonts w:ascii="Calibri" w:cs="Calibri" w:eastAsia="Calibri" w:hAnsi="Calibri"/>
          <w:b/>
          <w:bCs/>
          <w:color w:val="1F4E5F"/>
          <w:sz w:val="30"/>
          <w:szCs w:val="30"/>
        </w:rPr>
        <w:t xml:space="preserve">4. Imaging Biomarkers</w:t>
      </w:r>
    </w:p>
    <w:p>
      <w:pPr>
        <w:spacing w:after="120" w:line="276"/>
      </w:pPr>
      <w:r>
        <w:rPr>
          <w:rFonts w:ascii="Calibri" w:cs="Calibri" w:eastAsia="Calibri" w:hAnsi="Calibri"/>
          <w:color w:val="1A2733"/>
          <w:sz w:val="21"/>
          <w:szCs w:val="21"/>
        </w:rPr>
        <w:t xml:space="preserve">Ultrasonography remains the diagnostic cornerstone, with MRI as an adjunct for depth and topography, especially posterior placentas or suspected percreta. Increasingly, sonographic markers are being pushed into the first trimester (e.g., assessment of the cesarean-scar niche and low gestational-sac implantation) to flag risk earlier.</w:t>
      </w:r>
    </w:p>
    <w:p>
      <w:pPr>
        <w:pStyle w:val="Heading2"/>
        <w:spacing w:after="90" w:before="220"/>
      </w:pPr>
      <w:r>
        <w:rPr>
          <w:rFonts w:ascii="Calibri" w:cs="Calibri" w:eastAsia="Calibri" w:hAnsi="Calibri"/>
          <w:b/>
          <w:bCs/>
          <w:color w:val="6B2C3E"/>
          <w:sz w:val="25"/>
          <w:szCs w:val="25"/>
        </w:rPr>
        <w:t xml:space="preserve">4.1 Sonographic / Doppler features of PAS</w:t>
      </w:r>
    </w:p>
    <w:p>
      <w:pPr>
        <w:pStyle w:val="ListParagraph"/>
        <w:numPr>
          <w:ilvl w:val="0"/>
          <w:numId w:val="2"/>
        </w:numPr>
        <w:spacing w:after="70" w:line="264"/>
      </w:pPr>
      <w:r>
        <w:rPr>
          <w:rFonts w:ascii="Calibri" w:cs="Calibri" w:eastAsia="Calibri" w:hAnsi="Calibri"/>
          <w:color w:val="1A2733"/>
          <w:sz w:val="21"/>
          <w:szCs w:val="21"/>
        </w:rPr>
        <w:t xml:space="preserve">Loss or irregularity of the hypoechoic retroplacental clear zone.</w:t>
      </w:r>
    </w:p>
    <w:p>
      <w:pPr>
        <w:pStyle w:val="ListParagraph"/>
        <w:numPr>
          <w:ilvl w:val="0"/>
          <w:numId w:val="2"/>
        </w:numPr>
        <w:spacing w:after="70" w:line="264"/>
      </w:pPr>
      <w:r>
        <w:rPr>
          <w:rFonts w:ascii="Calibri" w:cs="Calibri" w:eastAsia="Calibri" w:hAnsi="Calibri"/>
          <w:color w:val="1A2733"/>
          <w:sz w:val="21"/>
          <w:szCs w:val="21"/>
        </w:rPr>
        <w:t xml:space="preserve">Multiple placental lacunae with turbulent internal flow ("moth-eaten" appearance).</w:t>
      </w:r>
    </w:p>
    <w:p>
      <w:pPr>
        <w:pStyle w:val="ListParagraph"/>
        <w:numPr>
          <w:ilvl w:val="0"/>
          <w:numId w:val="2"/>
        </w:numPr>
        <w:spacing w:after="70" w:line="264"/>
      </w:pPr>
      <w:r>
        <w:rPr>
          <w:rFonts w:ascii="Calibri" w:cs="Calibri" w:eastAsia="Calibri" w:hAnsi="Calibri"/>
          <w:color w:val="1A2733"/>
          <w:sz w:val="21"/>
          <w:szCs w:val="21"/>
        </w:rPr>
        <w:t xml:space="preserve">Thinning or disruption of the uterine–bladder interface.</w:t>
      </w:r>
    </w:p>
    <w:p>
      <w:pPr>
        <w:pStyle w:val="ListParagraph"/>
        <w:numPr>
          <w:ilvl w:val="0"/>
          <w:numId w:val="2"/>
        </w:numPr>
        <w:spacing w:after="70" w:line="264"/>
      </w:pPr>
      <w:r>
        <w:rPr>
          <w:rFonts w:ascii="Calibri" w:cs="Calibri" w:eastAsia="Calibri" w:hAnsi="Calibri"/>
          <w:color w:val="1A2733"/>
          <w:sz w:val="21"/>
          <w:szCs w:val="21"/>
        </w:rPr>
        <w:t xml:space="preserve">Abnormal hypervascularity at the uterine serosa–bladder junction on color Doppler.</w:t>
      </w:r>
    </w:p>
    <w:p>
      <w:pPr>
        <w:pStyle w:val="ListParagraph"/>
        <w:numPr>
          <w:ilvl w:val="0"/>
          <w:numId w:val="2"/>
        </w:numPr>
        <w:spacing w:after="70" w:line="264"/>
      </w:pPr>
      <w:r>
        <w:rPr>
          <w:rFonts w:ascii="Calibri" w:cs="Calibri" w:eastAsia="Calibri" w:hAnsi="Calibri"/>
          <w:color w:val="1A2733"/>
          <w:sz w:val="21"/>
          <w:szCs w:val="21"/>
        </w:rPr>
        <w:t xml:space="preserve">Placental tissue extending beyond the serosa or into adjacent organs (percreta).</w:t>
      </w:r>
    </w:p>
    <w:p>
      <w:pPr>
        <w:pStyle w:val="Heading2"/>
        <w:spacing w:after="90" w:before="220"/>
      </w:pPr>
      <w:r>
        <w:rPr>
          <w:rFonts w:ascii="Calibri" w:cs="Calibri" w:eastAsia="Calibri" w:hAnsi="Calibri"/>
          <w:b/>
          <w:bCs/>
          <w:color w:val="6B2C3E"/>
          <w:sz w:val="25"/>
          <w:szCs w:val="25"/>
        </w:rPr>
        <w:t xml:space="preserve">4.2 Clinical + imaging risk predictors</w:t>
      </w:r>
    </w:p>
    <w:p>
      <w:pPr>
        <w:spacing w:after="120" w:line="276"/>
      </w:pPr>
      <w:r>
        <w:rPr>
          <w:rFonts w:ascii="Calibri" w:cs="Calibri" w:eastAsia="Calibri" w:hAnsi="Calibri"/>
          <w:color w:val="1A2733"/>
          <w:sz w:val="21"/>
          <w:szCs w:val="21"/>
        </w:rPr>
        <w:t xml:space="preserve">In previa-complicated pregnancies, independent predictors of invasive placentation identified on multivariate analysis have included two or more prior cesarean sections, anterior placental location, loss of the retroplacental clear space, and bladder-wall interruption, with shorter interpregnancy interval also contributing. Combining these clinical and imaging markers supports earlier risk stratification and multidisciplinary planning.</w:t>
      </w:r>
    </w:p>
    <w:p>
      <w:pPr>
        <w:pStyle w:val="Heading2"/>
        <w:spacing w:after="90" w:before="220"/>
      </w:pPr>
      <w:r>
        <w:rPr>
          <w:rFonts w:ascii="Calibri" w:cs="Calibri" w:eastAsia="Calibri" w:hAnsi="Calibri"/>
          <w:b/>
          <w:bCs/>
          <w:color w:val="6B2C3E"/>
          <w:sz w:val="25"/>
          <w:szCs w:val="25"/>
        </w:rPr>
        <w:t xml:space="preserve">4.3 Placenta previa detection</w:t>
      </w:r>
    </w:p>
    <w:p>
      <w:pPr>
        <w:spacing w:after="120" w:line="276"/>
      </w:pPr>
      <w:r>
        <w:rPr>
          <w:rFonts w:ascii="Calibri" w:cs="Calibri" w:eastAsia="Calibri" w:hAnsi="Calibri"/>
          <w:color w:val="1A2733"/>
          <w:sz w:val="21"/>
          <w:szCs w:val="21"/>
        </w:rPr>
        <w:t xml:space="preserve">Previa itself is diagnosed by transvaginal ultrasound localization of the placental edge relative to the internal os, with transvaginal imaging safe and more accurate than transabdominal views. Because many low-lying placentas resolve with lower-uterine-segment growth, follow-up imaging in the third trimester confirms persistence, while co-existing previa always prompts active screening for PAS.</w:t>
      </w:r>
    </w:p>
    <w:p>
      <w:pPr>
        <w:pStyle w:val="Heading1"/>
        <w:pBdr>
          <w:bottom w:val="single" w:color="1F4E5F" w:sz="10" w:space="4"/>
        </w:pBdr>
        <w:spacing w:after="140" w:before="320"/>
      </w:pPr>
      <w:r>
        <w:rPr>
          <w:rFonts w:ascii="Calibri" w:cs="Calibri" w:eastAsia="Calibri" w:hAnsi="Calibri"/>
          <w:b/>
          <w:bCs/>
          <w:color w:val="1F4E5F"/>
          <w:sz w:val="30"/>
          <w:szCs w:val="30"/>
        </w:rPr>
        <w:t xml:space="preserve">5. Integrated Screening and Clinical Significance</w:t>
      </w:r>
    </w:p>
    <w:p>
      <w:pPr>
        <w:spacing w:after="120" w:line="276"/>
      </w:pPr>
      <w:r>
        <w:rPr>
          <w:rFonts w:ascii="Calibri" w:cs="Calibri" w:eastAsia="Calibri" w:hAnsi="Calibri"/>
          <w:color w:val="1A2733"/>
          <w:sz w:val="21"/>
          <w:szCs w:val="21"/>
        </w:rPr>
        <w:t xml:space="preserve">The strongest current direction is multi-modal risk models that combine clinical history (prior cesarean, previa, assisted reproduction), first-trimester biochemistry (PAPP-A, free β-hCG, angiogenic markers), emerging cfDNA / non-coding-RNA signatures, and early sonographic scar assessment. Combined biochemical models already outperform single markers, and cfDNA-based tissue profiling points toward detecting placental dysfunction well before symptoms.</w:t>
      </w:r>
    </w:p>
    <w:p>
      <w:pPr>
        <w:spacing w:after="120" w:line="276"/>
      </w:pPr>
      <w:r>
        <w:rPr>
          <w:rFonts w:ascii="Calibri" w:cs="Calibri" w:eastAsia="Calibri" w:hAnsi="Calibri"/>
          <w:b/>
          <w:bCs/>
          <w:color w:val="1A2733"/>
          <w:sz w:val="21"/>
          <w:szCs w:val="21"/>
        </w:rPr>
        <w:t xml:space="preserve">Why early detection matters. </w:t>
      </w:r>
      <w:r>
        <w:rPr>
          <w:rFonts w:ascii="Calibri" w:cs="Calibri" w:eastAsia="Calibri" w:hAnsi="Calibri"/>
          <w:color w:val="1A2733"/>
          <w:sz w:val="21"/>
          <w:szCs w:val="21"/>
        </w:rPr>
        <w:t xml:space="preserve">Antenatal recognition allows referral to specialized centers, scheduled delivery before labor or hemorrhage, cesarean-hysterectomy planning, blood-product readiness, and a multidisciplinary team — the interventions most consistently associated with reduced maternal morbidity and mortality.</w:t>
      </w:r>
    </w:p>
    <w:p>
      <w:pPr>
        <w:spacing w:after="120" w:line="276"/>
      </w:pPr>
      <w:r>
        <w:rPr>
          <w:rFonts w:ascii="Calibri" w:cs="Calibri" w:eastAsia="Calibri" w:hAnsi="Calibri"/>
          <w:b/>
          <w:bCs/>
          <w:color w:val="1A2733"/>
          <w:sz w:val="21"/>
          <w:szCs w:val="21"/>
        </w:rPr>
        <w:t xml:space="preserve">Key limitations. </w:t>
      </w:r>
      <w:r>
        <w:rPr>
          <w:rFonts w:ascii="Calibri" w:cs="Calibri" w:eastAsia="Calibri" w:hAnsi="Calibri"/>
          <w:color w:val="1A2733"/>
          <w:sz w:val="21"/>
          <w:szCs w:val="21"/>
        </w:rPr>
        <w:t xml:space="preserve">No individual biomarker is yet validated for routine stand-alone use; many findings come from retrospective or single-center cohorts with heterogeneous diagnostic criteria; directional changes (e.g., PAPP-A) are not fully consistent; and prospective, multi-population validation of combined models is still needed before broad clinical adoption.</w:t>
      </w:r>
    </w:p>
    <w:p>
      <w:r>
        <w:br w:type="page"/>
      </w:r>
    </w:p>
    <w:p>
      <w:pPr>
        <w:pStyle w:val="Heading1"/>
        <w:pBdr>
          <w:bottom w:val="single" w:color="1F4E5F" w:sz="10" w:space="4"/>
        </w:pBdr>
        <w:spacing w:after="140" w:before="320"/>
      </w:pPr>
      <w:r>
        <w:rPr>
          <w:rFonts w:ascii="Calibri" w:cs="Calibri" w:eastAsia="Calibri" w:hAnsi="Calibri"/>
          <w:b/>
          <w:bCs/>
          <w:color w:val="1F4E5F"/>
          <w:sz w:val="30"/>
          <w:szCs w:val="30"/>
        </w:rPr>
        <w:t xml:space="preserve">Selected References</w:t>
      </w:r>
    </w:p>
    <w:p>
      <w:pPr>
        <w:spacing w:after="90" w:line="264"/>
        <w:ind w:left="360" w:hanging="360"/>
      </w:pPr>
      <w:r>
        <w:rPr>
          <w:rFonts w:ascii="Calibri" w:cs="Calibri" w:eastAsia="Calibri" w:hAnsi="Calibri"/>
          <w:b/>
          <w:bCs/>
          <w:color w:val="1F4E5F"/>
          <w:sz w:val="19"/>
          <w:szCs w:val="19"/>
        </w:rPr>
        <w:t xml:space="preserve">1. </w:t>
      </w:r>
      <w:r>
        <w:rPr>
          <w:rFonts w:ascii="Calibri" w:cs="Calibri" w:eastAsia="Calibri" w:hAnsi="Calibri"/>
          <w:color w:val="1A2733"/>
          <w:sz w:val="19"/>
          <w:szCs w:val="19"/>
        </w:rPr>
        <w:t xml:space="preserve">Underlying molecular mechanisms of the placenta accreta spectrum: a narrative review. Int J Mol Sci (2024). Signaling pathways (Notch, PI3K/Akt, STAT3, TGF-β), non-coding RNAs, and candidate biomarkers (AFP, sFlt-1, β-hCG, PlGF, PAPP-A).</w:t>
      </w:r>
    </w:p>
    <w:p>
      <w:pPr>
        <w:spacing w:after="90" w:line="264"/>
        <w:ind w:left="360" w:hanging="360"/>
      </w:pPr>
      <w:r>
        <w:rPr>
          <w:rFonts w:ascii="Calibri" w:cs="Calibri" w:eastAsia="Calibri" w:hAnsi="Calibri"/>
          <w:b/>
          <w:bCs/>
          <w:color w:val="1F4E5F"/>
          <w:sz w:val="19"/>
          <w:szCs w:val="19"/>
        </w:rPr>
        <w:t xml:space="preserve">2. </w:t>
      </w:r>
      <w:r>
        <w:rPr>
          <w:rFonts w:ascii="Calibri" w:cs="Calibri" w:eastAsia="Calibri" w:hAnsi="Calibri"/>
          <w:color w:val="1A2733"/>
          <w:sz w:val="19"/>
          <w:szCs w:val="19"/>
        </w:rPr>
        <w:t xml:space="preserve">Biology and Pathophysiology of Placenta Accreta Spectrum. Obstet Gynecol (2025). Single-cell/proteomic evidence; vimentin, EGFL6, SPARC and the maternal–fetal interface.</w:t>
      </w:r>
    </w:p>
    <w:p>
      <w:pPr>
        <w:spacing w:after="90" w:line="264"/>
        <w:ind w:left="360" w:hanging="360"/>
      </w:pPr>
      <w:r>
        <w:rPr>
          <w:rFonts w:ascii="Calibri" w:cs="Calibri" w:eastAsia="Calibri" w:hAnsi="Calibri"/>
          <w:b/>
          <w:bCs/>
          <w:color w:val="1F4E5F"/>
          <w:sz w:val="19"/>
          <w:szCs w:val="19"/>
        </w:rPr>
        <w:t xml:space="preserve">3. </w:t>
      </w:r>
      <w:r>
        <w:rPr>
          <w:rFonts w:ascii="Calibri" w:cs="Calibri" w:eastAsia="Calibri" w:hAnsi="Calibri"/>
          <w:color w:val="1A2733"/>
          <w:sz w:val="19"/>
          <w:szCs w:val="19"/>
        </w:rPr>
        <w:t xml:space="preserve">Placenta accreta spectrum at single-cell resolution: a loss of boundary limits in the decidua and endothelium. Am J Obstet Gynecol (2024).</w:t>
      </w:r>
    </w:p>
    <w:p>
      <w:pPr>
        <w:spacing w:after="90" w:line="264"/>
        <w:ind w:left="360" w:hanging="360"/>
      </w:pPr>
      <w:r>
        <w:rPr>
          <w:rFonts w:ascii="Calibri" w:cs="Calibri" w:eastAsia="Calibri" w:hAnsi="Calibri"/>
          <w:b/>
          <w:bCs/>
          <w:color w:val="1F4E5F"/>
          <w:sz w:val="19"/>
          <w:szCs w:val="19"/>
        </w:rPr>
        <w:t xml:space="preserve">4. </w:t>
      </w:r>
      <w:r>
        <w:rPr>
          <w:rFonts w:ascii="Calibri" w:cs="Calibri" w:eastAsia="Calibri" w:hAnsi="Calibri"/>
          <w:color w:val="1A2733"/>
          <w:sz w:val="19"/>
          <w:szCs w:val="19"/>
        </w:rPr>
        <w:t xml:space="preserve">Single-cell and spatial transcriptomics of trophoblast invasion sites and the myometrial immune microenvironment in PAS. (2024). PTK2, EGFR, HLA-G, EBI3, CD274, HAVCR2, IDO1.</w:t>
      </w:r>
    </w:p>
    <w:p>
      <w:pPr>
        <w:spacing w:after="90" w:line="264"/>
        <w:ind w:left="360" w:hanging="360"/>
      </w:pPr>
      <w:r>
        <w:rPr>
          <w:rFonts w:ascii="Calibri" w:cs="Calibri" w:eastAsia="Calibri" w:hAnsi="Calibri"/>
          <w:b/>
          <w:bCs/>
          <w:color w:val="1F4E5F"/>
          <w:sz w:val="19"/>
          <w:szCs w:val="19"/>
        </w:rPr>
        <w:t xml:space="preserve">5. </w:t>
      </w:r>
      <w:r>
        <w:rPr>
          <w:rFonts w:ascii="Calibri" w:cs="Calibri" w:eastAsia="Calibri" w:hAnsi="Calibri"/>
          <w:color w:val="1A2733"/>
          <w:sz w:val="19"/>
          <w:szCs w:val="19"/>
        </w:rPr>
        <w:t xml:space="preserve">First-trimester screening for placenta accreta spectrum. Am J Obstet Gynecol MFM (2024).</w:t>
      </w:r>
    </w:p>
    <w:p>
      <w:pPr>
        <w:spacing w:after="90" w:line="264"/>
        <w:ind w:left="360" w:hanging="360"/>
      </w:pPr>
      <w:r>
        <w:rPr>
          <w:rFonts w:ascii="Calibri" w:cs="Calibri" w:eastAsia="Calibri" w:hAnsi="Calibri"/>
          <w:b/>
          <w:bCs/>
          <w:color w:val="1F4E5F"/>
          <w:sz w:val="19"/>
          <w:szCs w:val="19"/>
        </w:rPr>
        <w:t xml:space="preserve">6. </w:t>
      </w:r>
      <w:r>
        <w:rPr>
          <w:rFonts w:ascii="Calibri" w:cs="Calibri" w:eastAsia="Calibri" w:hAnsi="Calibri"/>
          <w:color w:val="1A2733"/>
          <w:sz w:val="19"/>
          <w:szCs w:val="19"/>
        </w:rPr>
        <w:t xml:space="preserve">Combined First-Trimester PAPP-A and Free β-hCG Levels for the Early Diagnosis of PAS and Placenta Previa: A Case-Control Study. (2025).</w:t>
      </w:r>
    </w:p>
    <w:p>
      <w:pPr>
        <w:spacing w:after="90" w:line="264"/>
        <w:ind w:left="360" w:hanging="360"/>
      </w:pPr>
      <w:r>
        <w:rPr>
          <w:rFonts w:ascii="Calibri" w:cs="Calibri" w:eastAsia="Calibri" w:hAnsi="Calibri"/>
          <w:b/>
          <w:bCs/>
          <w:color w:val="1F4E5F"/>
          <w:sz w:val="19"/>
          <w:szCs w:val="19"/>
        </w:rPr>
        <w:t xml:space="preserve">7. </w:t>
      </w:r>
      <w:r>
        <w:rPr>
          <w:rFonts w:ascii="Calibri" w:cs="Calibri" w:eastAsia="Calibri" w:hAnsi="Calibri"/>
          <w:color w:val="1A2733"/>
          <w:sz w:val="19"/>
          <w:szCs w:val="19"/>
        </w:rPr>
        <w:t xml:space="preserve">Associations of First-Trimester Screening Markers and Hematological Indices with PAS in Pregnancies Complicated by Placenta Previa. Biomedicines (2025). PAPP-A, β-hCG, MPV.</w:t>
      </w:r>
    </w:p>
    <w:p>
      <w:pPr>
        <w:spacing w:after="90" w:line="264"/>
        <w:ind w:left="360" w:hanging="360"/>
      </w:pPr>
      <w:r>
        <w:rPr>
          <w:rFonts w:ascii="Calibri" w:cs="Calibri" w:eastAsia="Calibri" w:hAnsi="Calibri"/>
          <w:b/>
          <w:bCs/>
          <w:color w:val="1F4E5F"/>
          <w:sz w:val="19"/>
          <w:szCs w:val="19"/>
        </w:rPr>
        <w:t xml:space="preserve">8. </w:t>
      </w:r>
      <w:r>
        <w:rPr>
          <w:rFonts w:ascii="Calibri" w:cs="Calibri" w:eastAsia="Calibri" w:hAnsi="Calibri"/>
          <w:color w:val="1A2733"/>
          <w:sz w:val="19"/>
          <w:szCs w:val="19"/>
        </w:rPr>
        <w:t xml:space="preserve">Universal First-Trimester Screening Biomarkers for PE and PAS. Biomolecules (2025). Circulating piRNAs and clusterin models at 11–14 weeks.</w:t>
      </w:r>
    </w:p>
    <w:p>
      <w:pPr>
        <w:spacing w:after="90" w:line="264"/>
        <w:ind w:left="360" w:hanging="360"/>
      </w:pPr>
      <w:r>
        <w:rPr>
          <w:rFonts w:ascii="Calibri" w:cs="Calibri" w:eastAsia="Calibri" w:hAnsi="Calibri"/>
          <w:b/>
          <w:bCs/>
          <w:color w:val="1F4E5F"/>
          <w:sz w:val="19"/>
          <w:szCs w:val="19"/>
        </w:rPr>
        <w:t xml:space="preserve">9. </w:t>
      </w:r>
      <w:r>
        <w:rPr>
          <w:rFonts w:ascii="Calibri" w:cs="Calibri" w:eastAsia="Calibri" w:hAnsi="Calibri"/>
          <w:color w:val="1A2733"/>
          <w:sz w:val="19"/>
          <w:szCs w:val="19"/>
        </w:rPr>
        <w:t xml:space="preserve">miR-193a-3p mediates PAS development by targeting EFNB2 via the EMT pathway under decidua-defect conditions.</w:t>
      </w:r>
    </w:p>
    <w:p>
      <w:pPr>
        <w:spacing w:after="90" w:line="264"/>
        <w:ind w:left="360" w:hanging="360"/>
      </w:pPr>
      <w:r>
        <w:rPr>
          <w:rFonts w:ascii="Calibri" w:cs="Calibri" w:eastAsia="Calibri" w:hAnsi="Calibri"/>
          <w:b/>
          <w:bCs/>
          <w:color w:val="1F4E5F"/>
          <w:sz w:val="19"/>
          <w:szCs w:val="19"/>
        </w:rPr>
        <w:t xml:space="preserve">10. </w:t>
      </w:r>
      <w:r>
        <w:rPr>
          <w:rFonts w:ascii="Calibri" w:cs="Calibri" w:eastAsia="Calibri" w:hAnsi="Calibri"/>
          <w:color w:val="1A2733"/>
          <w:sz w:val="19"/>
          <w:szCs w:val="19"/>
        </w:rPr>
        <w:t xml:space="preserve">Trophoblast invasion biology: from normal implantation to accreta spectrum and choriocarcinoma. (2025).</w:t>
      </w:r>
    </w:p>
    <w:p>
      <w:pPr>
        <w:spacing w:after="90" w:line="264"/>
        <w:ind w:left="360" w:hanging="360"/>
      </w:pPr>
      <w:r>
        <w:rPr>
          <w:rFonts w:ascii="Calibri" w:cs="Calibri" w:eastAsia="Calibri" w:hAnsi="Calibri"/>
          <w:b/>
          <w:bCs/>
          <w:color w:val="1F4E5F"/>
          <w:sz w:val="19"/>
          <w:szCs w:val="19"/>
        </w:rPr>
        <w:t xml:space="preserve">11. </w:t>
      </w:r>
      <w:r>
        <w:rPr>
          <w:rFonts w:ascii="Calibri" w:cs="Calibri" w:eastAsia="Calibri" w:hAnsi="Calibri"/>
          <w:color w:val="1A2733"/>
          <w:sz w:val="19"/>
          <w:szCs w:val="19"/>
        </w:rPr>
        <w:t xml:space="preserve">Preeclampsia risk prediction from prenatal cell-free DNA screening. Nat Med (2025). Nucleosome-accessibility profiling of cfDNA.</w:t>
      </w:r>
    </w:p>
    <w:p>
      <w:pPr>
        <w:spacing w:after="90" w:line="264"/>
        <w:ind w:left="360" w:hanging="360"/>
      </w:pPr>
      <w:r>
        <w:rPr>
          <w:rFonts w:ascii="Calibri" w:cs="Calibri" w:eastAsia="Calibri" w:hAnsi="Calibri"/>
          <w:b/>
          <w:bCs/>
          <w:color w:val="1F4E5F"/>
          <w:sz w:val="19"/>
          <w:szCs w:val="19"/>
        </w:rPr>
        <w:t xml:space="preserve">12. </w:t>
      </w:r>
      <w:r>
        <w:rPr>
          <w:rFonts w:ascii="Calibri" w:cs="Calibri" w:eastAsia="Calibri" w:hAnsi="Calibri"/>
          <w:color w:val="1A2733"/>
          <w:sz w:val="19"/>
          <w:szCs w:val="19"/>
        </w:rPr>
        <w:t xml:space="preserve">Risk factors and clinical characteristics of pernicious placenta accreta in pregnancies complicated by placenta previa. (2025).</w:t>
      </w:r>
    </w:p>
    <w:p>
      <w:pPr>
        <w:spacing w:after="90" w:line="264"/>
        <w:ind w:left="360" w:hanging="360"/>
      </w:pPr>
      <w:r>
        <w:rPr>
          <w:rFonts w:ascii="Calibri" w:cs="Calibri" w:eastAsia="Calibri" w:hAnsi="Calibri"/>
          <w:b/>
          <w:bCs/>
          <w:color w:val="1F4E5F"/>
          <w:sz w:val="19"/>
          <w:szCs w:val="19"/>
        </w:rPr>
        <w:t xml:space="preserve">13. </w:t>
      </w:r>
      <w:r>
        <w:rPr>
          <w:rFonts w:ascii="Calibri" w:cs="Calibri" w:eastAsia="Calibri" w:hAnsi="Calibri"/>
          <w:color w:val="1A2733"/>
          <w:sz w:val="19"/>
          <w:szCs w:val="19"/>
        </w:rPr>
        <w:t xml:space="preserve">Risk Factors Associated With Placenta Previa: A Matched Case-Control Study; classification of placenta previa.</w:t>
      </w:r>
    </w:p>
    <w:p>
      <w:pPr>
        <w:spacing w:after="120"/>
      </w:pPr>
    </w:p>
    <w:p>
      <w:pPr>
        <w:pBdr>
          <w:top w:val="single" w:color="9AA9B0" w:sz="6" w:space="6"/>
        </w:pBdr>
        <w:spacing w:before="120"/>
      </w:pPr>
      <w:r>
        <w:rPr>
          <w:rFonts w:ascii="Calibri" w:cs="Calibri" w:eastAsia="Calibri" w:hAnsi="Calibri"/>
          <w:i/>
          <w:iCs/>
          <w:color w:val="6A757C"/>
          <w:sz w:val="17"/>
          <w:szCs w:val="17"/>
        </w:rPr>
        <w:t xml:space="preserve">Educational reference only; not a substitute for clinical judgment, institutional protocols, or current professional-society guidelines.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Pathways and Biomarkers for Early Detection of PAS and Placenta Previa</dc:title>
  <dc:creator>Reference Compilation</dc:creator>
  <cp:lastModifiedBy>Un-named</cp:lastModifiedBy>
  <cp:revision>1</cp:revision>
  <dcterms:created xsi:type="dcterms:W3CDTF">2026-07-20T01:15:08.666Z</dcterms:created>
  <dcterms:modified xsi:type="dcterms:W3CDTF">2026-07-20T01:15:08.677Z</dcterms:modified>
</cp:coreProperties>
</file>

<file path=docProps/custom.xml><?xml version="1.0" encoding="utf-8"?>
<Properties xmlns="http://schemas.openxmlformats.org/officeDocument/2006/custom-properties" xmlns:vt="http://schemas.openxmlformats.org/officeDocument/2006/docPropsVTypes"/>
</file>