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bidi w:val="0"/>
        <w:spacing w:lineRule="auto" w:line="274" w:before="0" w:after="140"/>
        <w:ind w:hanging="0" w:start="0" w:end="0"/>
        <w:jc w:val="start"/>
        <w:rPr>
          <w:rFonts w:ascii="Google Sans;sans-serif" w:hAnsi="Google Sans;sans-serif"/>
          <w:sz w:val="26"/>
          <w:szCs w:val="26"/>
        </w:rPr>
      </w:pPr>
      <w:r>
        <w:rPr>
          <w:rFonts w:ascii="Google Sans;sans-serif" w:hAnsi="Google Sans;sans-serif"/>
          <w:sz w:val="26"/>
          <w:szCs w:val="26"/>
        </w:rPr>
        <w:t>Gemini 3.5 Thinking</w:t>
      </w:r>
    </w:p>
    <w:p>
      <w:pPr>
        <w:pStyle w:val="Heading1"/>
        <w:bidi w:val="0"/>
        <w:spacing w:lineRule="auto" w:line="274" w:before="0" w:after="140"/>
        <w:ind w:hanging="0" w:start="0" w:end="0"/>
        <w:jc w:val="start"/>
        <w:rPr>
          <w:rFonts w:ascii="Google Sans;sans-serif" w:hAnsi="Google Sans;sans-serif"/>
        </w:rPr>
      </w:pPr>
      <w:r>
        <w:rPr>
          <w:rFonts w:ascii="Google Sans;sans-serif" w:hAnsi="Google Sans;sans-serif"/>
        </w:rPr>
      </w:r>
    </w:p>
    <w:p>
      <w:pPr>
        <w:pStyle w:val="Heading1"/>
        <w:bidi w:val="0"/>
        <w:spacing w:lineRule="auto" w:line="274" w:before="0" w:after="140"/>
        <w:ind w:hanging="0" w:start="0" w:end="0"/>
        <w:jc w:val="start"/>
        <w:rPr>
          <w:rFonts w:ascii="Google Sans;sans-serif" w:hAnsi="Google Sans;sans-serif"/>
        </w:rPr>
      </w:pPr>
      <w:r>
        <w:rPr>
          <w:rFonts w:ascii="Google Sans;sans-serif" w:hAnsi="Google Sans;sans-serif"/>
        </w:rPr>
        <w:t>Baseline Knowledge Summary: Critical Pathways and Biomarkers for Placenta Accreta Spectrum and Placenta Previa</w:t>
      </w:r>
    </w:p>
    <w:p>
      <w:pPr>
        <w:pStyle w:val="Heading2"/>
        <w:bidi w:val="0"/>
        <w:spacing w:lineRule="auto" w:line="274" w:before="0" w:after="140"/>
        <w:ind w:hanging="0" w:start="0" w:end="0"/>
        <w:jc w:val="start"/>
        <w:rPr>
          <w:rFonts w:ascii="Google Sans;sans-serif" w:hAnsi="Google Sans;sans-serif"/>
        </w:rPr>
      </w:pPr>
      <w:r>
        <w:rPr>
          <w:rFonts w:ascii="Google Sans;sans-serif" w:hAnsi="Google Sans;sans-serif"/>
        </w:rPr>
        <w:t>1. Overview and Clinical Definitions</w:t>
      </w:r>
    </w:p>
    <w:p>
      <w:pPr>
        <w:pStyle w:val="BodyText"/>
        <w:bidi w:val="0"/>
        <w:spacing w:lineRule="auto" w:line="274" w:before="0" w:after="140"/>
        <w:ind w:hanging="0" w:start="0" w:end="0"/>
        <w:jc w:val="start"/>
        <w:rPr>
          <w:rFonts w:ascii="Google Sans Text;sans-serif" w:hAnsi="Google Sans Text;sans-serif"/>
        </w:rPr>
      </w:pPr>
      <w:r>
        <w:rPr>
          <w:rFonts w:ascii="Google Sans Text;sans-serif" w:hAnsi="Google Sans Text;sans-serif"/>
        </w:rPr>
        <w:t>Placenta Previa (PP) and Placenta Accreta Spectrum (PAS) represent two distinct but frequently co-occurring major obstetric complications associated with significant risk of severe intraoperative hemorrhage and maternal morbidity.</w:t>
      </w:r>
    </w:p>
    <w:p>
      <w:pPr>
        <w:pStyle w:val="BodyText"/>
        <w:numPr>
          <w:ilvl w:val="0"/>
          <w:numId w:val="1"/>
        </w:numPr>
        <w:pBdr/>
        <w:tabs>
          <w:tab w:val="clear" w:pos="709"/>
          <w:tab w:val="left" w:pos="709" w:leader="none"/>
        </w:tabs>
        <w:bidi w:val="0"/>
        <w:spacing w:lineRule="auto" w:line="274" w:before="0" w:after="140"/>
        <w:ind w:hanging="283" w:start="709" w:end="0"/>
        <w:jc w:val="start"/>
        <w:rPr>
          <w:rFonts w:ascii="Google Sans Text;sans-serif" w:hAnsi="Google Sans Text;sans-serif"/>
        </w:rPr>
      </w:pPr>
      <w:r>
        <w:rPr>
          <w:rFonts w:ascii="Google Sans Text;sans-serif" w:hAnsi="Google Sans Text;sans-serif"/>
          <w:b/>
        </w:rPr>
        <w:t>Placenta Previa (PP):</w:t>
      </w:r>
      <w:r>
        <w:rPr>
          <w:rFonts w:ascii="Google Sans Text;sans-serif" w:hAnsi="Google Sans Text;sans-serif"/>
        </w:rPr>
        <w:t xml:space="preserve"> Characterized by the partial or complete implantation of the placenta over the internal cervical os. Pathophysiology is primarily spatial/positional rather than inherently invasive.</w:t>
      </w:r>
    </w:p>
    <w:p>
      <w:pPr>
        <w:pStyle w:val="BodyText"/>
        <w:numPr>
          <w:ilvl w:val="0"/>
          <w:numId w:val="1"/>
        </w:numPr>
        <w:pBdr/>
        <w:tabs>
          <w:tab w:val="clear" w:pos="709"/>
          <w:tab w:val="left" w:pos="709" w:leader="none"/>
        </w:tabs>
        <w:bidi w:val="0"/>
        <w:spacing w:lineRule="auto" w:line="274" w:before="0" w:after="140"/>
        <w:ind w:hanging="283" w:start="709" w:end="0"/>
        <w:jc w:val="start"/>
        <w:rPr>
          <w:rFonts w:ascii="Google Sans Text;sans-serif" w:hAnsi="Google Sans Text;sans-serif"/>
        </w:rPr>
      </w:pPr>
      <w:r>
        <w:rPr>
          <w:rFonts w:ascii="Google Sans Text;sans-serif" w:hAnsi="Google Sans Text;sans-serif"/>
          <w:b/>
        </w:rPr>
        <w:t>Placenta Accreta Spectrum (PAS):</w:t>
      </w:r>
      <w:r>
        <w:rPr>
          <w:rFonts w:ascii="Google Sans Text;sans-serif" w:hAnsi="Google Sans Text;sans-serif"/>
        </w:rPr>
        <w:t xml:space="preserve"> Characterized by pathologically invasive placentation resulting from the absence or defective layer of the decidua basalis (Nitabuch's layer) and abnormal trophoblastic penetration into or through the uterine wall (Lizárraga-Verdugo et al., 2024). PAS is subclassified into:</w:t>
      </w:r>
    </w:p>
    <w:p>
      <w:pPr>
        <w:pStyle w:val="BodyText"/>
        <w:numPr>
          <w:ilvl w:val="1"/>
          <w:numId w:val="1"/>
        </w:numPr>
        <w:pBdr/>
        <w:tabs>
          <w:tab w:val="clear" w:pos="709"/>
          <w:tab w:val="left" w:pos="1418" w:leader="none"/>
        </w:tabs>
        <w:bidi w:val="0"/>
        <w:spacing w:lineRule="auto" w:line="274" w:before="0" w:after="140"/>
        <w:ind w:hanging="283" w:start="1418" w:end="0"/>
        <w:jc w:val="start"/>
        <w:rPr>
          <w:rFonts w:ascii="Google Sans Text;sans-serif" w:hAnsi="Google Sans Text;sans-serif"/>
        </w:rPr>
      </w:pPr>
      <w:r>
        <w:rPr>
          <w:rFonts w:ascii="Google Sans Text;sans-serif" w:hAnsi="Google Sans Text;sans-serif"/>
          <w:b/>
        </w:rPr>
        <w:t>Placenta Accreta:</w:t>
      </w:r>
      <w:r>
        <w:rPr>
          <w:rFonts w:ascii="Google Sans Text;sans-serif" w:hAnsi="Google Sans Text;sans-serif"/>
        </w:rPr>
        <w:t xml:space="preserve"> Anchoring placental villi adhere directly to the myometrium without invading its muscular substance (depth &lt; 50%).</w:t>
      </w:r>
    </w:p>
    <w:p>
      <w:pPr>
        <w:pStyle w:val="BodyText"/>
        <w:numPr>
          <w:ilvl w:val="1"/>
          <w:numId w:val="1"/>
        </w:numPr>
        <w:pBdr/>
        <w:tabs>
          <w:tab w:val="clear" w:pos="709"/>
          <w:tab w:val="left" w:pos="1418" w:leader="none"/>
        </w:tabs>
        <w:bidi w:val="0"/>
        <w:spacing w:lineRule="auto" w:line="274" w:before="0" w:after="140"/>
        <w:ind w:hanging="283" w:start="1418" w:end="0"/>
        <w:jc w:val="start"/>
        <w:rPr>
          <w:rFonts w:ascii="Google Sans Text;sans-serif" w:hAnsi="Google Sans Text;sans-serif"/>
        </w:rPr>
      </w:pPr>
      <w:r>
        <w:rPr>
          <w:rFonts w:ascii="Google Sans Text;sans-serif" w:hAnsi="Google Sans Text;sans-serif"/>
          <w:b/>
        </w:rPr>
        <w:t>Placenta Increta:</w:t>
      </w:r>
      <w:r>
        <w:rPr>
          <w:rFonts w:ascii="Google Sans Text;sans-serif" w:hAnsi="Google Sans Text;sans-serif"/>
        </w:rPr>
        <w:t xml:space="preserve"> Placental villi deeply invade into the myometrium (depth &gt; 50%).</w:t>
      </w:r>
    </w:p>
    <w:p>
      <w:pPr>
        <w:pStyle w:val="BodyText"/>
        <w:numPr>
          <w:ilvl w:val="1"/>
          <w:numId w:val="1"/>
        </w:numPr>
        <w:pBdr/>
        <w:tabs>
          <w:tab w:val="clear" w:pos="709"/>
          <w:tab w:val="left" w:pos="1418" w:leader="none"/>
        </w:tabs>
        <w:bidi w:val="0"/>
        <w:spacing w:lineRule="auto" w:line="274" w:before="0" w:after="140"/>
        <w:ind w:hanging="283" w:start="1418" w:end="0"/>
        <w:jc w:val="start"/>
        <w:rPr>
          <w:rFonts w:ascii="Google Sans Text;sans-serif" w:hAnsi="Google Sans Text;sans-serif"/>
        </w:rPr>
      </w:pPr>
      <w:r>
        <w:rPr>
          <w:rFonts w:ascii="Google Sans Text;sans-serif" w:hAnsi="Google Sans Text;sans-serif"/>
          <w:b/>
        </w:rPr>
        <w:t>Placenta Percreta:</w:t>
      </w:r>
      <w:r>
        <w:rPr>
          <w:rFonts w:ascii="Google Sans Text;sans-serif" w:hAnsi="Google Sans Text;sans-serif"/>
        </w:rPr>
        <w:t xml:space="preserve"> Placental villi penetrate completely through the myometrium, invading the uterine serosa and potentially neighboring pelvic structures (e.g., urinary bladder).</w:t>
      </w:r>
    </w:p>
    <w:p>
      <w:pPr>
        <w:pStyle w:val="Heading2"/>
        <w:bidi w:val="0"/>
        <w:spacing w:lineRule="auto" w:line="274" w:before="0" w:after="140"/>
        <w:ind w:hanging="0" w:start="0" w:end="0"/>
        <w:jc w:val="start"/>
        <w:rPr>
          <w:rFonts w:ascii="Google Sans;sans-serif" w:hAnsi="Google Sans;sans-serif"/>
        </w:rPr>
      </w:pPr>
      <w:r>
        <w:rPr>
          <w:rFonts w:ascii="Google Sans;sans-serif" w:hAnsi="Google Sans;sans-serif"/>
        </w:rPr>
        <w:t>2. Critical Pathways in Pathophysiology</w:t>
      </w:r>
    </w:p>
    <w:p>
      <w:pPr>
        <w:pStyle w:val="BodyText"/>
        <w:bidi w:val="0"/>
        <w:spacing w:lineRule="auto" w:line="274" w:before="0" w:after="140"/>
        <w:ind w:hanging="0" w:start="0" w:end="0"/>
        <w:jc w:val="start"/>
        <w:rPr>
          <w:rFonts w:ascii="Google Sans Text;sans-serif" w:hAnsi="Google Sans Text;sans-serif"/>
        </w:rPr>
      </w:pPr>
      <w:r>
        <w:rPr>
          <w:rFonts w:ascii="Google Sans Text;sans-serif" w:hAnsi="Google Sans Text;sans-serif"/>
        </w:rPr>
        <w:t>The development and progression of PAS involve several intertwined molecular cascades that govern trophoblast behavior, tissue remodeling, and angiogenesis (Lizárraga-Verdugo et al., 2024).</w:t>
      </w:r>
    </w:p>
    <w:p>
      <w:pPr>
        <w:pStyle w:val="Heading3"/>
        <w:bidi w:val="0"/>
        <w:spacing w:lineRule="auto" w:line="274" w:before="0" w:after="140"/>
        <w:ind w:hanging="0" w:start="0" w:end="0"/>
        <w:jc w:val="start"/>
        <w:rPr>
          <w:rFonts w:ascii="Google Sans;sans-serif" w:hAnsi="Google Sans;sans-serif"/>
        </w:rPr>
      </w:pPr>
      <w:r>
        <w:rPr>
          <w:rFonts w:ascii="Google Sans;sans-serif" w:hAnsi="Google Sans;sans-serif"/>
        </w:rPr>
        <w:t>A. Excessive Extravillous Trophoblast (EVT) Invasion &amp; EMT</w:t>
      </w:r>
    </w:p>
    <w:p>
      <w:pPr>
        <w:pStyle w:val="BodyText"/>
        <w:bidi w:val="0"/>
        <w:spacing w:lineRule="auto" w:line="274" w:before="0" w:after="140"/>
        <w:ind w:hanging="0" w:start="0" w:end="0"/>
        <w:jc w:val="start"/>
        <w:rPr>
          <w:rFonts w:ascii="Google Sans Text;sans-serif" w:hAnsi="Google Sans Text;sans-serif"/>
        </w:rPr>
      </w:pPr>
      <w:r>
        <w:rPr>
          <w:rFonts w:ascii="Google Sans Text;sans-serif" w:hAnsi="Google Sans Text;sans-serif"/>
        </w:rPr>
        <w:t>Unlike physiological placentation—where EVT invasion is restricted to the inner third of the myometrium—PAS features unchecked EVT motility and invasion resembling tumor invasion dynamics (Lizárraga-Verdugo et al., 2024).</w:t>
      </w:r>
    </w:p>
    <w:p>
      <w:pPr>
        <w:pStyle w:val="BodyText"/>
        <w:numPr>
          <w:ilvl w:val="0"/>
          <w:numId w:val="2"/>
        </w:numPr>
        <w:pBdr/>
        <w:tabs>
          <w:tab w:val="clear" w:pos="709"/>
          <w:tab w:val="left" w:pos="709" w:leader="none"/>
        </w:tabs>
        <w:bidi w:val="0"/>
        <w:spacing w:lineRule="auto" w:line="274" w:before="0" w:after="140"/>
        <w:ind w:hanging="283" w:start="709" w:end="0"/>
        <w:jc w:val="start"/>
        <w:rPr>
          <w:rFonts w:ascii="Google Sans Text;sans-serif" w:hAnsi="Google Sans Text;sans-serif"/>
        </w:rPr>
      </w:pPr>
      <w:r>
        <w:rPr>
          <w:rFonts w:ascii="Google Sans Text;sans-serif" w:hAnsi="Google Sans Text;sans-serif"/>
          <w:b/>
        </w:rPr>
        <w:t>Epithelial-Mesenchymal Transition (EMT):</w:t>
      </w:r>
      <w:r>
        <w:rPr>
          <w:rFonts w:ascii="Google Sans Text;sans-serif" w:hAnsi="Google Sans Text;sans-serif"/>
        </w:rPr>
        <w:t xml:space="preserve"> EVTs undergo EMT to gain migratory properties. Downregulation of specific microRNAs, such as </w:t>
      </w:r>
      <w:r>
        <w:rPr>
          <w:rFonts w:ascii="Google Sans Text;sans-serif" w:hAnsi="Google Sans Text;sans-serif"/>
          <w:b/>
        </w:rPr>
        <w:t>miR-139-3p</w:t>
      </w:r>
      <w:r>
        <w:rPr>
          <w:rFonts w:ascii="Google Sans Text;sans-serif" w:hAnsi="Google Sans Text;sans-serif"/>
        </w:rPr>
        <w:t xml:space="preserve"> and </w:t>
      </w:r>
      <w:r>
        <w:rPr>
          <w:rFonts w:ascii="Google Sans Text;sans-serif" w:hAnsi="Google Sans Text;sans-serif"/>
          <w:b/>
        </w:rPr>
        <w:t>miR-196a-5p</w:t>
      </w:r>
      <w:r>
        <w:rPr>
          <w:rFonts w:ascii="Google Sans Text;sans-serif" w:hAnsi="Google Sans Text;sans-serif"/>
        </w:rPr>
        <w:t>, maintains EMT progression and trophoblast invasiveness (Guo et al., 2003).</w:t>
      </w:r>
    </w:p>
    <w:p>
      <w:pPr>
        <w:pStyle w:val="BodyText"/>
        <w:numPr>
          <w:ilvl w:val="0"/>
          <w:numId w:val="2"/>
        </w:numPr>
        <w:pBdr/>
        <w:tabs>
          <w:tab w:val="clear" w:pos="709"/>
          <w:tab w:val="left" w:pos="709" w:leader="none"/>
        </w:tabs>
        <w:bidi w:val="0"/>
        <w:spacing w:lineRule="auto" w:line="274" w:before="0" w:after="140"/>
        <w:ind w:hanging="283" w:start="709" w:end="0"/>
        <w:jc w:val="start"/>
        <w:rPr>
          <w:rFonts w:ascii="Google Sans Text;sans-serif" w:hAnsi="Google Sans Text;sans-serif"/>
        </w:rPr>
      </w:pPr>
      <w:r>
        <w:rPr>
          <w:rFonts w:ascii="Google Sans Text;sans-serif" w:hAnsi="Google Sans Text;sans-serif"/>
          <w:b/>
        </w:rPr>
        <w:t>Regulatory Factors:</w:t>
      </w:r>
      <w:r>
        <w:rPr>
          <w:rFonts w:ascii="Google Sans Text;sans-serif" w:hAnsi="Google Sans Text;sans-serif"/>
        </w:rPr>
        <w:t xml:space="preserve"> Cytokines such as </w:t>
      </w:r>
      <w:r>
        <w:rPr>
          <w:rFonts w:ascii="Google Sans Text;sans-serif" w:hAnsi="Google Sans Text;sans-serif"/>
          <w:b/>
        </w:rPr>
        <w:t>Interleukin-8 (IL-8)</w:t>
      </w:r>
      <w:r>
        <w:rPr>
          <w:rFonts w:ascii="Google Sans Text;sans-serif" w:hAnsi="Google Sans Text;sans-serif"/>
        </w:rPr>
        <w:t xml:space="preserve"> and </w:t>
      </w:r>
      <w:r>
        <w:rPr>
          <w:rFonts w:ascii="Google Sans Text;sans-serif" w:hAnsi="Google Sans Text;sans-serif"/>
          <w:b/>
        </w:rPr>
        <w:t>hyperglycosylated human chorionic gonadotropin (H-hCG)</w:t>
      </w:r>
      <w:r>
        <w:rPr>
          <w:rFonts w:ascii="Google Sans Text;sans-serif" w:hAnsi="Google Sans Text;sans-serif"/>
        </w:rPr>
        <w:t xml:space="preserve"> stimulate EVT invasion, whereas decidual proteoglycans like </w:t>
      </w:r>
      <w:r>
        <w:rPr>
          <w:rFonts w:ascii="Google Sans Text;sans-serif" w:hAnsi="Google Sans Text;sans-serif"/>
          <w:b/>
        </w:rPr>
        <w:t>decorin</w:t>
      </w:r>
      <w:r>
        <w:rPr>
          <w:rFonts w:ascii="Google Sans Text;sans-serif" w:hAnsi="Google Sans Text;sans-serif"/>
        </w:rPr>
        <w:t xml:space="preserve"> suppress over-invasion (Guo et al., 2003).</w:t>
      </w:r>
    </w:p>
    <w:p>
      <w:pPr>
        <w:pStyle w:val="Heading3"/>
        <w:bidi w:val="0"/>
        <w:spacing w:lineRule="auto" w:line="274" w:before="0" w:after="140"/>
        <w:ind w:hanging="0" w:start="0" w:end="0"/>
        <w:jc w:val="start"/>
        <w:rPr>
          <w:rFonts w:ascii="Google Sans;sans-serif" w:hAnsi="Google Sans;sans-serif"/>
        </w:rPr>
      </w:pPr>
      <w:r>
        <w:rPr>
          <w:rFonts w:ascii="Google Sans;sans-serif" w:hAnsi="Google Sans;sans-serif"/>
        </w:rPr>
        <w:t>B. Aberrant Intracellular Signaling Cascades</w:t>
      </w:r>
    </w:p>
    <w:p>
      <w:pPr>
        <w:pStyle w:val="BodyText"/>
        <w:bidi w:val="0"/>
        <w:spacing w:lineRule="auto" w:line="274" w:before="0" w:after="140"/>
        <w:ind w:hanging="0" w:start="0" w:end="0"/>
        <w:jc w:val="start"/>
        <w:rPr>
          <w:rFonts w:ascii="Google Sans Text;sans-serif" w:hAnsi="Google Sans Text;sans-serif"/>
        </w:rPr>
      </w:pPr>
      <w:r>
        <w:rPr>
          <w:rFonts w:ascii="Google Sans Text;sans-serif" w:hAnsi="Google Sans Text;sans-serif"/>
        </w:rPr>
        <w:t>Key intracellular signaling cascades that modulate trophoblastic survival, differentiation, and invasion are dysregulated (Lizárraga-Verdugo et al., 2024):</w:t>
      </w:r>
    </w:p>
    <w:p>
      <w:pPr>
        <w:pStyle w:val="BodyText"/>
        <w:numPr>
          <w:ilvl w:val="0"/>
          <w:numId w:val="3"/>
        </w:numPr>
        <w:pBdr/>
        <w:tabs>
          <w:tab w:val="clear" w:pos="709"/>
          <w:tab w:val="left" w:pos="709" w:leader="none"/>
        </w:tabs>
        <w:bidi w:val="0"/>
        <w:spacing w:lineRule="auto" w:line="274" w:before="0" w:after="140"/>
        <w:ind w:hanging="283" w:start="709" w:end="0"/>
        <w:jc w:val="start"/>
        <w:rPr>
          <w:rFonts w:ascii="Google Sans Text;sans-serif" w:hAnsi="Google Sans Text;sans-serif"/>
        </w:rPr>
      </w:pPr>
      <w:r>
        <w:rPr>
          <w:rFonts w:ascii="Google Sans Text;sans-serif" w:hAnsi="Google Sans Text;sans-serif"/>
          <w:b/>
        </w:rPr>
        <w:t>PI3K/Akt Pathway:</w:t>
      </w:r>
      <w:r>
        <w:rPr>
          <w:rFonts w:ascii="Google Sans Text;sans-serif" w:hAnsi="Google Sans Text;sans-serif"/>
        </w:rPr>
        <w:t xml:space="preserve"> Drives cellular proliferation and resistance to apoptosis in EVTs.</w:t>
      </w:r>
    </w:p>
    <w:p>
      <w:pPr>
        <w:pStyle w:val="BodyText"/>
        <w:numPr>
          <w:ilvl w:val="0"/>
          <w:numId w:val="3"/>
        </w:numPr>
        <w:pBdr/>
        <w:tabs>
          <w:tab w:val="clear" w:pos="709"/>
          <w:tab w:val="left" w:pos="709" w:leader="none"/>
        </w:tabs>
        <w:bidi w:val="0"/>
        <w:spacing w:lineRule="auto" w:line="274" w:before="0" w:after="140"/>
        <w:ind w:hanging="283" w:start="709" w:end="0"/>
        <w:jc w:val="start"/>
        <w:rPr>
          <w:rFonts w:ascii="Google Sans Text;sans-serif" w:hAnsi="Google Sans Text;sans-serif"/>
        </w:rPr>
      </w:pPr>
      <w:r>
        <w:rPr>
          <w:rFonts w:ascii="Google Sans Text;sans-serif" w:hAnsi="Google Sans Text;sans-serif"/>
          <w:b/>
        </w:rPr>
        <w:t>STAT3 Pathway:</w:t>
      </w:r>
      <w:r>
        <w:rPr>
          <w:rFonts w:ascii="Google Sans Text;sans-serif" w:hAnsi="Google Sans Text;sans-serif"/>
        </w:rPr>
        <w:t xml:space="preserve"> Promotes gene expression pathways related to tissue digestion and matrix remodeling.</w:t>
      </w:r>
    </w:p>
    <w:p>
      <w:pPr>
        <w:pStyle w:val="BodyText"/>
        <w:numPr>
          <w:ilvl w:val="0"/>
          <w:numId w:val="3"/>
        </w:numPr>
        <w:pBdr/>
        <w:tabs>
          <w:tab w:val="clear" w:pos="709"/>
          <w:tab w:val="left" w:pos="709" w:leader="none"/>
        </w:tabs>
        <w:bidi w:val="0"/>
        <w:spacing w:lineRule="auto" w:line="274" w:before="0" w:after="140"/>
        <w:ind w:hanging="283" w:start="709" w:end="0"/>
        <w:jc w:val="start"/>
        <w:rPr>
          <w:rFonts w:ascii="Google Sans Text;sans-serif" w:hAnsi="Google Sans Text;sans-serif"/>
        </w:rPr>
      </w:pPr>
      <w:r>
        <w:rPr>
          <w:rFonts w:ascii="Google Sans Text;sans-serif" w:hAnsi="Google Sans Text;sans-serif"/>
          <w:b/>
        </w:rPr>
        <w:t>TGF-β &amp; Notch Pathways:</w:t>
      </w:r>
      <w:r>
        <w:rPr>
          <w:rFonts w:ascii="Google Sans Text;sans-serif" w:hAnsi="Google Sans Text;sans-serif"/>
        </w:rPr>
        <w:t xml:space="preserve"> Regulate cell fate, tissue invasion, and vessel stabilization during early uterine remodeling (Lizárraga-Verdugo et al., 2024).</w:t>
      </w:r>
    </w:p>
    <w:p>
      <w:pPr>
        <w:pStyle w:val="Heading3"/>
        <w:bidi w:val="0"/>
        <w:spacing w:lineRule="auto" w:line="274" w:before="0" w:after="140"/>
        <w:ind w:hanging="0" w:start="0" w:end="0"/>
        <w:jc w:val="start"/>
        <w:rPr>
          <w:rFonts w:ascii="Google Sans;sans-serif" w:hAnsi="Google Sans;sans-serif"/>
        </w:rPr>
      </w:pPr>
      <w:r>
        <w:rPr>
          <w:rFonts w:ascii="Google Sans;sans-serif" w:hAnsi="Google Sans;sans-serif"/>
        </w:rPr>
        <w:t>C. Enhanced Angiogenesis and Vascular Remodeling</w:t>
      </w:r>
    </w:p>
    <w:p>
      <w:pPr>
        <w:pStyle w:val="BodyText"/>
        <w:bidi w:val="0"/>
        <w:spacing w:lineRule="auto" w:line="274" w:before="0" w:after="140"/>
        <w:ind w:hanging="0" w:start="0" w:end="0"/>
        <w:jc w:val="start"/>
        <w:rPr>
          <w:rFonts w:ascii="Google Sans Text;sans-serif" w:hAnsi="Google Sans Text;sans-serif"/>
        </w:rPr>
      </w:pPr>
      <w:r>
        <w:rPr>
          <w:rFonts w:ascii="Google Sans Text;sans-serif" w:hAnsi="Google Sans Text;sans-serif"/>
        </w:rPr>
        <w:t>PAS tissue exhibits extensive neo-vascularization driven by pro-angiogenic shifts:</w:t>
      </w:r>
    </w:p>
    <w:p>
      <w:pPr>
        <w:pStyle w:val="BodyText"/>
        <w:numPr>
          <w:ilvl w:val="0"/>
          <w:numId w:val="4"/>
        </w:numPr>
        <w:pBdr/>
        <w:tabs>
          <w:tab w:val="clear" w:pos="709"/>
          <w:tab w:val="left" w:pos="709" w:leader="none"/>
        </w:tabs>
        <w:bidi w:val="0"/>
        <w:spacing w:lineRule="auto" w:line="274" w:before="0" w:after="140"/>
        <w:ind w:hanging="283" w:start="709" w:end="0"/>
        <w:jc w:val="start"/>
        <w:rPr>
          <w:rFonts w:ascii="Google Sans Text;sans-serif" w:hAnsi="Google Sans Text;sans-serif"/>
        </w:rPr>
      </w:pPr>
      <w:r>
        <w:rPr>
          <w:rFonts w:ascii="Google Sans Text;sans-serif" w:hAnsi="Google Sans Text;sans-serif"/>
          <w:b/>
        </w:rPr>
        <w:t>Pro-angiogenic Upregulation:</w:t>
      </w:r>
      <w:r>
        <w:rPr>
          <w:rFonts w:ascii="Google Sans Text;sans-serif" w:hAnsi="Google Sans Text;sans-serif"/>
        </w:rPr>
        <w:t xml:space="preserve"> EVTs overexpress vascular endothelial growth factor receptor 2 (</w:t>
      </w:r>
      <w:r>
        <w:rPr>
          <w:rFonts w:ascii="Google Sans Text;sans-serif" w:hAnsi="Google Sans Text;sans-serif"/>
          <w:b/>
        </w:rPr>
        <w:t>sVEGFR2</w:t>
      </w:r>
      <w:r>
        <w:rPr>
          <w:rFonts w:ascii="Google Sans Text;sans-serif" w:hAnsi="Google Sans Text;sans-serif"/>
        </w:rPr>
        <w:t>), soluble Tie2 (</w:t>
      </w:r>
      <w:r>
        <w:rPr>
          <w:rFonts w:ascii="Google Sans Text;sans-serif" w:hAnsi="Google Sans Text;sans-serif"/>
          <w:b/>
        </w:rPr>
        <w:t>sTie2</w:t>
      </w:r>
      <w:r>
        <w:rPr>
          <w:rFonts w:ascii="Google Sans Text;sans-serif" w:hAnsi="Google Sans Text;sans-serif"/>
        </w:rPr>
        <w:t>), and plasminogen activator inhibitor-1 (</w:t>
      </w:r>
      <w:r>
        <w:rPr>
          <w:rFonts w:ascii="Google Sans Text;sans-serif" w:hAnsi="Google Sans Text;sans-serif"/>
          <w:b/>
        </w:rPr>
        <w:t>PAI-1</w:t>
      </w:r>
      <w:r>
        <w:rPr>
          <w:rFonts w:ascii="Google Sans Text;sans-serif" w:hAnsi="Google Sans Text;sans-serif"/>
        </w:rPr>
        <w:t>) (Guo et al., 2003).</w:t>
      </w:r>
    </w:p>
    <w:p>
      <w:pPr>
        <w:pStyle w:val="BodyText"/>
        <w:numPr>
          <w:ilvl w:val="0"/>
          <w:numId w:val="4"/>
        </w:numPr>
        <w:pBdr/>
        <w:tabs>
          <w:tab w:val="clear" w:pos="709"/>
          <w:tab w:val="left" w:pos="709" w:leader="none"/>
        </w:tabs>
        <w:bidi w:val="0"/>
        <w:spacing w:lineRule="auto" w:line="274" w:before="0" w:after="140"/>
        <w:ind w:hanging="283" w:start="709" w:end="0"/>
        <w:jc w:val="start"/>
        <w:rPr>
          <w:rFonts w:ascii="Google Sans Text;sans-serif" w:hAnsi="Google Sans Text;sans-serif"/>
        </w:rPr>
      </w:pPr>
      <w:r>
        <w:rPr>
          <w:rFonts w:ascii="Google Sans Text;sans-serif" w:hAnsi="Google Sans Text;sans-serif"/>
          <w:b/>
        </w:rPr>
        <w:t>Anti-angiogenic Suppression:</w:t>
      </w:r>
      <w:r>
        <w:rPr>
          <w:rFonts w:ascii="Google Sans Text;sans-serif" w:hAnsi="Google Sans Text;sans-serif"/>
        </w:rPr>
        <w:t xml:space="preserve"> Soluble Fms-like tyrosine kinase-1 (</w:t>
      </w:r>
      <w:r>
        <w:rPr>
          <w:rFonts w:ascii="Google Sans Text;sans-serif" w:hAnsi="Google Sans Text;sans-serif"/>
          <w:b/>
        </w:rPr>
        <w:t>sFlt-1</w:t>
      </w:r>
      <w:r>
        <w:rPr>
          <w:rFonts w:ascii="Google Sans Text;sans-serif" w:hAnsi="Google Sans Text;sans-serif"/>
        </w:rPr>
        <w:t>), an anti-angiogenic protein, is typically decreased in PAS compared to normal placentation (Guo et al., 2003; Lizárraga-Verdugo et al., 2024).</w:t>
      </w:r>
    </w:p>
    <w:p>
      <w:pPr>
        <w:pStyle w:val="Heading3"/>
        <w:bidi w:val="0"/>
        <w:spacing w:lineRule="auto" w:line="274" w:before="0" w:after="140"/>
        <w:ind w:hanging="0" w:start="0" w:end="0"/>
        <w:jc w:val="start"/>
        <w:rPr>
          <w:rFonts w:ascii="Google Sans;sans-serif" w:hAnsi="Google Sans;sans-serif"/>
        </w:rPr>
      </w:pPr>
      <w:r>
        <w:rPr>
          <w:rFonts w:ascii="Google Sans;sans-serif" w:hAnsi="Google Sans;sans-serif"/>
        </w:rPr>
        <w:t>D. Inflammatory and Coagulation Cascades</w:t>
      </w:r>
    </w:p>
    <w:p>
      <w:pPr>
        <w:pStyle w:val="BodyText"/>
        <w:bidi w:val="0"/>
        <w:spacing w:lineRule="auto" w:line="274" w:before="0" w:after="140"/>
        <w:ind w:hanging="0" w:start="0" w:end="0"/>
        <w:jc w:val="start"/>
        <w:rPr>
          <w:rFonts w:ascii="Google Sans Text;sans-serif" w:hAnsi="Google Sans Text;sans-serif"/>
        </w:rPr>
      </w:pPr>
      <w:r>
        <w:rPr>
          <w:rFonts w:ascii="Google Sans Text;sans-serif" w:hAnsi="Google Sans Text;sans-serif"/>
        </w:rPr>
        <w:t xml:space="preserve">Local tissue trauma, particularly in scar tissue from prior cesarean deliveries, induces localized inflammation and systemic biochemical shifts (Lizárraga-Verdugo et al., 2024). Excessive EVT invasion triggers a secondary hypercoagulable and inflammatory state, leading to elevated circulating levels of </w:t>
      </w:r>
      <w:r>
        <w:rPr>
          <w:rFonts w:ascii="Google Sans Text;sans-serif" w:hAnsi="Google Sans Text;sans-serif"/>
          <w:b/>
        </w:rPr>
        <w:t>antithrombin III</w:t>
      </w:r>
      <w:r>
        <w:rPr>
          <w:rFonts w:ascii="Google Sans Text;sans-serif" w:hAnsi="Google Sans Text;sans-serif"/>
        </w:rPr>
        <w:t xml:space="preserve"> (Guo et al., 2003).</w:t>
      </w:r>
    </w:p>
    <w:p>
      <w:pPr>
        <w:pStyle w:val="Heading2"/>
        <w:bidi w:val="0"/>
        <w:spacing w:lineRule="auto" w:line="274" w:before="0" w:after="140"/>
        <w:ind w:hanging="0" w:start="0" w:end="0"/>
        <w:jc w:val="start"/>
        <w:rPr>
          <w:rFonts w:ascii="Google Sans;sans-serif" w:hAnsi="Google Sans;sans-serif"/>
        </w:rPr>
      </w:pPr>
      <w:r>
        <w:rPr>
          <w:rFonts w:ascii="Google Sans;sans-serif" w:hAnsi="Google Sans;sans-serif"/>
        </w:rPr>
        <w:t>3. Circulating Biomarkers for Early Detection &amp; Differentiation</w:t>
      </w:r>
    </w:p>
    <w:p>
      <w:pPr>
        <w:pStyle w:val="BodyText"/>
        <w:bidi w:val="0"/>
        <w:spacing w:lineRule="auto" w:line="274" w:before="0" w:after="140"/>
        <w:ind w:hanging="0" w:start="0" w:end="0"/>
        <w:jc w:val="start"/>
        <w:rPr>
          <w:rFonts w:ascii="Google Sans Text;sans-serif" w:hAnsi="Google Sans Text;sans-serif"/>
        </w:rPr>
      </w:pPr>
      <w:r>
        <w:rPr>
          <w:rFonts w:ascii="Google Sans Text;sans-serif" w:hAnsi="Google Sans Text;sans-serif"/>
        </w:rPr>
        <w:t xml:space="preserve">While grayscale ultrasound and Doppler imaging remain the frontline clinical screening modalities (Lizárraga-Verdugo et al., 2024), maternal serum and plasma biomarkers offer objective molecular tools for early identification and risk stratification. </w:t>
      </w:r>
    </w:p>
    <w:tbl>
      <w:tblPr>
        <w:tblW w:w="9972" w:type="dxa"/>
        <w:jc w:val="start"/>
        <w:tblInd w:w="0" w:type="dxa"/>
        <w:tblLayout w:type="fixed"/>
        <w:tblCellMar>
          <w:top w:w="120" w:type="dxa"/>
          <w:start w:w="180" w:type="dxa"/>
          <w:bottom w:w="120" w:type="dxa"/>
          <w:end w:w="180" w:type="dxa"/>
        </w:tblCellMar>
      </w:tblPr>
      <w:tblGrid>
        <w:gridCol w:w="1862"/>
        <w:gridCol w:w="2746"/>
        <w:gridCol w:w="1772"/>
        <w:gridCol w:w="3592"/>
      </w:tblGrid>
      <w:tr>
        <w:trPr>
          <w:tblHeader w:val="true"/>
        </w:trPr>
        <w:tc>
          <w:tcPr>
            <w:tcW w:w="1862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  <w:vAlign w:val="center"/>
          </w:tcPr>
          <w:p>
            <w:pPr>
              <w:pStyle w:val="TableContents"/>
              <w:bidi w:val="0"/>
              <w:spacing w:lineRule="auto" w:line="274" w:before="0" w:after="0"/>
              <w:ind w:hanging="0" w:start="0" w:end="0"/>
              <w:jc w:val="start"/>
              <w:rPr/>
            </w:pPr>
            <w:r>
              <w:rPr>
                <w:rStyle w:val="Strong"/>
                <w:rFonts w:ascii="Google Sans Text;sans-serif" w:hAnsi="Google Sans Text;sans-serif"/>
              </w:rPr>
              <w:t>Biomarker Category</w:t>
            </w:r>
          </w:p>
        </w:tc>
        <w:tc>
          <w:tcPr>
            <w:tcW w:w="2746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  <w:vAlign w:val="center"/>
          </w:tcPr>
          <w:p>
            <w:pPr>
              <w:pStyle w:val="TableContents"/>
              <w:bidi w:val="0"/>
              <w:spacing w:lineRule="auto" w:line="274" w:before="0" w:after="0"/>
              <w:ind w:hanging="0" w:start="0" w:end="0"/>
              <w:jc w:val="start"/>
              <w:rPr/>
            </w:pPr>
            <w:r>
              <w:rPr>
                <w:rStyle w:val="Strong"/>
                <w:rFonts w:ascii="Google Sans Text;sans-serif" w:hAnsi="Google Sans Text;sans-serif"/>
              </w:rPr>
              <w:t>Specific Marker(s)</w:t>
            </w:r>
          </w:p>
        </w:tc>
        <w:tc>
          <w:tcPr>
            <w:tcW w:w="1772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  <w:vAlign w:val="center"/>
          </w:tcPr>
          <w:p>
            <w:pPr>
              <w:pStyle w:val="TableContents"/>
              <w:bidi w:val="0"/>
              <w:spacing w:lineRule="auto" w:line="274" w:before="0" w:after="0"/>
              <w:ind w:hanging="0" w:start="0" w:end="0"/>
              <w:jc w:val="start"/>
              <w:rPr/>
            </w:pPr>
            <w:r>
              <w:rPr>
                <w:rStyle w:val="Strong"/>
                <w:rFonts w:ascii="Google Sans Text;sans-serif" w:hAnsi="Google Sans Text;sans-serif"/>
              </w:rPr>
              <w:t>Observed Trend in PAS</w:t>
            </w:r>
          </w:p>
        </w:tc>
        <w:tc>
          <w:tcPr>
            <w:tcW w:w="3592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  <w:vAlign w:val="center"/>
          </w:tcPr>
          <w:p>
            <w:pPr>
              <w:pStyle w:val="TableContents"/>
              <w:bidi w:val="0"/>
              <w:spacing w:lineRule="auto" w:line="274" w:before="0" w:after="0"/>
              <w:ind w:hanging="0" w:start="0" w:end="0"/>
              <w:jc w:val="start"/>
              <w:rPr/>
            </w:pPr>
            <w:r>
              <w:rPr>
                <w:rStyle w:val="Strong"/>
                <w:rFonts w:ascii="Google Sans Text;sans-serif" w:hAnsi="Google Sans Text;sans-serif"/>
              </w:rPr>
              <w:t>Biological/Clinical Significance</w:t>
            </w:r>
          </w:p>
        </w:tc>
      </w:tr>
      <w:tr>
        <w:trPr/>
        <w:tc>
          <w:tcPr>
            <w:tcW w:w="1862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  <w:vAlign w:val="center"/>
          </w:tcPr>
          <w:p>
            <w:pPr>
              <w:pStyle w:val="TableContents"/>
              <w:bidi w:val="0"/>
              <w:spacing w:lineRule="auto" w:line="274" w:before="0" w:after="140"/>
              <w:ind w:hanging="0" w:start="0" w:end="0"/>
              <w:jc w:val="start"/>
              <w:rPr>
                <w:rFonts w:ascii="Google Sans Text;sans-serif" w:hAnsi="Google Sans Text;sans-serif"/>
                <w:b/>
              </w:rPr>
            </w:pPr>
            <w:r>
              <w:rPr>
                <w:rFonts w:ascii="Google Sans Text;sans-serif" w:hAnsi="Google Sans Text;sans-serif"/>
                <w:b/>
              </w:rPr>
              <w:t>Placental Glycoproteins</w:t>
            </w:r>
          </w:p>
        </w:tc>
        <w:tc>
          <w:tcPr>
            <w:tcW w:w="2746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  <w:vAlign w:val="center"/>
          </w:tcPr>
          <w:p>
            <w:pPr>
              <w:pStyle w:val="TableContents"/>
              <w:bidi w:val="0"/>
              <w:spacing w:lineRule="auto" w:line="274" w:before="0" w:after="140"/>
              <w:ind w:hanging="0" w:start="0" w:end="0"/>
              <w:jc w:val="start"/>
              <w:rPr>
                <w:rFonts w:ascii="Google Sans Text;sans-serif" w:hAnsi="Google Sans Text;sans-serif"/>
              </w:rPr>
            </w:pPr>
            <w:r>
              <w:rPr>
                <w:rFonts w:ascii="Google Sans Text;sans-serif" w:hAnsi="Google Sans Text;sans-serif"/>
              </w:rPr>
              <w:t>Maternal Serum Alpha-Fetoprotein (MS-AFP)</w:t>
            </w:r>
          </w:p>
        </w:tc>
        <w:tc>
          <w:tcPr>
            <w:tcW w:w="1772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  <w:vAlign w:val="center"/>
          </w:tcPr>
          <w:p>
            <w:pPr>
              <w:pStyle w:val="TableContents"/>
              <w:bidi w:val="0"/>
              <w:spacing w:lineRule="auto" w:line="274" w:before="0" w:after="140"/>
              <w:ind w:hanging="0" w:start="0" w:end="0"/>
              <w:jc w:val="start"/>
              <w:rPr>
                <w:rFonts w:ascii="Google Sans Text;sans-serif" w:hAnsi="Google Sans Text;sans-serif"/>
              </w:rPr>
            </w:pPr>
            <w:r>
              <w:rPr>
                <w:rFonts w:ascii="Google Sans Text;sans-serif" w:hAnsi="Google Sans Text;sans-serif"/>
              </w:rPr>
              <w:t>Elevated (Second Trimester)</w:t>
            </w:r>
          </w:p>
        </w:tc>
        <w:tc>
          <w:tcPr>
            <w:tcW w:w="3592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  <w:vAlign w:val="center"/>
          </w:tcPr>
          <w:p>
            <w:pPr>
              <w:pStyle w:val="TableContents"/>
              <w:bidi w:val="0"/>
              <w:spacing w:lineRule="auto" w:line="274" w:before="0" w:after="140"/>
              <w:ind w:hanging="0" w:start="0" w:end="0"/>
              <w:jc w:val="start"/>
              <w:rPr>
                <w:rFonts w:ascii="Google Sans Text;sans-serif" w:hAnsi="Google Sans Text;sans-serif"/>
              </w:rPr>
            </w:pPr>
            <w:r>
              <w:rPr>
                <w:rFonts w:ascii="Google Sans Text;sans-serif" w:hAnsi="Google Sans Text;sans-serif"/>
              </w:rPr>
              <w:t>Early placental vascular damage facilitates leakage of fetal AFP into maternal circulation (Zhang &amp; Wang, 2022; Lizárraga-Verdugo et al., 2024).</w:t>
            </w:r>
          </w:p>
        </w:tc>
      </w:tr>
      <w:tr>
        <w:trPr/>
        <w:tc>
          <w:tcPr>
            <w:tcW w:w="1862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  <w:vAlign w:val="center"/>
          </w:tcPr>
          <w:p>
            <w:pPr>
              <w:pStyle w:val="TableContents"/>
              <w:bidi w:val="0"/>
              <w:spacing w:lineRule="auto" w:line="274" w:before="0" w:after="140"/>
              <w:ind w:hanging="0" w:start="0" w:end="0"/>
              <w:jc w:val="start"/>
              <w:rPr>
                <w:rFonts w:ascii="Google Sans Text;sans-serif" w:hAnsi="Google Sans Text;sans-serif"/>
                <w:b/>
              </w:rPr>
            </w:pPr>
            <w:r>
              <w:rPr>
                <w:rFonts w:ascii="Google Sans Text;sans-serif" w:hAnsi="Google Sans Text;sans-serif"/>
                <w:b/>
              </w:rPr>
              <w:t>Placental Glycoproteins</w:t>
            </w:r>
          </w:p>
        </w:tc>
        <w:tc>
          <w:tcPr>
            <w:tcW w:w="2746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  <w:vAlign w:val="center"/>
          </w:tcPr>
          <w:p>
            <w:pPr>
              <w:pStyle w:val="TableContents"/>
              <w:bidi w:val="0"/>
              <w:spacing w:lineRule="auto" w:line="274" w:before="0" w:after="140"/>
              <w:ind w:hanging="0" w:start="0" w:end="0"/>
              <w:jc w:val="start"/>
              <w:rPr>
                <w:rFonts w:ascii="Google Sans Text;sans-serif" w:hAnsi="Google Sans Text;sans-serif"/>
              </w:rPr>
            </w:pPr>
            <w:r>
              <w:rPr>
                <w:rFonts w:ascii="Google Sans Text;sans-serif" w:hAnsi="Google Sans Text;sans-serif"/>
              </w:rPr>
              <w:t>Pregnancy-Associated Plasma Protein A (PAPP-A)</w:t>
            </w:r>
          </w:p>
        </w:tc>
        <w:tc>
          <w:tcPr>
            <w:tcW w:w="1772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  <w:vAlign w:val="center"/>
          </w:tcPr>
          <w:p>
            <w:pPr>
              <w:pStyle w:val="TableContents"/>
              <w:bidi w:val="0"/>
              <w:spacing w:lineRule="auto" w:line="274" w:before="0" w:after="140"/>
              <w:ind w:hanging="0" w:start="0" w:end="0"/>
              <w:jc w:val="start"/>
              <w:rPr>
                <w:rFonts w:ascii="Google Sans Text;sans-serif" w:hAnsi="Google Sans Text;sans-serif"/>
              </w:rPr>
            </w:pPr>
            <w:r>
              <w:rPr>
                <w:rFonts w:ascii="Google Sans Text;sans-serif" w:hAnsi="Google Sans Text;sans-serif"/>
              </w:rPr>
              <w:t>Altered / Elevated</w:t>
            </w:r>
          </w:p>
        </w:tc>
        <w:tc>
          <w:tcPr>
            <w:tcW w:w="3592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  <w:vAlign w:val="center"/>
          </w:tcPr>
          <w:p>
            <w:pPr>
              <w:pStyle w:val="TableContents"/>
              <w:bidi w:val="0"/>
              <w:spacing w:lineRule="auto" w:line="274" w:before="0" w:after="140"/>
              <w:ind w:hanging="0" w:start="0" w:end="0"/>
              <w:jc w:val="start"/>
              <w:rPr>
                <w:rFonts w:ascii="Google Sans Text;sans-serif" w:hAnsi="Google Sans Text;sans-serif"/>
              </w:rPr>
            </w:pPr>
            <w:r>
              <w:rPr>
                <w:rFonts w:ascii="Google Sans Text;sans-serif" w:hAnsi="Google Sans Text;sans-serif"/>
              </w:rPr>
              <w:t>Reflects early abnormalities in placental development and function (Guo et al., 2003; Lizárraga-Verdugo et al., 2024).</w:t>
            </w:r>
          </w:p>
        </w:tc>
      </w:tr>
      <w:tr>
        <w:trPr/>
        <w:tc>
          <w:tcPr>
            <w:tcW w:w="1862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  <w:vAlign w:val="center"/>
          </w:tcPr>
          <w:p>
            <w:pPr>
              <w:pStyle w:val="TableContents"/>
              <w:bidi w:val="0"/>
              <w:spacing w:lineRule="auto" w:line="274" w:before="0" w:after="140"/>
              <w:ind w:hanging="0" w:start="0" w:end="0"/>
              <w:jc w:val="start"/>
              <w:rPr>
                <w:rFonts w:ascii="Google Sans Text;sans-serif" w:hAnsi="Google Sans Text;sans-serif"/>
                <w:b/>
              </w:rPr>
            </w:pPr>
            <w:r>
              <w:rPr>
                <w:rFonts w:ascii="Google Sans Text;sans-serif" w:hAnsi="Google Sans Text;sans-serif"/>
                <w:b/>
              </w:rPr>
              <w:t>Vascular / Angiogenic</w:t>
            </w:r>
          </w:p>
        </w:tc>
        <w:tc>
          <w:tcPr>
            <w:tcW w:w="2746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  <w:vAlign w:val="center"/>
          </w:tcPr>
          <w:p>
            <w:pPr>
              <w:pStyle w:val="TableContents"/>
              <w:bidi w:val="0"/>
              <w:spacing w:lineRule="auto" w:line="274" w:before="0" w:after="140"/>
              <w:ind w:hanging="0" w:start="0" w:end="0"/>
              <w:jc w:val="start"/>
              <w:rPr>
                <w:rFonts w:ascii="Google Sans Text;sans-serif" w:hAnsi="Google Sans Text;sans-serif"/>
              </w:rPr>
            </w:pPr>
            <w:r>
              <w:rPr>
                <w:rFonts w:ascii="Google Sans Text;sans-serif" w:hAnsi="Google Sans Text;sans-serif"/>
              </w:rPr>
              <w:t>sTie2, sVEGFR2, PAI-1</w:t>
            </w:r>
          </w:p>
        </w:tc>
        <w:tc>
          <w:tcPr>
            <w:tcW w:w="1772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  <w:vAlign w:val="center"/>
          </w:tcPr>
          <w:p>
            <w:pPr>
              <w:pStyle w:val="TableContents"/>
              <w:bidi w:val="0"/>
              <w:spacing w:lineRule="auto" w:line="274" w:before="0" w:after="140"/>
              <w:ind w:hanging="0" w:start="0" w:end="0"/>
              <w:jc w:val="start"/>
              <w:rPr>
                <w:rFonts w:ascii="Google Sans Text;sans-serif" w:hAnsi="Google Sans Text;sans-serif"/>
              </w:rPr>
            </w:pPr>
            <w:r>
              <w:rPr>
                <w:rFonts w:ascii="Google Sans Text;sans-serif" w:hAnsi="Google Sans Text;sans-serif"/>
              </w:rPr>
              <w:t>Elevated</w:t>
            </w:r>
          </w:p>
        </w:tc>
        <w:tc>
          <w:tcPr>
            <w:tcW w:w="3592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  <w:vAlign w:val="center"/>
          </w:tcPr>
          <w:p>
            <w:pPr>
              <w:pStyle w:val="TableContents"/>
              <w:bidi w:val="0"/>
              <w:spacing w:lineRule="auto" w:line="274" w:before="0" w:after="140"/>
              <w:ind w:hanging="0" w:start="0" w:end="0"/>
              <w:jc w:val="start"/>
              <w:rPr>
                <w:rFonts w:ascii="Google Sans Text;sans-serif" w:hAnsi="Google Sans Text;sans-serif"/>
              </w:rPr>
            </w:pPr>
            <w:r>
              <w:rPr>
                <w:rFonts w:ascii="Google Sans Text;sans-serif" w:hAnsi="Google Sans Text;sans-serif"/>
              </w:rPr>
              <w:t>Overexpressed by invading EVTs to stimulate localized neo-vascularization (Guo et al., 2003).</w:t>
            </w:r>
          </w:p>
        </w:tc>
      </w:tr>
      <w:tr>
        <w:trPr/>
        <w:tc>
          <w:tcPr>
            <w:tcW w:w="1862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  <w:vAlign w:val="center"/>
          </w:tcPr>
          <w:p>
            <w:pPr>
              <w:pStyle w:val="TableContents"/>
              <w:bidi w:val="0"/>
              <w:spacing w:lineRule="auto" w:line="274" w:before="0" w:after="140"/>
              <w:ind w:hanging="0" w:start="0" w:end="0"/>
              <w:jc w:val="start"/>
              <w:rPr>
                <w:rFonts w:ascii="Google Sans Text;sans-serif" w:hAnsi="Google Sans Text;sans-serif"/>
                <w:b/>
              </w:rPr>
            </w:pPr>
            <w:r>
              <w:rPr>
                <w:rFonts w:ascii="Google Sans Text;sans-serif" w:hAnsi="Google Sans Text;sans-serif"/>
                <w:b/>
              </w:rPr>
              <w:t>Vascular / Angiogenic</w:t>
            </w:r>
          </w:p>
        </w:tc>
        <w:tc>
          <w:tcPr>
            <w:tcW w:w="2746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  <w:vAlign w:val="center"/>
          </w:tcPr>
          <w:p>
            <w:pPr>
              <w:pStyle w:val="TableContents"/>
              <w:bidi w:val="0"/>
              <w:spacing w:lineRule="auto" w:line="274" w:before="0" w:after="140"/>
              <w:ind w:hanging="0" w:start="0" w:end="0"/>
              <w:jc w:val="start"/>
              <w:rPr>
                <w:rFonts w:ascii="Google Sans Text;sans-serif" w:hAnsi="Google Sans Text;sans-serif"/>
              </w:rPr>
            </w:pPr>
            <w:r>
              <w:rPr>
                <w:rFonts w:ascii="Google Sans Text;sans-serif" w:hAnsi="Google Sans Text;sans-serif"/>
              </w:rPr>
              <w:t>sFlt-1, PLGF, VEGF</w:t>
            </w:r>
          </w:p>
        </w:tc>
        <w:tc>
          <w:tcPr>
            <w:tcW w:w="1772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  <w:vAlign w:val="center"/>
          </w:tcPr>
          <w:p>
            <w:pPr>
              <w:pStyle w:val="TableContents"/>
              <w:bidi w:val="0"/>
              <w:spacing w:lineRule="auto" w:line="274" w:before="0" w:after="140"/>
              <w:ind w:hanging="0" w:start="0" w:end="0"/>
              <w:jc w:val="start"/>
              <w:rPr>
                <w:rFonts w:ascii="Google Sans Text;sans-serif" w:hAnsi="Google Sans Text;sans-serif"/>
              </w:rPr>
            </w:pPr>
            <w:r>
              <w:rPr>
                <w:rFonts w:ascii="Google Sans Text;sans-serif" w:hAnsi="Google Sans Text;sans-serif"/>
              </w:rPr>
              <w:t>Decreased / Dysregulated</w:t>
            </w:r>
          </w:p>
        </w:tc>
        <w:tc>
          <w:tcPr>
            <w:tcW w:w="3592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  <w:vAlign w:val="center"/>
          </w:tcPr>
          <w:p>
            <w:pPr>
              <w:pStyle w:val="TableContents"/>
              <w:bidi w:val="0"/>
              <w:spacing w:lineRule="auto" w:line="274" w:before="0" w:after="140"/>
              <w:ind w:hanging="0" w:start="0" w:end="0"/>
              <w:jc w:val="start"/>
              <w:rPr>
                <w:rFonts w:ascii="Google Sans Text;sans-serif" w:hAnsi="Google Sans Text;sans-serif"/>
              </w:rPr>
            </w:pPr>
            <w:r>
              <w:rPr>
                <w:rFonts w:ascii="Google Sans Text;sans-serif" w:hAnsi="Google Sans Text;sans-serif"/>
              </w:rPr>
              <w:t>Shift toward pro-angiogenic environment favoring deeper uterine penetration (Guo et al., 2003; Lizárraga-Verdugo et al., 2024).</w:t>
            </w:r>
          </w:p>
        </w:tc>
      </w:tr>
      <w:tr>
        <w:trPr/>
        <w:tc>
          <w:tcPr>
            <w:tcW w:w="1862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  <w:vAlign w:val="center"/>
          </w:tcPr>
          <w:p>
            <w:pPr>
              <w:pStyle w:val="TableContents"/>
              <w:bidi w:val="0"/>
              <w:spacing w:lineRule="auto" w:line="274" w:before="0" w:after="140"/>
              <w:ind w:hanging="0" w:start="0" w:end="0"/>
              <w:jc w:val="start"/>
              <w:rPr>
                <w:rFonts w:ascii="Google Sans Text;sans-serif" w:hAnsi="Google Sans Text;sans-serif"/>
                <w:b/>
              </w:rPr>
            </w:pPr>
            <w:r>
              <w:rPr>
                <w:rFonts w:ascii="Google Sans Text;sans-serif" w:hAnsi="Google Sans Text;sans-serif"/>
                <w:b/>
              </w:rPr>
              <w:t>Exosomal microRNAs</w:t>
            </w:r>
          </w:p>
        </w:tc>
        <w:tc>
          <w:tcPr>
            <w:tcW w:w="2746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  <w:vAlign w:val="center"/>
          </w:tcPr>
          <w:p>
            <w:pPr>
              <w:pStyle w:val="TableContents"/>
              <w:bidi w:val="0"/>
              <w:spacing w:lineRule="auto" w:line="274" w:before="0" w:after="140"/>
              <w:ind w:hanging="0" w:start="0" w:end="0"/>
              <w:jc w:val="start"/>
              <w:rPr>
                <w:rFonts w:ascii="Google Sans Text;sans-serif" w:hAnsi="Google Sans Text;sans-serif"/>
              </w:rPr>
            </w:pPr>
            <w:r>
              <w:rPr>
                <w:rFonts w:ascii="Google Sans Text;sans-serif" w:hAnsi="Google Sans Text;sans-serif"/>
              </w:rPr>
              <w:t>miR-92, miR-103, miR-192</w:t>
            </w:r>
          </w:p>
        </w:tc>
        <w:tc>
          <w:tcPr>
            <w:tcW w:w="1772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  <w:vAlign w:val="center"/>
          </w:tcPr>
          <w:p>
            <w:pPr>
              <w:pStyle w:val="TableContents"/>
              <w:bidi w:val="0"/>
              <w:spacing w:lineRule="auto" w:line="274" w:before="0" w:after="140"/>
              <w:ind w:hanging="0" w:start="0" w:end="0"/>
              <w:jc w:val="start"/>
              <w:rPr>
                <w:rFonts w:ascii="Google Sans Text;sans-serif" w:hAnsi="Google Sans Text;sans-serif"/>
              </w:rPr>
            </w:pPr>
            <w:r>
              <w:rPr>
                <w:rFonts w:ascii="Google Sans Text;sans-serif" w:hAnsi="Google Sans Text;sans-serif"/>
              </w:rPr>
              <w:t>Elevated in Exosomes</w:t>
            </w:r>
          </w:p>
        </w:tc>
        <w:tc>
          <w:tcPr>
            <w:tcW w:w="3592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  <w:vAlign w:val="center"/>
          </w:tcPr>
          <w:p>
            <w:pPr>
              <w:pStyle w:val="TableContents"/>
              <w:bidi w:val="0"/>
              <w:spacing w:lineRule="auto" w:line="274" w:before="0" w:after="140"/>
              <w:ind w:hanging="0" w:start="0" w:end="0"/>
              <w:jc w:val="start"/>
              <w:rPr>
                <w:rFonts w:ascii="Google Sans Text;sans-serif" w:hAnsi="Google Sans Text;sans-serif"/>
              </w:rPr>
            </w:pPr>
            <w:r>
              <w:rPr>
                <w:rFonts w:ascii="Google Sans Text;sans-serif" w:hAnsi="Google Sans Text;sans-serif"/>
              </w:rPr>
              <w:t>Circulating plasma exosome concentration is up to tenfold higher in PAS; these miRNAs reflect underlying invasive signaling pathways (Munoz et al., 2024).</w:t>
            </w:r>
          </w:p>
        </w:tc>
      </w:tr>
      <w:tr>
        <w:trPr/>
        <w:tc>
          <w:tcPr>
            <w:tcW w:w="1862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  <w:vAlign w:val="center"/>
          </w:tcPr>
          <w:p>
            <w:pPr>
              <w:pStyle w:val="TableContents"/>
              <w:bidi w:val="0"/>
              <w:spacing w:lineRule="auto" w:line="274" w:before="0" w:after="140"/>
              <w:ind w:hanging="0" w:start="0" w:end="0"/>
              <w:jc w:val="start"/>
              <w:rPr>
                <w:rFonts w:ascii="Google Sans Text;sans-serif" w:hAnsi="Google Sans Text;sans-serif"/>
                <w:b/>
              </w:rPr>
            </w:pPr>
            <w:r>
              <w:rPr>
                <w:rFonts w:ascii="Google Sans Text;sans-serif" w:hAnsi="Google Sans Text;sans-serif"/>
                <w:b/>
              </w:rPr>
              <w:t>Coagulation / Inflammation</w:t>
            </w:r>
          </w:p>
        </w:tc>
        <w:tc>
          <w:tcPr>
            <w:tcW w:w="2746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  <w:vAlign w:val="center"/>
          </w:tcPr>
          <w:p>
            <w:pPr>
              <w:pStyle w:val="TableContents"/>
              <w:bidi w:val="0"/>
              <w:spacing w:lineRule="auto" w:line="274" w:before="0" w:after="140"/>
              <w:ind w:hanging="0" w:start="0" w:end="0"/>
              <w:jc w:val="start"/>
              <w:rPr>
                <w:rFonts w:ascii="Google Sans Text;sans-serif" w:hAnsi="Google Sans Text;sans-serif"/>
              </w:rPr>
            </w:pPr>
            <w:r>
              <w:rPr>
                <w:rFonts w:ascii="Google Sans Text;sans-serif" w:hAnsi="Google Sans Text;sans-serif"/>
              </w:rPr>
              <w:t>Antithrombin III</w:t>
            </w:r>
          </w:p>
        </w:tc>
        <w:tc>
          <w:tcPr>
            <w:tcW w:w="1772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  <w:vAlign w:val="center"/>
          </w:tcPr>
          <w:p>
            <w:pPr>
              <w:pStyle w:val="TableContents"/>
              <w:bidi w:val="0"/>
              <w:spacing w:lineRule="auto" w:line="274" w:before="0" w:after="140"/>
              <w:ind w:hanging="0" w:start="0" w:end="0"/>
              <w:jc w:val="start"/>
              <w:rPr>
                <w:rFonts w:ascii="Google Sans Text;sans-serif" w:hAnsi="Google Sans Text;sans-serif"/>
              </w:rPr>
            </w:pPr>
            <w:r>
              <w:rPr>
                <w:rFonts w:ascii="Google Sans Text;sans-serif" w:hAnsi="Google Sans Text;sans-serif"/>
              </w:rPr>
              <w:t>Elevated</w:t>
            </w:r>
          </w:p>
        </w:tc>
        <w:tc>
          <w:tcPr>
            <w:tcW w:w="3592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  <w:vAlign w:val="center"/>
          </w:tcPr>
          <w:p>
            <w:pPr>
              <w:pStyle w:val="TableContents"/>
              <w:bidi w:val="0"/>
              <w:spacing w:lineRule="auto" w:line="274" w:before="0" w:after="140"/>
              <w:ind w:hanging="0" w:start="0" w:end="0"/>
              <w:jc w:val="start"/>
              <w:rPr>
                <w:rFonts w:ascii="Google Sans Text;sans-serif" w:hAnsi="Google Sans Text;sans-serif"/>
              </w:rPr>
            </w:pPr>
            <w:r>
              <w:rPr>
                <w:rFonts w:ascii="Google Sans Text;sans-serif" w:hAnsi="Google Sans Text;sans-serif"/>
              </w:rPr>
              <w:t>Induced by the inflammatory state associated with severe invasive placentation (Guo et al., 2003).</w:t>
            </w:r>
          </w:p>
        </w:tc>
      </w:tr>
      <w:tr>
        <w:trPr/>
        <w:tc>
          <w:tcPr>
            <w:tcW w:w="1862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  <w:vAlign w:val="center"/>
          </w:tcPr>
          <w:p>
            <w:pPr>
              <w:pStyle w:val="TableContents"/>
              <w:bidi w:val="0"/>
              <w:spacing w:lineRule="auto" w:line="274" w:before="0" w:after="140"/>
              <w:ind w:hanging="0" w:start="0" w:end="0"/>
              <w:jc w:val="start"/>
              <w:rPr>
                <w:rFonts w:ascii="Google Sans Text;sans-serif" w:hAnsi="Google Sans Text;sans-serif"/>
                <w:b/>
              </w:rPr>
            </w:pPr>
            <w:r>
              <w:rPr>
                <w:rFonts w:ascii="Google Sans Text;sans-serif" w:hAnsi="Google Sans Text;sans-serif"/>
                <w:b/>
              </w:rPr>
              <w:t>Inflammatory Ratios</w:t>
            </w:r>
          </w:p>
        </w:tc>
        <w:tc>
          <w:tcPr>
            <w:tcW w:w="2746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  <w:vAlign w:val="center"/>
          </w:tcPr>
          <w:p>
            <w:pPr>
              <w:pStyle w:val="TableContents"/>
              <w:bidi w:val="0"/>
              <w:spacing w:lineRule="auto" w:line="274" w:before="0" w:after="140"/>
              <w:ind w:hanging="0" w:start="0" w:end="0"/>
              <w:jc w:val="start"/>
              <w:rPr>
                <w:rFonts w:ascii="Google Sans Text;sans-serif" w:hAnsi="Google Sans Text;sans-serif"/>
              </w:rPr>
            </w:pPr>
            <w:r>
              <w:rPr>
                <w:rFonts w:ascii="Google Sans Text;sans-serif" w:hAnsi="Google Sans Text;sans-serif"/>
              </w:rPr>
              <w:t>SIRI, DNI, NLR, PLR</w:t>
            </w:r>
          </w:p>
        </w:tc>
        <w:tc>
          <w:tcPr>
            <w:tcW w:w="1772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  <w:vAlign w:val="center"/>
          </w:tcPr>
          <w:p>
            <w:pPr>
              <w:pStyle w:val="TableContents"/>
              <w:bidi w:val="0"/>
              <w:spacing w:lineRule="auto" w:line="274" w:before="0" w:after="140"/>
              <w:ind w:hanging="0" w:start="0" w:end="0"/>
              <w:jc w:val="start"/>
              <w:rPr>
                <w:rFonts w:ascii="Google Sans Text;sans-serif" w:hAnsi="Google Sans Text;sans-serif"/>
              </w:rPr>
            </w:pPr>
            <w:r>
              <w:rPr>
                <w:rFonts w:ascii="Google Sans Text;sans-serif" w:hAnsi="Google Sans Text;sans-serif"/>
              </w:rPr>
              <w:t>Elevated</w:t>
            </w:r>
          </w:p>
        </w:tc>
        <w:tc>
          <w:tcPr>
            <w:tcW w:w="3592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  <w:vAlign w:val="center"/>
          </w:tcPr>
          <w:p>
            <w:pPr>
              <w:pStyle w:val="TableContents"/>
              <w:bidi w:val="0"/>
              <w:spacing w:lineRule="auto" w:line="274" w:before="0" w:after="140"/>
              <w:ind w:hanging="0" w:start="0" w:end="0"/>
              <w:jc w:val="start"/>
              <w:rPr>
                <w:rFonts w:ascii="Google Sans Text;sans-serif" w:hAnsi="Google Sans Text;sans-serif"/>
              </w:rPr>
            </w:pPr>
            <w:r>
              <w:rPr>
                <w:rFonts w:ascii="Google Sans Text;sans-serif" w:hAnsi="Google Sans Text;sans-serif"/>
              </w:rPr>
              <w:t>Reflects systemic immune-inflammatory activation; useful in differentiating PAS from Placenta Previa (PP).</w:t>
            </w:r>
          </w:p>
        </w:tc>
      </w:tr>
    </w:tbl>
    <w:p>
      <w:pPr>
        <w:pStyle w:val="BlockQuotation"/>
        <w:bidi w:val="0"/>
        <w:spacing w:lineRule="auto" w:line="274" w:before="0" w:after="283"/>
        <w:ind w:hanging="0" w:start="567" w:end="567"/>
        <w:jc w:val="start"/>
        <w:rPr>
          <w:rFonts w:ascii="Google Sans Text;sans-serif" w:hAnsi="Google Sans Text;sans-serif"/>
        </w:rPr>
      </w:pPr>
      <w:r>
        <w:rPr>
          <w:rFonts w:ascii="Google Sans Text;sans-serif" w:hAnsi="Google Sans Text;sans-serif"/>
          <w:b/>
        </w:rPr>
        <w:t>Key Diagnostic Note:</w:t>
      </w:r>
      <w:r>
        <w:rPr>
          <w:rFonts w:ascii="Google Sans Text;sans-serif" w:hAnsi="Google Sans Text;sans-serif"/>
        </w:rPr>
        <w:t xml:space="preserve"> While individual classical markers (e.g., MS-AFP or β-hCG alone) have variable sensitivity and specificity (Zhang &amp; Wang, 2022), combining vascular endothelial factors (like VEGF) and circulating cytotrophoblasts (cTBs) with ultrasound imaging achieves significantly higher diagnostic accuracy (Guo et al., 2003).</w:t>
      </w:r>
    </w:p>
    <w:p>
      <w:pPr>
        <w:pStyle w:val="Heading2"/>
        <w:bidi w:val="0"/>
        <w:spacing w:lineRule="auto" w:line="274" w:before="0" w:after="140"/>
        <w:ind w:hanging="0" w:start="0" w:end="0"/>
        <w:jc w:val="start"/>
        <w:rPr>
          <w:rFonts w:ascii="Google Sans;sans-serif" w:hAnsi="Google Sans;sans-serif"/>
        </w:rPr>
      </w:pPr>
      <w:r>
        <w:rPr>
          <w:rFonts w:ascii="Google Sans;sans-serif" w:hAnsi="Google Sans;sans-serif"/>
        </w:rPr>
        <w:t>4. Diagnostic Performance and Clinical Considerations</w:t>
      </w:r>
    </w:p>
    <w:p>
      <w:pPr>
        <w:pStyle w:val="BodyText"/>
        <w:numPr>
          <w:ilvl w:val="0"/>
          <w:numId w:val="5"/>
        </w:numPr>
        <w:pBdr/>
        <w:tabs>
          <w:tab w:val="clear" w:pos="709"/>
          <w:tab w:val="left" w:pos="709" w:leader="none"/>
        </w:tabs>
        <w:bidi w:val="0"/>
        <w:spacing w:lineRule="auto" w:line="274" w:before="0" w:after="140"/>
        <w:ind w:hanging="283" w:start="709" w:end="0"/>
        <w:jc w:val="start"/>
        <w:rPr>
          <w:rFonts w:ascii="Google Sans Text;sans-serif" w:hAnsi="Google Sans Text;sans-serif"/>
        </w:rPr>
      </w:pPr>
      <w:r>
        <w:rPr>
          <w:rFonts w:ascii="Google Sans Text;sans-serif" w:hAnsi="Google Sans Text;sans-serif"/>
          <w:b/>
        </w:rPr>
        <w:t>Second-Trimester MS-AFP:</w:t>
      </w:r>
      <w:r>
        <w:rPr>
          <w:rFonts w:ascii="Google Sans Text;sans-serif" w:hAnsi="Google Sans Text;sans-serif"/>
        </w:rPr>
        <w:t xml:space="preserve"> Elevated MS-AFP (&gt; 0.99 to 1.25 MoM) serves as an independent predictor of PAS, particularly among patients with placenta previa requiring hysterectomy (Zhang &amp; Wang, 2022).</w:t>
      </w:r>
    </w:p>
    <w:p>
      <w:pPr>
        <w:pStyle w:val="BodyText"/>
        <w:numPr>
          <w:ilvl w:val="0"/>
          <w:numId w:val="5"/>
        </w:numPr>
        <w:pBdr/>
        <w:tabs>
          <w:tab w:val="clear" w:pos="709"/>
          <w:tab w:val="left" w:pos="709" w:leader="none"/>
        </w:tabs>
        <w:bidi w:val="0"/>
        <w:spacing w:lineRule="auto" w:line="274" w:before="0" w:after="140"/>
        <w:ind w:hanging="283" w:start="709" w:end="0"/>
        <w:jc w:val="start"/>
        <w:rPr>
          <w:rFonts w:ascii="Google Sans Text;sans-serif" w:hAnsi="Google Sans Text;sans-serif"/>
        </w:rPr>
      </w:pPr>
      <w:r>
        <w:rPr>
          <w:rFonts w:ascii="Google Sans Text;sans-serif" w:hAnsi="Google Sans Text;sans-serif"/>
          <w:b/>
        </w:rPr>
        <w:t>Exosomal MicroRNA Profiling:</w:t>
      </w:r>
      <w:r>
        <w:rPr>
          <w:rFonts w:ascii="Google Sans Text;sans-serif" w:hAnsi="Google Sans Text;sans-serif"/>
        </w:rPr>
        <w:t xml:space="preserve"> Plasma exosomes isolated in suspected PAS cases show significantly higher particle concentrations (e.g., 20 particles/frame in PAS vs. 2 in controls), harboring altered expression of </w:t>
      </w:r>
      <w:r>
        <w:rPr>
          <w:rFonts w:ascii="Google Sans Text;sans-serif" w:hAnsi="Google Sans Text;sans-serif"/>
          <w:b/>
        </w:rPr>
        <w:t>miR-92, miR-103, and miR-192</w:t>
      </w:r>
      <w:r>
        <w:rPr>
          <w:rFonts w:ascii="Google Sans Text;sans-serif" w:hAnsi="Google Sans Text;sans-serif"/>
        </w:rPr>
        <w:t xml:space="preserve"> (Munoz et al., 2024).</w:t>
      </w:r>
    </w:p>
    <w:p>
      <w:pPr>
        <w:pStyle w:val="BodyText"/>
        <w:numPr>
          <w:ilvl w:val="0"/>
          <w:numId w:val="5"/>
        </w:numPr>
        <w:pBdr/>
        <w:tabs>
          <w:tab w:val="clear" w:pos="709"/>
          <w:tab w:val="left" w:pos="709" w:leader="none"/>
        </w:tabs>
        <w:bidi w:val="0"/>
        <w:spacing w:lineRule="auto" w:line="274" w:before="0" w:after="140"/>
        <w:ind w:hanging="283" w:start="709" w:end="0"/>
        <w:jc w:val="start"/>
        <w:rPr>
          <w:rFonts w:ascii="Google Sans Text;sans-serif" w:hAnsi="Google Sans Text;sans-serif"/>
        </w:rPr>
      </w:pPr>
      <w:r>
        <w:rPr>
          <w:rFonts w:ascii="Google Sans Text;sans-serif" w:hAnsi="Google Sans Text;sans-serif"/>
          <w:b/>
        </w:rPr>
        <w:t>Multimodal Integration:</w:t>
      </w:r>
      <w:r>
        <w:rPr>
          <w:rFonts w:ascii="Google Sans Text;sans-serif" w:hAnsi="Google Sans Text;sans-serif"/>
        </w:rPr>
        <w:t xml:space="preserve"> No single maternal biomarker currently serves as a standalone diagnostic tool. The most promising clinical strategy integrates multi-marker panels (angiogenic profiling + exosomal/cfRNA markers) alongside standardized 2D/3D color Doppler ultrasonography (Guo et al., 2003; Lizárraga-Verdugo et al., 2024).</w:t>
      </w:r>
    </w:p>
    <w:p>
      <w:pPr>
        <w:pStyle w:val="Heading2"/>
        <w:bidi w:val="0"/>
        <w:spacing w:lineRule="auto" w:line="274" w:before="0" w:after="140"/>
        <w:ind w:hanging="0" w:start="0" w:end="0"/>
        <w:jc w:val="start"/>
        <w:rPr>
          <w:rFonts w:ascii="Google Sans;sans-serif" w:hAnsi="Google Sans;sans-serif"/>
        </w:rPr>
      </w:pPr>
      <w:r>
        <w:rPr>
          <w:rFonts w:ascii="Google Sans;sans-serif" w:hAnsi="Google Sans;sans-serif"/>
        </w:rPr>
        <w:t>References</w:t>
      </w:r>
    </w:p>
    <w:p>
      <w:pPr>
        <w:pStyle w:val="BodyText"/>
        <w:bidi w:val="0"/>
        <w:spacing w:lineRule="auto" w:line="274" w:before="0" w:after="140"/>
        <w:ind w:hanging="0" w:start="0" w:end="0"/>
        <w:jc w:val="start"/>
        <w:rPr/>
      </w:pPr>
      <w:r>
        <w:rPr>
          <w:rFonts w:ascii="Google Sans Text;sans-serif" w:hAnsi="Google Sans Text;sans-serif"/>
        </w:rPr>
        <w:t xml:space="preserve">Guo, Z., Yang, H., &amp; Ma, J. (2003). Maternal circulating biomarkers associated with placenta accreta spectrum disorders. </w:t>
      </w:r>
      <w:r>
        <w:rPr>
          <w:rFonts w:ascii="Google Sans Text;sans-serif" w:hAnsi="Google Sans Text;sans-serif"/>
          <w:i/>
        </w:rPr>
        <w:t>Chinese Medical Journal</w:t>
      </w:r>
      <w:r>
        <w:rPr>
          <w:rFonts w:ascii="Google Sans Text;sans-serif" w:hAnsi="Google Sans Text;sans-serif"/>
        </w:rPr>
        <w:t xml:space="preserve">, </w:t>
      </w:r>
      <w:r>
        <w:rPr>
          <w:rFonts w:ascii="Google Sans Text;sans-serif" w:hAnsi="Google Sans Text;sans-serif"/>
          <w:i/>
        </w:rPr>
        <w:t>136</w:t>
      </w:r>
      <w:r>
        <w:rPr>
          <w:rFonts w:ascii="Google Sans Text;sans-serif" w:hAnsi="Google Sans Text;sans-serif"/>
        </w:rPr>
        <w:t xml:space="preserve">(8), 995–997. </w:t>
      </w:r>
      <w:hyperlink r:id="rId2" w:tgtFrame="_blank">
        <w:r>
          <w:rPr>
            <w:rStyle w:val="Hyperlink"/>
            <w:rFonts w:ascii="Google Sans Text;sans-serif" w:hAnsi="Google Sans Text;sans-serif"/>
          </w:rPr>
          <w:t>https://doi.org/10.1097/cm9.0000000000002241</w:t>
        </w:r>
      </w:hyperlink>
    </w:p>
    <w:p>
      <w:pPr>
        <w:pStyle w:val="BodyText"/>
        <w:bidi w:val="0"/>
        <w:spacing w:lineRule="auto" w:line="274" w:before="0" w:after="140"/>
        <w:ind w:hanging="0" w:start="0" w:end="0"/>
        <w:jc w:val="start"/>
        <w:rPr>
          <w:rFonts w:ascii="Google Sans Text;sans-serif" w:hAnsi="Google Sans Text;sans-serif"/>
        </w:rPr>
      </w:pPr>
      <w:r>
        <w:rPr>
          <w:rFonts w:ascii="Google Sans Text;sans-serif" w:hAnsi="Google Sans Text;sans-serif"/>
        </w:rPr>
        <w:t>Cited by: 9</w:t>
      </w:r>
    </w:p>
    <w:p>
      <w:pPr>
        <w:pStyle w:val="BodyText"/>
        <w:bidi w:val="0"/>
        <w:spacing w:lineRule="auto" w:line="274" w:before="0" w:after="140"/>
        <w:ind w:hanging="0" w:start="0" w:end="0"/>
        <w:jc w:val="start"/>
        <w:rPr/>
      </w:pPr>
      <w:r>
        <w:rPr>
          <w:rFonts w:ascii="Google Sans Text;sans-serif" w:hAnsi="Google Sans Text;sans-serif"/>
        </w:rPr>
        <w:t xml:space="preserve">Lizárraga-Verdugo, E., Beltrán-Ontiveros, S. A., Gutiérrez-Grijalva, E. P., Montoya-Moreno, M., Gutiérrez-Arzapalo, P. Y., Avendaño-Félix, M., Gutiérrez-Castro, K. P., Cuén-Lazcano, D. E., González-Quintero, P., &amp; Mora-Palazuelos, C. E. (2024). The Underlying Molecular Mechanisms of the Placenta Accreta Spectrum: A Narrative Review. </w:t>
      </w:r>
      <w:r>
        <w:rPr>
          <w:rFonts w:ascii="Google Sans Text;sans-serif" w:hAnsi="Google Sans Text;sans-serif"/>
          <w:i/>
        </w:rPr>
        <w:t>International Journal of Molecular Sciences</w:t>
      </w:r>
      <w:r>
        <w:rPr>
          <w:rFonts w:ascii="Google Sans Text;sans-serif" w:hAnsi="Google Sans Text;sans-serif"/>
        </w:rPr>
        <w:t xml:space="preserve">, </w:t>
      </w:r>
      <w:r>
        <w:rPr>
          <w:rFonts w:ascii="Google Sans Text;sans-serif" w:hAnsi="Google Sans Text;sans-serif"/>
          <w:i/>
        </w:rPr>
        <w:t>25</w:t>
      </w:r>
      <w:r>
        <w:rPr>
          <w:rFonts w:ascii="Google Sans Text;sans-serif" w:hAnsi="Google Sans Text;sans-serif"/>
        </w:rPr>
        <w:t xml:space="preserve">(17), 9722. </w:t>
      </w:r>
      <w:hyperlink r:id="rId3" w:tgtFrame="_blank">
        <w:r>
          <w:rPr>
            <w:rStyle w:val="Hyperlink"/>
            <w:rFonts w:ascii="Google Sans Text;sans-serif" w:hAnsi="Google Sans Text;sans-serif"/>
          </w:rPr>
          <w:t>https://doi.org/10.3390/ijms25179722</w:t>
        </w:r>
      </w:hyperlink>
    </w:p>
    <w:p>
      <w:pPr>
        <w:pStyle w:val="BodyText"/>
        <w:bidi w:val="0"/>
        <w:spacing w:lineRule="auto" w:line="274" w:before="0" w:after="140"/>
        <w:ind w:hanging="0" w:start="0" w:end="0"/>
        <w:jc w:val="start"/>
        <w:rPr>
          <w:rFonts w:ascii="Google Sans Text;sans-serif" w:hAnsi="Google Sans Text;sans-serif"/>
        </w:rPr>
      </w:pPr>
      <w:r>
        <w:rPr>
          <w:rFonts w:ascii="Google Sans Text;sans-serif" w:hAnsi="Google Sans Text;sans-serif"/>
        </w:rPr>
        <w:t>Cited by: 23</w:t>
      </w:r>
    </w:p>
    <w:p>
      <w:pPr>
        <w:pStyle w:val="BodyText"/>
        <w:bidi w:val="0"/>
        <w:spacing w:lineRule="auto" w:line="274" w:before="0" w:after="140"/>
        <w:ind w:hanging="0" w:start="0" w:end="0"/>
        <w:jc w:val="start"/>
        <w:rPr/>
      </w:pPr>
      <w:bookmarkStart w:id="0" w:name="p-rc_67598f8a886cc42e-21"/>
      <w:bookmarkEnd w:id="0"/>
      <w:r>
        <w:rPr>
          <w:rFonts w:ascii="Google Sans Text;sans-serif" w:hAnsi="Google Sans Text;sans-serif"/>
        </w:rPr>
        <w:t xml:space="preserve">Munoz, J. L., Einerson, B. D., Silver, R. M., Mulampurath, S., Sherman, L. S., Rameshwar, P., Prewit, E. B., &amp; Ramsey, P. S. (2024). Serum exosomal microRNA pathway activation in placenta accreta spectrum: pathophysiology and detection. </w:t>
      </w:r>
      <w:r>
        <w:rPr>
          <w:rFonts w:ascii="Google Sans Text;sans-serif" w:hAnsi="Google Sans Text;sans-serif"/>
          <w:i/>
        </w:rPr>
        <w:t>AJOG Global Reports</w:t>
      </w:r>
      <w:r>
        <w:rPr>
          <w:rFonts w:ascii="Google Sans Text;sans-serif" w:hAnsi="Google Sans Text;sans-serif"/>
        </w:rPr>
        <w:t xml:space="preserve">, </w:t>
      </w:r>
      <w:r>
        <w:rPr>
          <w:rFonts w:ascii="Google Sans Text;sans-serif" w:hAnsi="Google Sans Text;sans-serif"/>
          <w:i/>
        </w:rPr>
        <w:t>4</w:t>
      </w:r>
      <w:r>
        <w:rPr>
          <w:rFonts w:ascii="Google Sans Text;sans-serif" w:hAnsi="Google Sans Text;sans-serif"/>
        </w:rPr>
        <w:t xml:space="preserve">(2), 100319. </w:t>
      </w:r>
      <w:hyperlink r:id="rId4" w:tgtFrame="_blank">
        <w:r>
          <w:rPr>
            <w:rStyle w:val="Hyperlink"/>
            <w:rFonts w:ascii="Google Sans Text;sans-serif" w:hAnsi="Google Sans Text;sans-serif"/>
          </w:rPr>
          <w:t>https://doi.org/10.1016/j.xagr.2024.100319</w:t>
        </w:r>
      </w:hyperlink>
    </w:p>
    <w:p>
      <w:pPr>
        <w:pStyle w:val="BodyText"/>
        <w:bidi w:val="0"/>
        <w:spacing w:lineRule="auto" w:line="274" w:before="0" w:after="140"/>
        <w:ind w:hanging="0" w:start="0" w:end="0"/>
        <w:jc w:val="start"/>
        <w:rPr>
          <w:rFonts w:ascii="Google Sans Text;sans-serif" w:hAnsi="Google Sans Text;sans-serif"/>
        </w:rPr>
      </w:pPr>
      <w:bookmarkStart w:id="1" w:name="p-rc_67598f8a886cc42e-21_Copy_1"/>
      <w:bookmarkEnd w:id="1"/>
      <w:r>
        <w:rPr>
          <w:rFonts w:ascii="Google Sans Text;sans-serif" w:hAnsi="Google Sans Text;sans-serif"/>
        </w:rPr>
        <w:t xml:space="preserve">Cited by: 13 </w:t>
      </w:r>
    </w:p>
    <w:p>
      <w:pPr>
        <w:pStyle w:val="BodyText"/>
        <w:bidi w:val="0"/>
        <w:spacing w:lineRule="auto" w:line="274" w:before="0" w:after="140"/>
        <w:ind w:hanging="0" w:start="0" w:end="0"/>
        <w:jc w:val="start"/>
        <w:rPr/>
      </w:pPr>
      <w:bookmarkStart w:id="2" w:name="p-rc_67598f8a886cc42e-22"/>
      <w:bookmarkEnd w:id="2"/>
      <w:r>
        <w:rPr>
          <w:rFonts w:ascii="Google Sans Text;sans-serif" w:hAnsi="Google Sans Text;sans-serif"/>
        </w:rPr>
        <w:t xml:space="preserve">Zhang, T., &amp; Wang, S. (2022). Potential Serum Biomarkers in Prenatal Diagnosis of Placenta Accreta Spectrum. </w:t>
      </w:r>
      <w:r>
        <w:rPr>
          <w:rFonts w:ascii="Google Sans Text;sans-serif" w:hAnsi="Google Sans Text;sans-serif"/>
          <w:i/>
        </w:rPr>
        <w:t>Frontiers in Medicine</w:t>
      </w:r>
      <w:r>
        <w:rPr>
          <w:rFonts w:ascii="Google Sans Text;sans-serif" w:hAnsi="Google Sans Text;sans-serif"/>
        </w:rPr>
        <w:t xml:space="preserve">, </w:t>
      </w:r>
      <w:r>
        <w:rPr>
          <w:rFonts w:ascii="Google Sans Text;sans-serif" w:hAnsi="Google Sans Text;sans-serif"/>
          <w:i/>
        </w:rPr>
        <w:t>9</w:t>
      </w:r>
      <w:r>
        <w:rPr>
          <w:rFonts w:ascii="Google Sans Text;sans-serif" w:hAnsi="Google Sans Text;sans-serif"/>
        </w:rPr>
        <w:t xml:space="preserve">. </w:t>
      </w:r>
      <w:hyperlink r:id="rId5" w:tgtFrame="_blank">
        <w:r>
          <w:rPr>
            <w:rStyle w:val="Hyperlink"/>
            <w:rFonts w:ascii="Google Sans Text;sans-serif" w:hAnsi="Google Sans Text;sans-serif"/>
          </w:rPr>
          <w:t>https://doi.org/10.3389/fmed.2022.860186</w:t>
        </w:r>
      </w:hyperlink>
    </w:p>
    <w:p>
      <w:pPr>
        <w:pStyle w:val="BodyText"/>
        <w:bidi w:val="0"/>
        <w:spacing w:lineRule="auto" w:line="274" w:before="0" w:after="140"/>
        <w:ind w:hanging="0" w:start="0" w:end="0"/>
        <w:jc w:val="start"/>
        <w:rPr>
          <w:rFonts w:ascii="Google Sans Text;sans-serif" w:hAnsi="Google Sans Text;sans-serif"/>
        </w:rPr>
      </w:pPr>
      <w:bookmarkStart w:id="3" w:name="p-rc_67598f8a886cc42e-22_Copy_1"/>
      <w:bookmarkEnd w:id="3"/>
      <w:r>
        <w:rPr>
          <w:rFonts w:ascii="Google Sans Text;sans-serif" w:hAnsi="Google Sans Text;sans-serif"/>
        </w:rPr>
        <w:t xml:space="preserve">Cited by: 39 </w:t>
      </w:r>
    </w:p>
    <w:p>
      <w:pPr>
        <w:pStyle w:val="Normal"/>
        <w:bidi w:val="0"/>
        <w:jc w:val="start"/>
        <w:rPr/>
      </w:pPr>
      <w:r>
        <w:rPr/>
      </w:r>
    </w:p>
    <w:sectPr>
      <w:type w:val="nextPage"/>
      <w:pgSz w:w="12240" w:h="15840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Sans">
    <w:altName w:val="Arial"/>
    <w:charset w:val="00" w:characterSet="windows-1252"/>
    <w:family w:val="swiss"/>
    <w:pitch w:val="variable"/>
  </w:font>
  <w:font w:name="Google Sans">
    <w:altName w:val="sans-serif"/>
    <w:charset w:val="00" w:characterSet="windows-1252"/>
    <w:family w:val="auto"/>
    <w:pitch w:val="default"/>
  </w:font>
  <w:font w:name="Google Sans Text">
    <w:altName w:val="sans-serif"/>
    <w:charset w:val="00" w:characterSet="windows-1252"/>
    <w:family w:val="auto"/>
    <w:pitch w:val="default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4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5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6">
    <w:lvl w:ilvl="0">
      <w:start w:val="1"/>
      <w:numFmt w:val="none"/>
      <w:pStyle w:val="Heading1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pStyle w:val="Heading2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pStyle w:val="Heading3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w="http://schemas.openxmlformats.org/wordprocessingml/2006/main">
  <w:zoom w:percent="110"/>
  <w:defaultTabStop w:val="709"/>
  <w:autoHyphenation w:val="true"/>
  <w:hyphenationZone w:val="0"/>
  <w:compat>
    <w:adjustLineHeightInTable/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Lucida Sans"/>
        <w:kern w:val="2"/>
        <w:sz w:val="24"/>
        <w:szCs w:val="24"/>
        <w:lang w:val="en-U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SimSun" w:cs="Lucida Sans"/>
      <w:color w:val="auto"/>
      <w:kern w:val="2"/>
      <w:sz w:val="24"/>
      <w:szCs w:val="24"/>
      <w:lang w:val="en-US" w:eastAsia="zh-CN" w:bidi="hi-IN"/>
    </w:rPr>
  </w:style>
  <w:style w:type="paragraph" w:styleId="Heading1">
    <w:name w:val="heading 1"/>
    <w:basedOn w:val="Heading"/>
    <w:next w:val="BodyText"/>
    <w:qFormat/>
    <w:pPr>
      <w:spacing w:before="240" w:after="120"/>
      <w:outlineLvl w:val="0"/>
    </w:pPr>
    <w:rPr>
      <w:rFonts w:ascii="Liberation Serif" w:hAnsi="Liberation Serif" w:eastAsia="NSimSun" w:cs="Lucida Sans"/>
      <w:b/>
      <w:bCs/>
      <w:sz w:val="48"/>
      <w:szCs w:val="48"/>
    </w:rPr>
  </w:style>
  <w:style w:type="paragraph" w:styleId="Heading2">
    <w:name w:val="heading 2"/>
    <w:basedOn w:val="Heading"/>
    <w:next w:val="BodyText"/>
    <w:qFormat/>
    <w:pPr>
      <w:spacing w:before="200" w:after="120"/>
      <w:outlineLvl w:val="1"/>
    </w:pPr>
    <w:rPr>
      <w:rFonts w:ascii="Liberation Serif" w:hAnsi="Liberation Serif" w:eastAsia="NSimSun" w:cs="Lucida Sans"/>
      <w:b/>
      <w:bCs/>
      <w:sz w:val="36"/>
      <w:szCs w:val="36"/>
    </w:rPr>
  </w:style>
  <w:style w:type="paragraph" w:styleId="Heading3">
    <w:name w:val="heading 3"/>
    <w:basedOn w:val="Heading"/>
    <w:next w:val="BodyText"/>
    <w:qFormat/>
    <w:pPr>
      <w:spacing w:before="140" w:after="120"/>
      <w:outlineLvl w:val="2"/>
    </w:pPr>
    <w:rPr>
      <w:rFonts w:ascii="Liberation Serif" w:hAnsi="Liberation Serif" w:eastAsia="NSimSun" w:cs="Lucida Sans"/>
      <w:b/>
      <w:bCs/>
      <w:sz w:val="28"/>
      <w:szCs w:val="28"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character" w:styleId="Strong">
    <w:name w:val="Strong"/>
    <w:qFormat/>
    <w:rPr>
      <w:b/>
      <w:bCs/>
    </w:rPr>
  </w:style>
  <w:style w:type="character" w:styleId="NumberingSymbols">
    <w:name w:val="Numbering Symbols"/>
    <w:qFormat/>
    <w:rPr/>
  </w:style>
  <w:style w:type="character" w:styleId="Hyperlink">
    <w:name w:val="Hyperlink"/>
    <w:rPr>
      <w:color w:val="000080"/>
      <w:u w:val="single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paragraph" w:styleId="BlockQuotation">
    <w:name w:val="Block Quotation"/>
    <w:basedOn w:val="Normal"/>
    <w:qFormat/>
    <w:pPr>
      <w:spacing w:before="0" w:after="283"/>
      <w:ind w:hanging="0" w:start="567" w:end="567"/>
    </w:pPr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s://www.google.com/search?q=https://doi.org/10.1097/cm9.0000000000002241" TargetMode="External"/><Relationship Id="rId3" Type="http://schemas.openxmlformats.org/officeDocument/2006/relationships/hyperlink" Target="https://www.google.com/search?q=https://doi.org/10.3390/ijms25179722" TargetMode="External"/><Relationship Id="rId4" Type="http://schemas.openxmlformats.org/officeDocument/2006/relationships/hyperlink" Target="https://www.google.com/search?q=https://doi.org/10.1016/j.xagr.2024.100319" TargetMode="External"/><Relationship Id="rId5" Type="http://schemas.openxmlformats.org/officeDocument/2006/relationships/hyperlink" Target="https://www.google.com/search?q=https://doi.org/10.3389/fmed.2022.860186" TargetMode="External"/><Relationship Id="rId6" Type="http://schemas.openxmlformats.org/officeDocument/2006/relationships/numbering" Target="numbering.xml"/><Relationship Id="rId7" Type="http://schemas.openxmlformats.org/officeDocument/2006/relationships/fontTable" Target="fontTable.xml"/><Relationship Id="rId8" Type="http://schemas.openxmlformats.org/officeDocument/2006/relationships/settings" Target="settings.xml"/><Relationship Id="rId9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</TotalTime>
  <Application>LibreOffice/26.2.4.2$Windows_X86_64 LibreOffice_project/0229ac93fcf0d7cbc6376066c6f35021cef002dc</Application>
  <AppVersion>15.0000</AppVersion>
  <Pages>5</Pages>
  <Words>1002</Words>
  <Characters>6874</Characters>
  <CharactersWithSpaces>7787</CharactersWithSpaces>
  <Paragraphs>74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2026-07-19T21:13:17Z</dcterms:created>
  <dc:creator/>
  <dc:description/>
  <dc:language>en-US</dc:language>
  <cp:lastModifiedBy/>
  <dcterms:modified xsi:type="dcterms:W3CDTF">2026-07-19T21:15:14Z</dcterms:modified>
  <cp:revision>1</cp:revision>
  <dc:subject/>
  <dc:title/>
</cp:coreProperties>
</file>