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Placenta Accreta Spectrum &amp; Placenta Previa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High-Confidence Intersection Set</w:t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Inclusion criterion: an item appears here only if it was independently stated in all three named baseline reports — Claude Opus 4.8, GPT-5.5, and Gemini 3.5 Thinking. The unspecified-model report was not required for inclusion; where it also corroborates a point, that is noted. Educational reference only; not clinical guidance.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20"/>
      </w:pPr>
      <w:r>
        <w:t xml:space="preserve">1. Definitions and Risk Relationship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Placenta previa (PP): </w:t>
      </w:r>
      <w:r>
        <w:t xml:space="preserve">partial or complete placental implantation over or near the internal cervical os — a positional/spatial abnormality rather than an inherently invasive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Placenta accreta spectrum (PAS): </w:t>
      </w:r>
      <w:r>
        <w:t xml:space="preserve">abnormal placental attachment or invasion arising from a defective decidua basalis and disruption of Nitabuch's layer, permitting abnormal trophoblast penetration of the myometrium.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Previa as a risk factor: </w:t>
      </w:r>
      <w:r>
        <w:t xml:space="preserve">placenta previa is one of the strongest risk factors for PAS, and the two conditions frequently co-occur.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Cesarean scarring: </w:t>
      </w:r>
      <w:r>
        <w:t xml:space="preserve">prior cesarean delivery and the resulting uterine scar tissue are a central, major contributor to PAS risk.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Not included: the accreta/increta/percreta depth-based subclassification appears in two of the three required sources (Gemini, Claude) but is not enumerated in GPT-5.5, so it is omitted from this strict intersection despite being standard terminology.</w:t>
      </w:r>
    </w:p>
    <w:p>
      <w:pPr>
        <w:pStyle w:val="Heading1"/>
        <w:spacing w:after="160" w:before="320"/>
      </w:pPr>
      <w:r>
        <w:t xml:space="preserve">2. Core Pathophysiology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Excessive trophoblast invasion: </w:t>
      </w:r>
      <w:r>
        <w:t xml:space="preserve">uncontrolled extravillous trophoblast (EVT) invasion beyond the normal physiologic depth limit is the central invasive mechanism in PAS.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Decidual deficiency: </w:t>
      </w:r>
      <w:r>
        <w:t xml:space="preserve">a defective or absent decidua basalis, together with disruption of Nitabuch's fibrinoid layer, is regarded as the primary permissive lesion for invasion.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Angiogenic dysregulation: </w:t>
      </w:r>
      <w:r>
        <w:t xml:space="preserve">an imbalance between pro- and anti-angiogenic signaling drives abnormal vascular remodeling and hypervascularity in PAS tissue, involving the VEGF and PlGF pathways.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sFlt-1: </w:t>
      </w:r>
      <w:r>
        <w:t xml:space="preserve">this anti-angiogenic factor is decreased in PAS relative to normal placentation.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TGF-β signaling: </w:t>
      </w:r>
      <w:r>
        <w:t xml:space="preserve">implicated in regulating trophoblast invasion and cited as dysregulated in PAS, though the three sources frame it differently (signaling pathway vs. immune cytokine).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Not included: specific named pathways such as PI3K/Akt, STAT3, and Notch, and specific molecules such as MMPs, IL-8, and decorin, each appear in two of the three required sources but not all three.</w:t>
      </w:r>
    </w:p>
    <w:p>
      <w:pPr>
        <w:pStyle w:val="Heading1"/>
        <w:spacing w:after="160" w:before="320"/>
      </w:pPr>
      <w:r>
        <w:t xml:space="preserve">3. Circulating Biomarkers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8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Marker</w:t>
            </w:r>
          </w:p>
        </w:tc>
        <w:tc>
          <w:tcPr>
            <w:tcW w:type="dxa" w:w="3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Direction / Status in PAS</w:t>
            </w:r>
          </w:p>
        </w:tc>
        <w:tc>
          <w:tcPr>
            <w:tcW w:type="dxa" w:w="3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Consistency note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Maternal serum AFP (MS-AFP)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Elevated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Present across all three; consistently flagged as insufficiently specific alone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PAPP-A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Altered / elevated, chiefly 1st trimester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 three note findings are not fully consistent across studies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hCG / free β-hCG (incl. hyperglycosylated hCG)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Elevated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Gemini reports the hyperglycosylated form specifically; GPT-5.5 and Claude report total/free β-hCG — same underlying signal, evidence called inconsistent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PlGF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Altered / dysregulated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Direction varies by study in all three sources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sFlt-1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Decreased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combined sFlt-1/PlGF-type ratio is proposed by two of the three but not validated for routine use in any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MicroRNAs (as a class)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Implicated as invasion regulators and candidate biomarkers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 three cite microRNA involvement, but the specific miRNAs identified (e.g., miR-139-3p/miR-196a-5p in Gemini; C19MC/miR-21/29/34/210 in GPT-5.5; miR-193a-3p in Claude) do not overlap with each other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t xml:space="preserve">4. Diagnostic Consensus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Imaging as the clinical standard: </w:t>
      </w:r>
      <w:r>
        <w:t xml:space="preserve">ultrasound, with Doppler assessment, is the frontline diagnostic tool for both PP and PAS; MRI is used as an adjunct in selected or equivocal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standalone biomarker: </w:t>
      </w:r>
      <w:r>
        <w:t xml:space="preserve">all three sources state explicitly that no single circulating biomarker currently has sufficient sensitivity and specificity for routine standalone clinical diagnosis.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Multimodal direction: </w:t>
      </w:r>
      <w:r>
        <w:t xml:space="preserve">all three converge on combining multiple biomarkers with ultrasound/imaging as the most promising path toward earlier, more accurate detection.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This intersection deliberately omits well-supported information found in only two of the three required baselines (e.g., MMPs, EMT terminology, PI3K/Akt, STAT3, Notch, cell-free fetal DNA, exosomes, decorin, IL-8, antithrombin III, inflammatory ratios, and the accreta/increta/percreta subclassification). These are documented in the companion union summary. The narrower list above represents the subset of claims independently corroborated by all three named baseline reports.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2026-07-23T12:28:27.589Z</dcterms:created>
  <dcterms:modified xsi:type="dcterms:W3CDTF">2026-07-23T12:28:27.606Z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