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Jillmar Ubas - Portfolio &amp; Workflow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contains the complete technical workflows, automations, and brand identity components gathered from our project history for portfolio inclusion.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Zapier Invoice Automation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Workflow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automated two-part system designed to streamline invoice intake, validation, duplicate checking, and financial approval.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ZAP 1 — Invoice Intake &amp; Routing:</w:t>
      </w:r>
      <w:r w:rsidDel="00000000" w:rsidR="00000000" w:rsidRPr="00000000">
        <w:rPr>
          <w:rtl w:val="0"/>
        </w:rPr>
        <w:t xml:space="preserve"> Automatically captures incoming invoices, performs currency-based routing, and checks for duplicate entries within Google Sheets.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ZAP 2 — Finance Approval Loop:</w:t>
      </w:r>
      <w:r w:rsidDel="00000000" w:rsidR="00000000" w:rsidRPr="00000000">
        <w:rPr>
          <w:rtl w:val="0"/>
        </w:rPr>
        <w:t xml:space="preserve"> Triggers a finance review and approval workflow via Google Forms upon successful invoice verification (e.g., verifying invoice numbers like INV-001 and INV-200).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Calendly Meeting Scheduling &amp; Workspace Integration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Workflow Overview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End-to-end automated scheduling and follow-up workflow connecting Calendly with Google Workspace applications (Google Calendar and Google Meet) to manage discovery calls and client onboarding smoothly.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GoHighLevel CRM Sales Pipeline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Workflow Overview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Configured the </w:t>
      </w:r>
      <w:r w:rsidDel="00000000" w:rsidR="00000000" w:rsidRPr="00000000">
        <w:rPr>
          <w:b w:val="1"/>
          <w:bCs w:val="1"/>
          <w:rtl w:val="0"/>
        </w:rPr>
        <w:t xml:space="preserve">BrightPath Digital Sales Pipeline</w:t>
      </w:r>
      <w:r w:rsidDel="00000000" w:rsidR="00000000" w:rsidRPr="00000000">
        <w:rPr>
          <w:rtl w:val="0"/>
        </w:rPr>
        <w:t xml:space="preserve"> alongside an automated 5-part welcome and follow-up email nurturing sequence to handle new lead acquisition and engagement.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AI Prompt Engineering &amp; Overtime Calculation System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Workflow Overview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Developed custom structured prompts to scan Info-Tech mobile app attendance records, applying statutory overtime multipliers and 30-minute rounding rules directly into automated spreadsheets.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5. The Open Studio Brand Identity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Brand Specifications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Concept:</w:t>
      </w:r>
      <w:r w:rsidDel="00000000" w:rsidR="00000000" w:rsidRPr="00000000">
        <w:rPr>
          <w:rtl w:val="0"/>
        </w:rPr>
        <w:t xml:space="preserve"> "OS" ribbon monogram featuring a professional design aesthetic with rich colors and a clean, premium look.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Digital Graphic Designer focusing on distributing free design templates via Instagram.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