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3BA87" w14:textId="77777777" w:rsidR="00740118" w:rsidRPr="001F7D8D" w:rsidRDefault="00740118">
      <w:pPr>
        <w:rPr>
          <w:rFonts w:ascii="Times New Roman" w:hAnsi="Times New Roman" w:cs="Times New Roman"/>
          <w:sz w:val="32"/>
          <w:szCs w:val="32"/>
        </w:rPr>
      </w:pPr>
    </w:p>
    <w:p w14:paraId="4BE7B0C6" w14:textId="77777777" w:rsidR="00740118" w:rsidRPr="001F7D8D" w:rsidRDefault="00000000">
      <w:pPr>
        <w:rPr>
          <w:rFonts w:ascii="Times New Roman" w:hAnsi="Times New Roman" w:cs="Times New Roman"/>
          <w:sz w:val="32"/>
          <w:szCs w:val="32"/>
        </w:rPr>
      </w:pPr>
      <w:r w:rsidRPr="001F7D8D">
        <w:rPr>
          <w:rFonts w:ascii="Times New Roman" w:hAnsi="Times New Roman" w:cs="Times New Roman"/>
          <w:sz w:val="32"/>
          <w:szCs w:val="32"/>
        </w:rPr>
        <w:t>ENERGY MARKET ANALYSIS REPORT</w:t>
      </w:r>
    </w:p>
    <w:p w14:paraId="12756CC8" w14:textId="77777777" w:rsidR="00740118" w:rsidRPr="001F7D8D" w:rsidRDefault="00000000">
      <w:pPr>
        <w:rPr>
          <w:rFonts w:ascii="Times New Roman" w:hAnsi="Times New Roman" w:cs="Times New Roman"/>
          <w:sz w:val="32"/>
          <w:szCs w:val="32"/>
        </w:rPr>
      </w:pPr>
      <w:r w:rsidRPr="001F7D8D">
        <w:rPr>
          <w:rFonts w:ascii="Times New Roman" w:hAnsi="Times New Roman" w:cs="Times New Roman"/>
          <w:sz w:val="32"/>
          <w:szCs w:val="32"/>
        </w:rPr>
        <w:t>US Gasoline, OPEC Oil Prices, and Natural Gas Trends</w:t>
      </w:r>
    </w:p>
    <w:p w14:paraId="3DDAE7C2" w14:textId="77777777" w:rsidR="00740118" w:rsidRPr="001F7D8D" w:rsidRDefault="00740118">
      <w:pPr>
        <w:rPr>
          <w:rFonts w:ascii="Times New Roman" w:hAnsi="Times New Roman" w:cs="Times New Roman"/>
          <w:sz w:val="28"/>
          <w:szCs w:val="28"/>
        </w:rPr>
      </w:pPr>
    </w:p>
    <w:p w14:paraId="11F9D2AC" w14:textId="77777777" w:rsidR="00740118" w:rsidRPr="001F7D8D" w:rsidRDefault="00000000">
      <w:pPr>
        <w:rPr>
          <w:rFonts w:ascii="Times New Roman" w:hAnsi="Times New Roman" w:cs="Times New Roman"/>
          <w:b/>
          <w:bCs/>
          <w:sz w:val="28"/>
          <w:szCs w:val="28"/>
        </w:rPr>
      </w:pPr>
      <w:r w:rsidRPr="001F7D8D">
        <w:rPr>
          <w:rFonts w:ascii="Times New Roman" w:hAnsi="Times New Roman" w:cs="Times New Roman"/>
          <w:b/>
          <w:bCs/>
          <w:sz w:val="28"/>
          <w:szCs w:val="28"/>
        </w:rPr>
        <w:t>1. Introduction</w:t>
      </w:r>
    </w:p>
    <w:p w14:paraId="3813D81E"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This report presents an exploratory data analysis of energy market indicators, focusing on US gasoline prices, OPEC crude oil prices, US gasoline production, and natural gas prices. The objective is to uncover patterns, relationships, and trends that support data-driven decision-making in energy economics and policy planning.</w:t>
      </w:r>
    </w:p>
    <w:p w14:paraId="6C56C33F" w14:textId="77777777" w:rsidR="00740118" w:rsidRPr="001F7D8D" w:rsidRDefault="00740118">
      <w:pPr>
        <w:rPr>
          <w:rFonts w:ascii="Times New Roman" w:hAnsi="Times New Roman" w:cs="Times New Roman"/>
          <w:sz w:val="28"/>
          <w:szCs w:val="28"/>
        </w:rPr>
      </w:pPr>
    </w:p>
    <w:p w14:paraId="578D4B9C" w14:textId="77777777" w:rsidR="00740118" w:rsidRPr="001F7D8D" w:rsidRDefault="00000000">
      <w:pPr>
        <w:rPr>
          <w:rFonts w:ascii="Times New Roman" w:hAnsi="Times New Roman" w:cs="Times New Roman"/>
          <w:b/>
          <w:bCs/>
          <w:sz w:val="28"/>
          <w:szCs w:val="28"/>
        </w:rPr>
      </w:pPr>
      <w:r w:rsidRPr="001F7D8D">
        <w:rPr>
          <w:rFonts w:ascii="Times New Roman" w:hAnsi="Times New Roman" w:cs="Times New Roman"/>
          <w:b/>
          <w:bCs/>
          <w:sz w:val="28"/>
          <w:szCs w:val="28"/>
        </w:rPr>
        <w:t>2. Data Preparation and Cleaning</w:t>
      </w:r>
    </w:p>
    <w:p w14:paraId="629A85F2"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2.1 Data Cleaning Steps</w:t>
      </w:r>
    </w:p>
    <w:p w14:paraId="5D1192CB"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 Checked and handled missing values across all variables</w:t>
      </w:r>
    </w:p>
    <w:p w14:paraId="06395595"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 Identified and removed duplicate records</w:t>
      </w:r>
    </w:p>
    <w:p w14:paraId="6094F4D1"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 Ensured consistency in date formatting and time-series structure</w:t>
      </w:r>
    </w:p>
    <w:p w14:paraId="4D80DEE6" w14:textId="77777777" w:rsidR="00740118" w:rsidRPr="001F7D8D" w:rsidRDefault="00740118">
      <w:pPr>
        <w:rPr>
          <w:rFonts w:ascii="Times New Roman" w:hAnsi="Times New Roman" w:cs="Times New Roman"/>
          <w:sz w:val="28"/>
          <w:szCs w:val="28"/>
        </w:rPr>
      </w:pPr>
    </w:p>
    <w:p w14:paraId="63F409C0" w14:textId="77777777" w:rsidR="00740118" w:rsidRPr="001F7D8D" w:rsidRDefault="00000000">
      <w:pPr>
        <w:rPr>
          <w:rFonts w:ascii="Times New Roman" w:hAnsi="Times New Roman" w:cs="Times New Roman"/>
          <w:b/>
          <w:bCs/>
          <w:sz w:val="28"/>
          <w:szCs w:val="28"/>
        </w:rPr>
      </w:pPr>
      <w:r w:rsidRPr="001F7D8D">
        <w:rPr>
          <w:rFonts w:ascii="Times New Roman" w:hAnsi="Times New Roman" w:cs="Times New Roman"/>
          <w:b/>
          <w:bCs/>
          <w:sz w:val="28"/>
          <w:szCs w:val="28"/>
        </w:rPr>
        <w:t>2.2 Data Transformation</w:t>
      </w:r>
    </w:p>
    <w:p w14:paraId="2426EFAE"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 Converted price variables from cents to USD for consistency and interpretability</w:t>
      </w:r>
    </w:p>
    <w:p w14:paraId="04C5B364"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 Structured dataset into time-series format using year, month, and date index</w:t>
      </w:r>
    </w:p>
    <w:p w14:paraId="2F7FBA40" w14:textId="77777777" w:rsidR="00740118" w:rsidRPr="001F7D8D" w:rsidRDefault="00740118">
      <w:pPr>
        <w:rPr>
          <w:rFonts w:ascii="Times New Roman" w:hAnsi="Times New Roman" w:cs="Times New Roman"/>
          <w:sz w:val="28"/>
          <w:szCs w:val="28"/>
        </w:rPr>
      </w:pPr>
    </w:p>
    <w:p w14:paraId="5219088F" w14:textId="77777777" w:rsidR="00740118" w:rsidRPr="001F7D8D" w:rsidRDefault="00000000">
      <w:pPr>
        <w:rPr>
          <w:rFonts w:ascii="Times New Roman" w:hAnsi="Times New Roman" w:cs="Times New Roman"/>
          <w:b/>
          <w:bCs/>
          <w:sz w:val="28"/>
          <w:szCs w:val="28"/>
        </w:rPr>
      </w:pPr>
      <w:r w:rsidRPr="001F7D8D">
        <w:rPr>
          <w:rFonts w:ascii="Times New Roman" w:hAnsi="Times New Roman" w:cs="Times New Roman"/>
          <w:b/>
          <w:bCs/>
          <w:sz w:val="28"/>
          <w:szCs w:val="28"/>
        </w:rPr>
        <w:t>3. Exploratory Data Analysis (EDA)</w:t>
      </w:r>
    </w:p>
    <w:p w14:paraId="256A3197" w14:textId="77777777" w:rsidR="00740118" w:rsidRPr="001F7D8D" w:rsidRDefault="00740118">
      <w:pPr>
        <w:rPr>
          <w:rFonts w:ascii="Times New Roman" w:hAnsi="Times New Roman" w:cs="Times New Roman"/>
          <w:sz w:val="28"/>
          <w:szCs w:val="28"/>
        </w:rPr>
      </w:pPr>
    </w:p>
    <w:p w14:paraId="75FD26F3" w14:textId="77777777" w:rsidR="00740118" w:rsidRPr="001F7D8D" w:rsidRDefault="00000000">
      <w:pPr>
        <w:rPr>
          <w:rFonts w:ascii="Times New Roman" w:hAnsi="Times New Roman" w:cs="Times New Roman"/>
          <w:b/>
          <w:bCs/>
          <w:sz w:val="28"/>
          <w:szCs w:val="28"/>
        </w:rPr>
      </w:pPr>
      <w:r w:rsidRPr="001F7D8D">
        <w:rPr>
          <w:rFonts w:ascii="Times New Roman" w:hAnsi="Times New Roman" w:cs="Times New Roman"/>
          <w:b/>
          <w:bCs/>
          <w:sz w:val="28"/>
          <w:szCs w:val="28"/>
        </w:rPr>
        <w:t>3.1 Trend Analysis Over Time</w:t>
      </w:r>
    </w:p>
    <w:p w14:paraId="0BCC21DB"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 Gasoline and OPEC oil prices show a strong upward long-term trend</w:t>
      </w:r>
    </w:p>
    <w:p w14:paraId="313B7F7D" w14:textId="77777777" w:rsidR="00740118" w:rsidRDefault="00000000">
      <w:pPr>
        <w:rPr>
          <w:rFonts w:ascii="Times New Roman" w:hAnsi="Times New Roman" w:cs="Times New Roman"/>
          <w:sz w:val="28"/>
          <w:szCs w:val="28"/>
        </w:rPr>
      </w:pPr>
      <w:r w:rsidRPr="001F7D8D">
        <w:rPr>
          <w:rFonts w:ascii="Times New Roman" w:hAnsi="Times New Roman" w:cs="Times New Roman"/>
          <w:sz w:val="28"/>
          <w:szCs w:val="28"/>
        </w:rPr>
        <w:t>- Both variables move closely together over time</w:t>
      </w:r>
    </w:p>
    <w:p w14:paraId="16FDB8AA" w14:textId="77777777" w:rsidR="001F7D8D" w:rsidRDefault="001F7D8D">
      <w:pPr>
        <w:rPr>
          <w:rFonts w:ascii="Times New Roman" w:hAnsi="Times New Roman" w:cs="Times New Roman"/>
          <w:sz w:val="28"/>
          <w:szCs w:val="28"/>
        </w:rPr>
      </w:pPr>
    </w:p>
    <w:p w14:paraId="47D80A2B" w14:textId="2C86B691" w:rsidR="001F7D8D" w:rsidRDefault="001F7D8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716A002" wp14:editId="19407619">
            <wp:extent cx="5486400" cy="3281045"/>
            <wp:effectExtent l="0" t="0" r="0" b="0"/>
            <wp:docPr id="253653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53263" name="Picture 253653263"/>
                    <pic:cNvPicPr/>
                  </pic:nvPicPr>
                  <pic:blipFill>
                    <a:blip r:embed="rId6"/>
                    <a:stretch>
                      <a:fillRect/>
                    </a:stretch>
                  </pic:blipFill>
                  <pic:spPr>
                    <a:xfrm>
                      <a:off x="0" y="0"/>
                      <a:ext cx="5486400" cy="3281045"/>
                    </a:xfrm>
                    <a:prstGeom prst="rect">
                      <a:avLst/>
                    </a:prstGeom>
                  </pic:spPr>
                </pic:pic>
              </a:graphicData>
            </a:graphic>
          </wp:inline>
        </w:drawing>
      </w:r>
    </w:p>
    <w:p w14:paraId="2ED23E89" w14:textId="77777777" w:rsidR="001F7D8D" w:rsidRPr="001F7D8D" w:rsidRDefault="001F7D8D">
      <w:pPr>
        <w:rPr>
          <w:rFonts w:ascii="Times New Roman" w:hAnsi="Times New Roman" w:cs="Times New Roman"/>
          <w:sz w:val="28"/>
          <w:szCs w:val="28"/>
        </w:rPr>
      </w:pPr>
    </w:p>
    <w:p w14:paraId="5296A956" w14:textId="77777777" w:rsidR="00740118" w:rsidRPr="001F7D8D" w:rsidRDefault="00740118">
      <w:pPr>
        <w:rPr>
          <w:rFonts w:ascii="Times New Roman" w:hAnsi="Times New Roman" w:cs="Times New Roman"/>
          <w:sz w:val="28"/>
          <w:szCs w:val="28"/>
        </w:rPr>
      </w:pPr>
    </w:p>
    <w:p w14:paraId="78EB3AA8" w14:textId="77777777" w:rsidR="00740118" w:rsidRPr="001F7D8D" w:rsidRDefault="00000000">
      <w:pPr>
        <w:rPr>
          <w:rFonts w:ascii="Times New Roman" w:hAnsi="Times New Roman" w:cs="Times New Roman"/>
          <w:b/>
          <w:bCs/>
          <w:sz w:val="28"/>
          <w:szCs w:val="28"/>
        </w:rPr>
      </w:pPr>
      <w:r w:rsidRPr="001F7D8D">
        <w:rPr>
          <w:rFonts w:ascii="Times New Roman" w:hAnsi="Times New Roman" w:cs="Times New Roman"/>
          <w:b/>
          <w:bCs/>
          <w:sz w:val="28"/>
          <w:szCs w:val="28"/>
        </w:rPr>
        <w:t>3.2 Seasonality Analysis</w:t>
      </w:r>
    </w:p>
    <w:p w14:paraId="733626E1"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 Gasoline prices show clear seasonal patterns</w:t>
      </w:r>
    </w:p>
    <w:p w14:paraId="7F7E7C7F" w14:textId="77777777" w:rsidR="00740118" w:rsidRDefault="00000000">
      <w:pPr>
        <w:rPr>
          <w:rFonts w:ascii="Times New Roman" w:hAnsi="Times New Roman" w:cs="Times New Roman"/>
          <w:sz w:val="28"/>
          <w:szCs w:val="28"/>
        </w:rPr>
      </w:pPr>
      <w:r w:rsidRPr="001F7D8D">
        <w:rPr>
          <w:rFonts w:ascii="Times New Roman" w:hAnsi="Times New Roman" w:cs="Times New Roman"/>
          <w:sz w:val="28"/>
          <w:szCs w:val="28"/>
        </w:rPr>
        <w:t>- Certain months consistently have higher prices due to demand cycles</w:t>
      </w:r>
    </w:p>
    <w:p w14:paraId="2491FF3B" w14:textId="66268C85" w:rsidR="001F7D8D" w:rsidRPr="001F7D8D" w:rsidRDefault="001F7D8D">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FE9BE61" wp14:editId="6808BE5F">
            <wp:extent cx="5486400" cy="3867150"/>
            <wp:effectExtent l="0" t="0" r="0" b="6350"/>
            <wp:docPr id="75977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76767" name="Picture 759776767"/>
                    <pic:cNvPicPr/>
                  </pic:nvPicPr>
                  <pic:blipFill>
                    <a:blip r:embed="rId7"/>
                    <a:stretch>
                      <a:fillRect/>
                    </a:stretch>
                  </pic:blipFill>
                  <pic:spPr>
                    <a:xfrm>
                      <a:off x="0" y="0"/>
                      <a:ext cx="5486400" cy="3867150"/>
                    </a:xfrm>
                    <a:prstGeom prst="rect">
                      <a:avLst/>
                    </a:prstGeom>
                  </pic:spPr>
                </pic:pic>
              </a:graphicData>
            </a:graphic>
          </wp:inline>
        </w:drawing>
      </w:r>
    </w:p>
    <w:p w14:paraId="327B1098" w14:textId="77777777" w:rsidR="00740118" w:rsidRPr="001F7D8D" w:rsidRDefault="00740118">
      <w:pPr>
        <w:rPr>
          <w:rFonts w:ascii="Times New Roman" w:hAnsi="Times New Roman" w:cs="Times New Roman"/>
          <w:sz w:val="28"/>
          <w:szCs w:val="28"/>
        </w:rPr>
      </w:pPr>
    </w:p>
    <w:p w14:paraId="363865D2" w14:textId="77777777" w:rsidR="00740118" w:rsidRPr="001F7D8D" w:rsidRDefault="00000000">
      <w:pPr>
        <w:rPr>
          <w:rFonts w:ascii="Times New Roman" w:hAnsi="Times New Roman" w:cs="Times New Roman"/>
          <w:b/>
          <w:bCs/>
          <w:sz w:val="28"/>
          <w:szCs w:val="28"/>
        </w:rPr>
      </w:pPr>
      <w:r w:rsidRPr="001F7D8D">
        <w:rPr>
          <w:rFonts w:ascii="Times New Roman" w:hAnsi="Times New Roman" w:cs="Times New Roman"/>
          <w:b/>
          <w:bCs/>
          <w:sz w:val="28"/>
          <w:szCs w:val="28"/>
        </w:rPr>
        <w:t>3.3 Lag Analysis</w:t>
      </w:r>
    </w:p>
    <w:p w14:paraId="2CA6F185"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 Strong relationship between OPEC oil prices and gasoline prices</w:t>
      </w:r>
    </w:p>
    <w:p w14:paraId="1B8C590E"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 Highest correlation at 1-month lag (0.977)</w:t>
      </w:r>
    </w:p>
    <w:p w14:paraId="72412A7A" w14:textId="77777777" w:rsidR="00740118" w:rsidRDefault="00000000">
      <w:pPr>
        <w:rPr>
          <w:rFonts w:ascii="Times New Roman" w:hAnsi="Times New Roman" w:cs="Times New Roman"/>
          <w:sz w:val="28"/>
          <w:szCs w:val="28"/>
        </w:rPr>
      </w:pPr>
      <w:r w:rsidRPr="001F7D8D">
        <w:rPr>
          <w:rFonts w:ascii="Times New Roman" w:hAnsi="Times New Roman" w:cs="Times New Roman"/>
          <w:sz w:val="28"/>
          <w:szCs w:val="28"/>
        </w:rPr>
        <w:t>- Relationship remains strong across multiple months (&gt;0.92 up to 11 months)</w:t>
      </w:r>
    </w:p>
    <w:p w14:paraId="73CD31B9" w14:textId="7D4CF463" w:rsidR="001F7D8D" w:rsidRDefault="001F7D8D">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C4877D9" wp14:editId="023C8029">
            <wp:extent cx="5486400" cy="3444875"/>
            <wp:effectExtent l="0" t="0" r="0" b="0"/>
            <wp:docPr id="1455331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31091" name="Picture 1455331091"/>
                    <pic:cNvPicPr/>
                  </pic:nvPicPr>
                  <pic:blipFill>
                    <a:blip r:embed="rId8"/>
                    <a:stretch>
                      <a:fillRect/>
                    </a:stretch>
                  </pic:blipFill>
                  <pic:spPr>
                    <a:xfrm>
                      <a:off x="0" y="0"/>
                      <a:ext cx="5486400" cy="3444875"/>
                    </a:xfrm>
                    <a:prstGeom prst="rect">
                      <a:avLst/>
                    </a:prstGeom>
                  </pic:spPr>
                </pic:pic>
              </a:graphicData>
            </a:graphic>
          </wp:inline>
        </w:drawing>
      </w:r>
    </w:p>
    <w:p w14:paraId="6177966A" w14:textId="77777777" w:rsidR="001F7D8D" w:rsidRPr="001F7D8D" w:rsidRDefault="001F7D8D">
      <w:pPr>
        <w:rPr>
          <w:rFonts w:ascii="Times New Roman" w:hAnsi="Times New Roman" w:cs="Times New Roman"/>
          <w:sz w:val="28"/>
          <w:szCs w:val="28"/>
        </w:rPr>
      </w:pPr>
    </w:p>
    <w:p w14:paraId="49077398" w14:textId="77777777" w:rsidR="00740118" w:rsidRPr="001F7D8D" w:rsidRDefault="00740118">
      <w:pPr>
        <w:rPr>
          <w:rFonts w:ascii="Times New Roman" w:hAnsi="Times New Roman" w:cs="Times New Roman"/>
          <w:b/>
          <w:bCs/>
          <w:sz w:val="28"/>
          <w:szCs w:val="28"/>
        </w:rPr>
      </w:pPr>
    </w:p>
    <w:p w14:paraId="3DEA7000" w14:textId="77777777" w:rsidR="00740118" w:rsidRPr="001F7D8D" w:rsidRDefault="00000000">
      <w:pPr>
        <w:rPr>
          <w:rFonts w:ascii="Times New Roman" w:hAnsi="Times New Roman" w:cs="Times New Roman"/>
          <w:b/>
          <w:bCs/>
          <w:sz w:val="28"/>
          <w:szCs w:val="28"/>
        </w:rPr>
      </w:pPr>
      <w:r w:rsidRPr="001F7D8D">
        <w:rPr>
          <w:rFonts w:ascii="Times New Roman" w:hAnsi="Times New Roman" w:cs="Times New Roman"/>
          <w:b/>
          <w:bCs/>
          <w:sz w:val="28"/>
          <w:szCs w:val="28"/>
        </w:rPr>
        <w:t>3.4 Market Relationship Insights</w:t>
      </w:r>
    </w:p>
    <w:p w14:paraId="65D78B69"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 Oil prices are the dominant driver of gasoline prices</w:t>
      </w:r>
    </w:p>
    <w:p w14:paraId="190C2C10"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 Production has secondary influence compared to oil prices</w:t>
      </w:r>
    </w:p>
    <w:p w14:paraId="03033164" w14:textId="77777777" w:rsidR="00740118" w:rsidRPr="001F7D8D" w:rsidRDefault="00740118">
      <w:pPr>
        <w:rPr>
          <w:rFonts w:ascii="Times New Roman" w:hAnsi="Times New Roman" w:cs="Times New Roman"/>
          <w:sz w:val="28"/>
          <w:szCs w:val="28"/>
        </w:rPr>
      </w:pPr>
    </w:p>
    <w:p w14:paraId="2C8A790F" w14:textId="77777777" w:rsidR="00740118" w:rsidRPr="001F7D8D" w:rsidRDefault="00000000">
      <w:pPr>
        <w:rPr>
          <w:rFonts w:ascii="Times New Roman" w:hAnsi="Times New Roman" w:cs="Times New Roman"/>
          <w:b/>
          <w:bCs/>
          <w:sz w:val="28"/>
          <w:szCs w:val="28"/>
        </w:rPr>
      </w:pPr>
      <w:r w:rsidRPr="001F7D8D">
        <w:rPr>
          <w:rFonts w:ascii="Times New Roman" w:hAnsi="Times New Roman" w:cs="Times New Roman"/>
          <w:b/>
          <w:bCs/>
          <w:sz w:val="28"/>
          <w:szCs w:val="28"/>
        </w:rPr>
        <w:t>4. Key Insights Summary</w:t>
      </w:r>
    </w:p>
    <w:p w14:paraId="575302FA"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 Oil prices are the primary driver of gasoline prices</w:t>
      </w:r>
    </w:p>
    <w:p w14:paraId="26A60916" w14:textId="660D445D"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 Price effects occur with a short delay (1 month)</w:t>
      </w:r>
    </w:p>
    <w:p w14:paraId="4AB769C8"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 Oil shocks have long-lasting impacts</w:t>
      </w:r>
    </w:p>
    <w:p w14:paraId="796200DC"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 Strong seasonal patterns exist in gasoline pricing</w:t>
      </w:r>
    </w:p>
    <w:p w14:paraId="3FC7E4A5" w14:textId="77777777" w:rsidR="00740118" w:rsidRPr="001F7D8D" w:rsidRDefault="00740118">
      <w:pPr>
        <w:rPr>
          <w:rFonts w:ascii="Times New Roman" w:hAnsi="Times New Roman" w:cs="Times New Roman"/>
          <w:sz w:val="28"/>
          <w:szCs w:val="28"/>
        </w:rPr>
      </w:pPr>
    </w:p>
    <w:p w14:paraId="729B56FE" w14:textId="77777777" w:rsidR="00740118" w:rsidRPr="001F7D8D" w:rsidRDefault="00000000">
      <w:pPr>
        <w:rPr>
          <w:rFonts w:ascii="Times New Roman" w:hAnsi="Times New Roman" w:cs="Times New Roman"/>
          <w:b/>
          <w:bCs/>
          <w:sz w:val="28"/>
          <w:szCs w:val="28"/>
        </w:rPr>
      </w:pPr>
      <w:r w:rsidRPr="001F7D8D">
        <w:rPr>
          <w:rFonts w:ascii="Times New Roman" w:hAnsi="Times New Roman" w:cs="Times New Roman"/>
          <w:b/>
          <w:bCs/>
          <w:sz w:val="28"/>
          <w:szCs w:val="28"/>
        </w:rPr>
        <w:t>5. Business and Policy Implications</w:t>
      </w:r>
    </w:p>
    <w:p w14:paraId="4C65524C" w14:textId="77777777" w:rsidR="00740118" w:rsidRPr="001F7D8D" w:rsidRDefault="00740118">
      <w:pPr>
        <w:rPr>
          <w:rFonts w:ascii="Times New Roman" w:hAnsi="Times New Roman" w:cs="Times New Roman"/>
          <w:sz w:val="28"/>
          <w:szCs w:val="28"/>
        </w:rPr>
      </w:pPr>
    </w:p>
    <w:p w14:paraId="66130965"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5.1 Energy Companies</w:t>
      </w:r>
    </w:p>
    <w:p w14:paraId="035C5517"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 Improve pricing models using oil price trends and lag effects</w:t>
      </w:r>
    </w:p>
    <w:p w14:paraId="08390E54"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 Adjust pricing strategies based on seasonality</w:t>
      </w:r>
    </w:p>
    <w:p w14:paraId="0FE75E1F"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 Optimize production and inventory planning</w:t>
      </w:r>
    </w:p>
    <w:p w14:paraId="3A12882E" w14:textId="77777777" w:rsidR="00740118" w:rsidRPr="001F7D8D" w:rsidRDefault="00740118">
      <w:pPr>
        <w:rPr>
          <w:rFonts w:ascii="Times New Roman" w:hAnsi="Times New Roman" w:cs="Times New Roman"/>
          <w:sz w:val="28"/>
          <w:szCs w:val="28"/>
        </w:rPr>
      </w:pPr>
    </w:p>
    <w:p w14:paraId="73FF1A09"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5.2 Government and Policymakers</w:t>
      </w:r>
    </w:p>
    <w:p w14:paraId="1C96B67F"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 Anticipate inflation after oil price increases</w:t>
      </w:r>
    </w:p>
    <w:p w14:paraId="5CE3D6EA"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 Time subsidies based on seasonal vulnerability</w:t>
      </w:r>
    </w:p>
    <w:p w14:paraId="2BB8B25D"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 Improve energy security planning</w:t>
      </w:r>
    </w:p>
    <w:p w14:paraId="679F6E14" w14:textId="77777777" w:rsidR="00740118" w:rsidRPr="001F7D8D" w:rsidRDefault="00740118">
      <w:pPr>
        <w:rPr>
          <w:rFonts w:ascii="Times New Roman" w:hAnsi="Times New Roman" w:cs="Times New Roman"/>
          <w:sz w:val="28"/>
          <w:szCs w:val="28"/>
        </w:rPr>
      </w:pPr>
    </w:p>
    <w:p w14:paraId="6A4EDC5D"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5.3 Analysts</w:t>
      </w:r>
    </w:p>
    <w:p w14:paraId="6E68D996"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 Use lag features in predictive models</w:t>
      </w:r>
    </w:p>
    <w:p w14:paraId="47704EB8"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 Incorporate seasonality in forecasting</w:t>
      </w:r>
    </w:p>
    <w:p w14:paraId="3A88D305"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 Combine oil price and production data for accuracy</w:t>
      </w:r>
    </w:p>
    <w:p w14:paraId="2E14290E" w14:textId="77777777" w:rsidR="00740118" w:rsidRPr="001F7D8D" w:rsidRDefault="00740118">
      <w:pPr>
        <w:rPr>
          <w:rFonts w:ascii="Times New Roman" w:hAnsi="Times New Roman" w:cs="Times New Roman"/>
          <w:sz w:val="28"/>
          <w:szCs w:val="28"/>
        </w:rPr>
      </w:pPr>
    </w:p>
    <w:p w14:paraId="5677C771" w14:textId="77777777" w:rsidR="00740118" w:rsidRPr="001F7D8D" w:rsidRDefault="00000000">
      <w:pPr>
        <w:rPr>
          <w:rFonts w:ascii="Times New Roman" w:hAnsi="Times New Roman" w:cs="Times New Roman"/>
          <w:b/>
          <w:bCs/>
          <w:sz w:val="28"/>
          <w:szCs w:val="28"/>
        </w:rPr>
      </w:pPr>
      <w:r w:rsidRPr="001F7D8D">
        <w:rPr>
          <w:rFonts w:ascii="Times New Roman" w:hAnsi="Times New Roman" w:cs="Times New Roman"/>
          <w:b/>
          <w:bCs/>
          <w:sz w:val="28"/>
          <w:szCs w:val="28"/>
        </w:rPr>
        <w:t>6. Conclusion</w:t>
      </w:r>
    </w:p>
    <w:p w14:paraId="4C2B0D39" w14:textId="77777777" w:rsidR="00740118" w:rsidRPr="001F7D8D" w:rsidRDefault="00000000">
      <w:pPr>
        <w:rPr>
          <w:rFonts w:ascii="Times New Roman" w:hAnsi="Times New Roman" w:cs="Times New Roman"/>
          <w:sz w:val="28"/>
          <w:szCs w:val="28"/>
        </w:rPr>
      </w:pPr>
      <w:r w:rsidRPr="001F7D8D">
        <w:rPr>
          <w:rFonts w:ascii="Times New Roman" w:hAnsi="Times New Roman" w:cs="Times New Roman"/>
          <w:sz w:val="28"/>
          <w:szCs w:val="28"/>
        </w:rPr>
        <w:t>Gasoline prices are highly dependent on global oil prices, with both immediate and long-term effects. The market shows strong predictability due to lagged relationships and seasonal patterns, making it suitable for forecasting and policy planning.</w:t>
      </w:r>
    </w:p>
    <w:p w14:paraId="2AA70F03" w14:textId="77777777" w:rsidR="00740118" w:rsidRPr="001F7D8D" w:rsidRDefault="00740118">
      <w:pPr>
        <w:rPr>
          <w:rFonts w:ascii="Times New Roman" w:hAnsi="Times New Roman" w:cs="Times New Roman"/>
          <w:sz w:val="28"/>
          <w:szCs w:val="28"/>
        </w:rPr>
      </w:pPr>
    </w:p>
    <w:sectPr w:rsidR="00740118" w:rsidRPr="001F7D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7952712">
    <w:abstractNumId w:val="8"/>
  </w:num>
  <w:num w:numId="2" w16cid:durableId="1817142956">
    <w:abstractNumId w:val="6"/>
  </w:num>
  <w:num w:numId="3" w16cid:durableId="1616869062">
    <w:abstractNumId w:val="5"/>
  </w:num>
  <w:num w:numId="4" w16cid:durableId="1187870791">
    <w:abstractNumId w:val="4"/>
  </w:num>
  <w:num w:numId="5" w16cid:durableId="232617732">
    <w:abstractNumId w:val="7"/>
  </w:num>
  <w:num w:numId="6" w16cid:durableId="538978028">
    <w:abstractNumId w:val="3"/>
  </w:num>
  <w:num w:numId="7" w16cid:durableId="1304850462">
    <w:abstractNumId w:val="2"/>
  </w:num>
  <w:num w:numId="8" w16cid:durableId="495846037">
    <w:abstractNumId w:val="1"/>
  </w:num>
  <w:num w:numId="9" w16cid:durableId="379864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D8D"/>
    <w:rsid w:val="0029639D"/>
    <w:rsid w:val="00326F90"/>
    <w:rsid w:val="006C42A7"/>
    <w:rsid w:val="00740118"/>
    <w:rsid w:val="00AA1D8D"/>
    <w:rsid w:val="00AC7CF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438C69"/>
  <w14:defaultImageDpi w14:val="300"/>
  <w15:docId w15:val="{77F94BA5-41E6-3B4F-A38C-C845726C0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380</Words>
  <Characters>2171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Awuah Isaac Jim</cp:lastModifiedBy>
  <cp:revision>2</cp:revision>
  <dcterms:created xsi:type="dcterms:W3CDTF">2026-04-20T15:55:00Z</dcterms:created>
  <dcterms:modified xsi:type="dcterms:W3CDTF">2026-04-20T15:55:00Z</dcterms:modified>
  <cp:category/>
</cp:coreProperties>
</file>