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7493" w:rsidRPr="009A2EAB" w:rsidRDefault="009A2EAB" w:rsidP="009A2EAB">
      <w:pPr>
        <w:pStyle w:val="Heading1"/>
        <w:spacing w:before="0"/>
        <w:jc w:val="center"/>
        <w:rPr>
          <w:sz w:val="44"/>
          <w:szCs w:val="44"/>
        </w:rPr>
      </w:pPr>
      <w:r>
        <w:rPr>
          <w:sz w:val="44"/>
          <w:szCs w:val="44"/>
        </w:rPr>
        <w:t>F</w:t>
      </w:r>
      <w:r w:rsidR="00C97493" w:rsidRPr="009A2EAB">
        <w:rPr>
          <w:sz w:val="44"/>
          <w:szCs w:val="44"/>
        </w:rPr>
        <w:t>inal report</w:t>
      </w:r>
      <w:r w:rsidR="009E6823" w:rsidRPr="009A2EAB">
        <w:rPr>
          <w:sz w:val="44"/>
          <w:szCs w:val="44"/>
        </w:rPr>
        <w:t xml:space="preserve"> section</w:t>
      </w:r>
    </w:p>
    <w:p w:rsidR="00C97493" w:rsidRPr="009A2EAB" w:rsidRDefault="00C97493" w:rsidP="009A2EAB">
      <w:pPr>
        <w:pStyle w:val="Heading1"/>
        <w:spacing w:before="0"/>
        <w:jc w:val="center"/>
        <w:rPr>
          <w:sz w:val="44"/>
          <w:szCs w:val="44"/>
        </w:rPr>
      </w:pPr>
      <w:r w:rsidRPr="009A2EAB">
        <w:rPr>
          <w:sz w:val="44"/>
          <w:szCs w:val="44"/>
        </w:rPr>
        <w:t>Descriptive Analysis of U.S. I</w:t>
      </w:r>
      <w:r w:rsidR="009E6823" w:rsidRPr="009A2EAB">
        <w:rPr>
          <w:sz w:val="44"/>
          <w:szCs w:val="44"/>
        </w:rPr>
        <w:t>nternational Stock Market Data</w:t>
      </w:r>
    </w:p>
    <w:p w:rsidR="00763E74" w:rsidRPr="009E6823" w:rsidRDefault="00763E74" w:rsidP="00763E74">
      <w:pPr>
        <w:spacing w:line="240" w:lineRule="auto"/>
        <w:rPr>
          <w:sz w:val="32"/>
          <w:szCs w:val="32"/>
        </w:rPr>
      </w:pPr>
    </w:p>
    <w:p w:rsidR="00C97493" w:rsidRPr="009E6823" w:rsidRDefault="009E6823" w:rsidP="009A2EAB">
      <w:pPr>
        <w:pStyle w:val="Title"/>
      </w:pPr>
      <w:r>
        <w:t>Introduction</w:t>
      </w:r>
    </w:p>
    <w:p w:rsidR="00C97493" w:rsidRPr="009E6823" w:rsidRDefault="00C97493" w:rsidP="00763E74">
      <w:pPr>
        <w:spacing w:line="240" w:lineRule="auto"/>
        <w:rPr>
          <w:sz w:val="32"/>
          <w:szCs w:val="32"/>
        </w:rPr>
      </w:pPr>
      <w:r w:rsidRPr="009E6823">
        <w:rPr>
          <w:sz w:val="32"/>
          <w:szCs w:val="32"/>
        </w:rPr>
        <w:t>This section presents a descriptive statistical analysis of the *U.S. International Stock Market* dataset. The aim is to examine the behavior, variability, and relationships among major global stock indices, and to derive meaningful insights for strategic decision-making. The dataset consists of time-series observations from key stock markets across the United States, Europe, Asia, and Latin America.</w:t>
      </w:r>
    </w:p>
    <w:p w:rsidR="00C97493" w:rsidRPr="009E6823" w:rsidRDefault="00C97493" w:rsidP="00763E74">
      <w:pPr>
        <w:spacing w:line="240" w:lineRule="auto"/>
        <w:rPr>
          <w:sz w:val="32"/>
          <w:szCs w:val="32"/>
        </w:rPr>
      </w:pPr>
    </w:p>
    <w:p w:rsidR="00C97493" w:rsidRPr="009E6823" w:rsidRDefault="00C97493" w:rsidP="009A2EAB">
      <w:pPr>
        <w:pStyle w:val="Title"/>
      </w:pPr>
      <w:r w:rsidRPr="009E6823">
        <w:t>Da</w:t>
      </w:r>
      <w:r w:rsidR="009E6823">
        <w:t>ta Description and Preparation</w:t>
      </w:r>
    </w:p>
    <w:p w:rsidR="00C97493" w:rsidRPr="009E6823" w:rsidRDefault="00C97493" w:rsidP="00763E74">
      <w:pPr>
        <w:spacing w:line="240" w:lineRule="auto"/>
        <w:rPr>
          <w:sz w:val="32"/>
          <w:szCs w:val="32"/>
        </w:rPr>
      </w:pPr>
      <w:r w:rsidRPr="009E6823">
        <w:rPr>
          <w:sz w:val="32"/>
          <w:szCs w:val="32"/>
        </w:rPr>
        <w:t>The dataset contains 63 observations and includes seven major stock market indices:</w:t>
      </w:r>
    </w:p>
    <w:p w:rsidR="00C97493" w:rsidRPr="009A2EAB" w:rsidRDefault="00C97493" w:rsidP="009A2EAB">
      <w:pPr>
        <w:pStyle w:val="ListParagraph"/>
        <w:numPr>
          <w:ilvl w:val="0"/>
          <w:numId w:val="3"/>
        </w:numPr>
        <w:spacing w:after="0" w:line="240" w:lineRule="auto"/>
        <w:rPr>
          <w:sz w:val="32"/>
          <w:szCs w:val="32"/>
        </w:rPr>
      </w:pPr>
      <w:r w:rsidRPr="009A2EAB">
        <w:rPr>
          <w:sz w:val="32"/>
          <w:szCs w:val="32"/>
        </w:rPr>
        <w:t>Dow Jones Industrial Average (DJIA)</w:t>
      </w:r>
    </w:p>
    <w:p w:rsidR="00C97493" w:rsidRPr="009A2EAB" w:rsidRDefault="00C97493" w:rsidP="009A2EAB">
      <w:pPr>
        <w:pStyle w:val="ListParagraph"/>
        <w:numPr>
          <w:ilvl w:val="0"/>
          <w:numId w:val="3"/>
        </w:numPr>
        <w:spacing w:after="0" w:line="240" w:lineRule="auto"/>
        <w:rPr>
          <w:sz w:val="32"/>
          <w:szCs w:val="32"/>
        </w:rPr>
      </w:pPr>
      <w:r w:rsidRPr="009A2EAB">
        <w:rPr>
          <w:sz w:val="32"/>
          <w:szCs w:val="32"/>
        </w:rPr>
        <w:t>NASDAQ Composite Index</w:t>
      </w:r>
    </w:p>
    <w:p w:rsidR="00C97493" w:rsidRPr="009A2EAB" w:rsidRDefault="00C97493" w:rsidP="009A2EAB">
      <w:pPr>
        <w:pStyle w:val="ListParagraph"/>
        <w:numPr>
          <w:ilvl w:val="0"/>
          <w:numId w:val="3"/>
        </w:numPr>
        <w:spacing w:after="0" w:line="240" w:lineRule="auto"/>
        <w:rPr>
          <w:sz w:val="32"/>
          <w:szCs w:val="32"/>
        </w:rPr>
      </w:pPr>
      <w:r w:rsidRPr="009A2EAB">
        <w:rPr>
          <w:sz w:val="32"/>
          <w:szCs w:val="32"/>
        </w:rPr>
        <w:t>S&amp;P 500 Index</w:t>
      </w:r>
    </w:p>
    <w:p w:rsidR="00C97493" w:rsidRPr="009A2EAB" w:rsidRDefault="00C97493" w:rsidP="009A2EAB">
      <w:pPr>
        <w:pStyle w:val="ListParagraph"/>
        <w:numPr>
          <w:ilvl w:val="0"/>
          <w:numId w:val="3"/>
        </w:numPr>
        <w:spacing w:after="0" w:line="240" w:lineRule="auto"/>
        <w:rPr>
          <w:sz w:val="32"/>
          <w:szCs w:val="32"/>
        </w:rPr>
      </w:pPr>
      <w:r w:rsidRPr="009A2EAB">
        <w:rPr>
          <w:sz w:val="32"/>
          <w:szCs w:val="32"/>
        </w:rPr>
        <w:t>NIKKEI 225 (Japan)</w:t>
      </w:r>
    </w:p>
    <w:p w:rsidR="00C97493" w:rsidRPr="009A2EAB" w:rsidRDefault="00C97493" w:rsidP="009A2EAB">
      <w:pPr>
        <w:pStyle w:val="ListParagraph"/>
        <w:numPr>
          <w:ilvl w:val="0"/>
          <w:numId w:val="3"/>
        </w:numPr>
        <w:spacing w:after="0" w:line="240" w:lineRule="auto"/>
        <w:rPr>
          <w:sz w:val="32"/>
          <w:szCs w:val="32"/>
        </w:rPr>
      </w:pPr>
      <w:r w:rsidRPr="009A2EAB">
        <w:rPr>
          <w:sz w:val="32"/>
          <w:szCs w:val="32"/>
        </w:rPr>
        <w:t>HANG SENG Index (Hong Kong)</w:t>
      </w:r>
    </w:p>
    <w:p w:rsidR="00C97493" w:rsidRPr="009A2EAB" w:rsidRDefault="00C97493" w:rsidP="009A2EAB">
      <w:pPr>
        <w:pStyle w:val="ListParagraph"/>
        <w:numPr>
          <w:ilvl w:val="0"/>
          <w:numId w:val="3"/>
        </w:numPr>
        <w:spacing w:after="0" w:line="240" w:lineRule="auto"/>
        <w:rPr>
          <w:sz w:val="32"/>
          <w:szCs w:val="32"/>
        </w:rPr>
      </w:pPr>
      <w:r w:rsidRPr="009A2EAB">
        <w:rPr>
          <w:sz w:val="32"/>
          <w:szCs w:val="32"/>
        </w:rPr>
        <w:t>FTSE 100 Index (United Kingdom)</w:t>
      </w:r>
    </w:p>
    <w:p w:rsidR="00C97493" w:rsidRPr="00093E0F" w:rsidRDefault="00C97493" w:rsidP="00093E0F">
      <w:pPr>
        <w:pStyle w:val="ListParagraph"/>
        <w:numPr>
          <w:ilvl w:val="0"/>
          <w:numId w:val="3"/>
        </w:numPr>
        <w:spacing w:after="0" w:line="360" w:lineRule="auto"/>
        <w:rPr>
          <w:sz w:val="32"/>
          <w:szCs w:val="32"/>
        </w:rPr>
      </w:pPr>
      <w:r w:rsidRPr="009A2EAB">
        <w:rPr>
          <w:sz w:val="32"/>
          <w:szCs w:val="32"/>
        </w:rPr>
        <w:t>IPC Index (Mexico)</w:t>
      </w:r>
      <w:bookmarkStart w:id="0" w:name="_GoBack"/>
      <w:bookmarkEnd w:id="0"/>
    </w:p>
    <w:p w:rsidR="00C97493" w:rsidRPr="009E6823" w:rsidRDefault="00C97493" w:rsidP="00763E74">
      <w:pPr>
        <w:spacing w:line="240" w:lineRule="auto"/>
        <w:rPr>
          <w:sz w:val="32"/>
          <w:szCs w:val="32"/>
        </w:rPr>
      </w:pPr>
      <w:r w:rsidRPr="009E6823">
        <w:rPr>
          <w:sz w:val="32"/>
          <w:szCs w:val="32"/>
        </w:rPr>
        <w:t>Data cleaning pro</w:t>
      </w:r>
      <w:r w:rsidR="00763E74">
        <w:rPr>
          <w:sz w:val="32"/>
          <w:szCs w:val="32"/>
        </w:rPr>
        <w:t>cedures involved:</w:t>
      </w:r>
    </w:p>
    <w:p w:rsidR="00C97493" w:rsidRPr="009A2EAB" w:rsidRDefault="00C97493" w:rsidP="009A2EAB">
      <w:pPr>
        <w:pStyle w:val="ListParagraph"/>
        <w:numPr>
          <w:ilvl w:val="0"/>
          <w:numId w:val="5"/>
        </w:numPr>
        <w:spacing w:after="0" w:line="240" w:lineRule="auto"/>
        <w:rPr>
          <w:sz w:val="32"/>
          <w:szCs w:val="32"/>
        </w:rPr>
      </w:pPr>
      <w:r w:rsidRPr="009A2EAB">
        <w:rPr>
          <w:sz w:val="32"/>
          <w:szCs w:val="32"/>
        </w:rPr>
        <w:t>Removal of empty and irrelevant columns</w:t>
      </w:r>
    </w:p>
    <w:p w:rsidR="00C97493" w:rsidRPr="009A2EAB" w:rsidRDefault="00C97493" w:rsidP="009A2EAB">
      <w:pPr>
        <w:pStyle w:val="ListParagraph"/>
        <w:numPr>
          <w:ilvl w:val="0"/>
          <w:numId w:val="5"/>
        </w:numPr>
        <w:spacing w:after="0" w:line="240" w:lineRule="auto"/>
        <w:rPr>
          <w:sz w:val="32"/>
          <w:szCs w:val="32"/>
        </w:rPr>
      </w:pPr>
      <w:r w:rsidRPr="009A2EAB">
        <w:rPr>
          <w:sz w:val="32"/>
          <w:szCs w:val="32"/>
        </w:rPr>
        <w:lastRenderedPageBreak/>
        <w:t>Conversion of all variables into numeric format</w:t>
      </w:r>
    </w:p>
    <w:p w:rsidR="00C97493" w:rsidRPr="009A2EAB" w:rsidRDefault="00C97493" w:rsidP="009A2EAB">
      <w:pPr>
        <w:pStyle w:val="ListParagraph"/>
        <w:numPr>
          <w:ilvl w:val="0"/>
          <w:numId w:val="5"/>
        </w:numPr>
        <w:spacing w:after="0" w:line="240" w:lineRule="auto"/>
        <w:rPr>
          <w:sz w:val="32"/>
          <w:szCs w:val="32"/>
        </w:rPr>
      </w:pPr>
      <w:r w:rsidRPr="009A2EAB">
        <w:rPr>
          <w:sz w:val="32"/>
          <w:szCs w:val="32"/>
        </w:rPr>
        <w:t xml:space="preserve">Verification of </w:t>
      </w:r>
      <w:r w:rsidR="00763E74" w:rsidRPr="009A2EAB">
        <w:rPr>
          <w:sz w:val="32"/>
          <w:szCs w:val="32"/>
        </w:rPr>
        <w:t>consistency across observation</w:t>
      </w:r>
    </w:p>
    <w:p w:rsidR="009A2EAB" w:rsidRPr="009A2EAB" w:rsidRDefault="009A2EAB" w:rsidP="009A2EAB">
      <w:pPr>
        <w:numPr>
          <w:ilvl w:val="0"/>
          <w:numId w:val="5"/>
        </w:numPr>
        <w:spacing w:after="0" w:line="240" w:lineRule="auto"/>
        <w:rPr>
          <w:sz w:val="32"/>
          <w:szCs w:val="32"/>
        </w:rPr>
      </w:pPr>
      <w:r w:rsidRPr="009A2EAB">
        <w:rPr>
          <w:sz w:val="32"/>
          <w:szCs w:val="32"/>
        </w:rPr>
        <w:t>Conversion of date from numeric into date format</w:t>
      </w:r>
    </w:p>
    <w:p w:rsidR="00C97493" w:rsidRPr="009E6823" w:rsidRDefault="00C97493" w:rsidP="00763E74">
      <w:pPr>
        <w:spacing w:line="240" w:lineRule="auto"/>
        <w:rPr>
          <w:sz w:val="32"/>
          <w:szCs w:val="32"/>
        </w:rPr>
      </w:pPr>
    </w:p>
    <w:p w:rsidR="00C97493" w:rsidRPr="009E6823" w:rsidRDefault="00763E74" w:rsidP="009A2EAB">
      <w:pPr>
        <w:pStyle w:val="Title"/>
      </w:pPr>
      <w:r>
        <w:t>Descriptive Statistics</w:t>
      </w:r>
    </w:p>
    <w:p w:rsidR="00C97493" w:rsidRPr="009E6823" w:rsidRDefault="00C97493" w:rsidP="00763E74">
      <w:pPr>
        <w:spacing w:line="240" w:lineRule="auto"/>
        <w:rPr>
          <w:sz w:val="32"/>
          <w:szCs w:val="32"/>
        </w:rPr>
      </w:pPr>
      <w:r w:rsidRPr="009E6823">
        <w:rPr>
          <w:sz w:val="32"/>
          <w:szCs w:val="32"/>
        </w:rPr>
        <w:t>Descriptive measures such as mean, minimum, maximum, and standard deviation were computed to summarize the distribution</w:t>
      </w:r>
      <w:r w:rsidR="00763E74">
        <w:rPr>
          <w:sz w:val="32"/>
          <w:szCs w:val="32"/>
        </w:rPr>
        <w:t xml:space="preserve"> and variability of each index.</w:t>
      </w:r>
    </w:p>
    <w:p w:rsidR="00BF3B11" w:rsidRPr="00BF3B11" w:rsidRDefault="00BF3B11" w:rsidP="00BF3B11">
      <w:pPr>
        <w:spacing w:line="240" w:lineRule="auto"/>
        <w:rPr>
          <w:sz w:val="32"/>
          <w:szCs w:val="32"/>
        </w:rPr>
      </w:pPr>
      <w:r w:rsidRPr="00BF3B11">
        <w:rPr>
          <w:sz w:val="32"/>
          <w:szCs w:val="32"/>
        </w:rPr>
        <w:t>It can be seen from the analysis that all indices show noticeable variation during the given period of time, implying variations within the global financial markets. Thus, for example, the highest value of the standard deviation is registered in relation to the IPC (Mexico) index compared to other indices, implying increased volatility and risk. On the other hand, indices of the U.S. showed stable and gradually rising tendencies, which is a sign of economic growth.</w:t>
      </w:r>
    </w:p>
    <w:p w:rsidR="00C97493" w:rsidRPr="009E6823" w:rsidRDefault="00BF3B11" w:rsidP="00BF3B11">
      <w:pPr>
        <w:spacing w:line="240" w:lineRule="auto"/>
        <w:rPr>
          <w:sz w:val="32"/>
          <w:szCs w:val="32"/>
        </w:rPr>
      </w:pPr>
      <w:r w:rsidRPr="00BF3B11">
        <w:rPr>
          <w:sz w:val="32"/>
          <w:szCs w:val="32"/>
        </w:rPr>
        <w:t>Thus, the range of minimum and maximum values of all indices shows signs of both falls and rises of the indices.</w:t>
      </w:r>
    </w:p>
    <w:p w:rsidR="00C97493" w:rsidRPr="009E6823" w:rsidRDefault="00763E74" w:rsidP="009A2EAB">
      <w:pPr>
        <w:pStyle w:val="Title"/>
      </w:pPr>
      <w:r>
        <w:t>Correlation Analysis</w:t>
      </w:r>
    </w:p>
    <w:p w:rsidR="00C97493" w:rsidRPr="009E6823" w:rsidRDefault="00C97493" w:rsidP="00093E0F">
      <w:pPr>
        <w:spacing w:after="0" w:line="240" w:lineRule="auto"/>
        <w:rPr>
          <w:sz w:val="32"/>
          <w:szCs w:val="32"/>
        </w:rPr>
      </w:pPr>
      <w:r w:rsidRPr="009E6823">
        <w:rPr>
          <w:sz w:val="32"/>
          <w:szCs w:val="32"/>
        </w:rPr>
        <w:t>To examine the relationships between the different stock markets, a correlation matrix was computed.</w:t>
      </w:r>
    </w:p>
    <w:p w:rsidR="00C97493" w:rsidRPr="009E6823" w:rsidRDefault="00C97493" w:rsidP="00093E0F">
      <w:pPr>
        <w:spacing w:after="0" w:line="240" w:lineRule="auto"/>
        <w:rPr>
          <w:sz w:val="32"/>
          <w:szCs w:val="32"/>
        </w:rPr>
      </w:pPr>
      <w:r w:rsidRPr="009E6823">
        <w:rPr>
          <w:sz w:val="32"/>
          <w:szCs w:val="32"/>
        </w:rPr>
        <w:t>The results indicate very strong positive corre</w:t>
      </w:r>
      <w:r w:rsidR="00763E74">
        <w:rPr>
          <w:sz w:val="32"/>
          <w:szCs w:val="32"/>
        </w:rPr>
        <w:t>lations among the U.S. indices:</w:t>
      </w:r>
    </w:p>
    <w:p w:rsidR="00C97493" w:rsidRPr="009A2EAB" w:rsidRDefault="00C97493" w:rsidP="009A2EAB">
      <w:pPr>
        <w:pStyle w:val="ListParagraph"/>
        <w:numPr>
          <w:ilvl w:val="0"/>
          <w:numId w:val="2"/>
        </w:numPr>
        <w:spacing w:line="240" w:lineRule="auto"/>
        <w:rPr>
          <w:sz w:val="32"/>
          <w:szCs w:val="32"/>
        </w:rPr>
      </w:pPr>
      <w:r w:rsidRPr="009A2EAB">
        <w:rPr>
          <w:sz w:val="32"/>
          <w:szCs w:val="32"/>
        </w:rPr>
        <w:t>DJIA and S&amp;P 500 exhibit near-perfect correlation</w:t>
      </w:r>
    </w:p>
    <w:p w:rsidR="00C97493" w:rsidRPr="009A2EAB" w:rsidRDefault="00C97493" w:rsidP="009A2EAB">
      <w:pPr>
        <w:pStyle w:val="ListParagraph"/>
        <w:numPr>
          <w:ilvl w:val="0"/>
          <w:numId w:val="2"/>
        </w:numPr>
        <w:spacing w:line="240" w:lineRule="auto"/>
        <w:rPr>
          <w:sz w:val="32"/>
          <w:szCs w:val="32"/>
        </w:rPr>
      </w:pPr>
      <w:r w:rsidRPr="009A2EAB">
        <w:rPr>
          <w:sz w:val="32"/>
          <w:szCs w:val="32"/>
        </w:rPr>
        <w:t>NASDAQ is also high</w:t>
      </w:r>
      <w:r w:rsidR="00763E74" w:rsidRPr="009A2EAB">
        <w:rPr>
          <w:sz w:val="32"/>
          <w:szCs w:val="32"/>
        </w:rPr>
        <w:t>ly correlated with both indices</w:t>
      </w:r>
    </w:p>
    <w:p w:rsidR="00C97493" w:rsidRPr="009E6823" w:rsidRDefault="00C97493" w:rsidP="00763E74">
      <w:pPr>
        <w:spacing w:line="240" w:lineRule="auto"/>
        <w:rPr>
          <w:sz w:val="32"/>
          <w:szCs w:val="32"/>
        </w:rPr>
      </w:pPr>
      <w:r w:rsidRPr="009E6823">
        <w:rPr>
          <w:sz w:val="32"/>
          <w:szCs w:val="32"/>
        </w:rPr>
        <w:t>Additionally, the FTSE 100 (UK) shows a strong positive correlation with U.S. markets, suggesting close economic and financial linkages between the U.S. and Europe.</w:t>
      </w:r>
    </w:p>
    <w:p w:rsidR="00C97493" w:rsidRPr="009E6823" w:rsidRDefault="00C97493" w:rsidP="00763E74">
      <w:pPr>
        <w:spacing w:line="240" w:lineRule="auto"/>
        <w:rPr>
          <w:sz w:val="32"/>
          <w:szCs w:val="32"/>
        </w:rPr>
      </w:pPr>
      <w:r w:rsidRPr="009E6823">
        <w:rPr>
          <w:sz w:val="32"/>
          <w:szCs w:val="32"/>
        </w:rPr>
        <w:lastRenderedPageBreak/>
        <w:t>Asian markets, represented by the NIKKEI 225 and HANG SENG, also demonstrate strong positive relationships with U.S. indices, although slightly weaker than those observed wi</w:t>
      </w:r>
      <w:r w:rsidR="00763E74">
        <w:rPr>
          <w:sz w:val="32"/>
          <w:szCs w:val="32"/>
        </w:rPr>
        <w:t>thin developed Western markets.</w:t>
      </w:r>
    </w:p>
    <w:p w:rsidR="00C97493" w:rsidRDefault="00C97493" w:rsidP="00763E74">
      <w:pPr>
        <w:spacing w:line="240" w:lineRule="auto"/>
        <w:rPr>
          <w:sz w:val="32"/>
          <w:szCs w:val="32"/>
        </w:rPr>
      </w:pPr>
      <w:r w:rsidRPr="009E6823">
        <w:rPr>
          <w:sz w:val="32"/>
          <w:szCs w:val="32"/>
        </w:rPr>
        <w:t>The IPC (Mexico), representing an emerging market, shows moderate to strong correlations with global indices, indicating that while it is influenced by global trends, it reta</w:t>
      </w:r>
      <w:r w:rsidR="00763E74">
        <w:rPr>
          <w:sz w:val="32"/>
          <w:szCs w:val="32"/>
        </w:rPr>
        <w:t>ins some level of independence.</w:t>
      </w:r>
    </w:p>
    <w:p w:rsidR="00763E74" w:rsidRPr="009E6823" w:rsidRDefault="00763E74" w:rsidP="00763E74">
      <w:pPr>
        <w:spacing w:line="240" w:lineRule="auto"/>
        <w:rPr>
          <w:sz w:val="32"/>
          <w:szCs w:val="32"/>
        </w:rPr>
      </w:pPr>
    </w:p>
    <w:p w:rsidR="00C97493" w:rsidRPr="009E6823" w:rsidRDefault="00763E74" w:rsidP="009A2EAB">
      <w:pPr>
        <w:pStyle w:val="Title"/>
      </w:pPr>
      <w:r>
        <w:t>Key Findings and Insights</w:t>
      </w:r>
    </w:p>
    <w:p w:rsidR="00C97493" w:rsidRPr="009E6823" w:rsidRDefault="00763E74" w:rsidP="009A2EAB">
      <w:pPr>
        <w:pStyle w:val="Subtitle"/>
      </w:pPr>
      <w:r>
        <w:t>High Global Market Integration</w:t>
      </w:r>
    </w:p>
    <w:p w:rsidR="00C97493" w:rsidRPr="009E6823" w:rsidRDefault="00C97493" w:rsidP="00763E74">
      <w:pPr>
        <w:spacing w:line="240" w:lineRule="auto"/>
        <w:rPr>
          <w:sz w:val="32"/>
          <w:szCs w:val="32"/>
        </w:rPr>
      </w:pPr>
      <w:r w:rsidRPr="009E6823">
        <w:rPr>
          <w:sz w:val="32"/>
          <w:szCs w:val="32"/>
        </w:rPr>
        <w:t>The strong positive correlations across most indices suggest a high level of interdependence among global financial markets. This implies that shocks or trends in one major market, particularly the United States, are likely to affect other markets.</w:t>
      </w:r>
    </w:p>
    <w:p w:rsidR="00C97493" w:rsidRPr="009E6823" w:rsidRDefault="00763E74" w:rsidP="009A2EAB">
      <w:pPr>
        <w:pStyle w:val="Subtitle"/>
      </w:pPr>
      <w:r>
        <w:t>Dominance of the U.S. Market</w:t>
      </w:r>
    </w:p>
    <w:p w:rsidR="00C97493" w:rsidRPr="009E6823" w:rsidRDefault="00C97493" w:rsidP="00763E74">
      <w:pPr>
        <w:spacing w:line="240" w:lineRule="auto"/>
        <w:rPr>
          <w:sz w:val="32"/>
          <w:szCs w:val="32"/>
        </w:rPr>
      </w:pPr>
      <w:r w:rsidRPr="009E6823">
        <w:rPr>
          <w:sz w:val="32"/>
          <w:szCs w:val="32"/>
        </w:rPr>
        <w:t>U.S. stock indices demonstrate strong relationships with all other markets, indicating that the U.S. economy plays a central role in influencing global financial performance.</w:t>
      </w:r>
    </w:p>
    <w:p w:rsidR="00C97493" w:rsidRPr="009E6823" w:rsidRDefault="00C97493" w:rsidP="009A2EAB">
      <w:pPr>
        <w:pStyle w:val="Subtitle"/>
      </w:pPr>
      <w:r w:rsidRPr="009E6823">
        <w:t>Limited Benefits of Geographic</w:t>
      </w:r>
      <w:r w:rsidR="00763E74">
        <w:t xml:space="preserve"> Diversification</w:t>
      </w:r>
    </w:p>
    <w:p w:rsidR="00763E74" w:rsidRDefault="00C97493" w:rsidP="00763E74">
      <w:pPr>
        <w:spacing w:line="240" w:lineRule="auto"/>
        <w:rPr>
          <w:sz w:val="32"/>
          <w:szCs w:val="32"/>
        </w:rPr>
      </w:pPr>
      <w:r w:rsidRPr="009E6823">
        <w:rPr>
          <w:sz w:val="32"/>
          <w:szCs w:val="32"/>
        </w:rPr>
        <w:t>Given the high correlations among markets, diversification across these stock indices alone may not significantly reduce investment risk. Investors may need to diversify across d</w:t>
      </w:r>
      <w:r w:rsidR="00763E74">
        <w:rPr>
          <w:sz w:val="32"/>
          <w:szCs w:val="32"/>
        </w:rPr>
        <w:t>ifferent asset classes instead.</w:t>
      </w:r>
    </w:p>
    <w:p w:rsidR="00C97493" w:rsidRDefault="00C97493" w:rsidP="009A2EAB">
      <w:pPr>
        <w:pStyle w:val="Subtitle"/>
      </w:pPr>
      <w:r w:rsidRPr="009E6823">
        <w:t>Higher Volati</w:t>
      </w:r>
      <w:r w:rsidR="00763E74">
        <w:t>lity in Emerging Markets</w:t>
      </w:r>
    </w:p>
    <w:p w:rsidR="00BF3B11" w:rsidRPr="009E6823" w:rsidRDefault="00BF3B11" w:rsidP="00763E74">
      <w:pPr>
        <w:spacing w:line="240" w:lineRule="auto"/>
        <w:rPr>
          <w:sz w:val="32"/>
          <w:szCs w:val="32"/>
        </w:rPr>
      </w:pPr>
      <w:r w:rsidRPr="00BF3B11">
        <w:rPr>
          <w:sz w:val="32"/>
          <w:szCs w:val="32"/>
        </w:rPr>
        <w:t>Greater fluctuations are seen in the case of the IPC Index in comparison with developed countries due to the increased risk-reward relationship inherent in emerging nations.</w:t>
      </w:r>
    </w:p>
    <w:p w:rsidR="00C97493" w:rsidRDefault="00C97493" w:rsidP="009A2EAB">
      <w:pPr>
        <w:pStyle w:val="Subtitle"/>
      </w:pPr>
      <w:r w:rsidRPr="009E6823">
        <w:lastRenderedPageBreak/>
        <w:t xml:space="preserve">Strong Link </w:t>
      </w:r>
      <w:proofErr w:type="gramStart"/>
      <w:r w:rsidRPr="009E6823">
        <w:t>Bet</w:t>
      </w:r>
      <w:r w:rsidR="00763E74">
        <w:t>ween</w:t>
      </w:r>
      <w:proofErr w:type="gramEnd"/>
      <w:r w:rsidR="00763E74">
        <w:t xml:space="preserve"> U.S. and European Markets</w:t>
      </w:r>
    </w:p>
    <w:p w:rsidR="00BF3B11" w:rsidRPr="009E6823" w:rsidRDefault="00BF3B11" w:rsidP="00763E74">
      <w:pPr>
        <w:spacing w:line="240" w:lineRule="auto"/>
        <w:rPr>
          <w:sz w:val="32"/>
          <w:szCs w:val="32"/>
        </w:rPr>
      </w:pPr>
      <w:r w:rsidRPr="00BF3B11">
        <w:rPr>
          <w:sz w:val="32"/>
          <w:szCs w:val="32"/>
        </w:rPr>
        <w:t>The high positive correlation existing between the FTSE 100 Index and the indices of the United States suggests that movements in both are highly correlated.</w:t>
      </w:r>
    </w:p>
    <w:p w:rsidR="00C97493" w:rsidRPr="009E6823" w:rsidRDefault="00C97493" w:rsidP="00763E74">
      <w:pPr>
        <w:spacing w:line="240" w:lineRule="auto"/>
        <w:rPr>
          <w:sz w:val="32"/>
          <w:szCs w:val="32"/>
        </w:rPr>
      </w:pPr>
    </w:p>
    <w:p w:rsidR="00C97493" w:rsidRPr="009E6823" w:rsidRDefault="00763E74" w:rsidP="009A2EAB">
      <w:pPr>
        <w:pStyle w:val="Title"/>
      </w:pPr>
      <w:r>
        <w:t>Graphical Representation</w:t>
      </w:r>
    </w:p>
    <w:p w:rsidR="00C97493" w:rsidRPr="009E6823" w:rsidRDefault="00C97493" w:rsidP="00763E74">
      <w:pPr>
        <w:spacing w:line="240" w:lineRule="auto"/>
        <w:rPr>
          <w:sz w:val="32"/>
          <w:szCs w:val="32"/>
        </w:rPr>
      </w:pPr>
      <w:r w:rsidRPr="009E6823">
        <w:rPr>
          <w:sz w:val="32"/>
          <w:szCs w:val="32"/>
        </w:rPr>
        <w:t>Graphical tools were used to enhance understanding of the data:</w:t>
      </w:r>
    </w:p>
    <w:p w:rsidR="00C97493" w:rsidRPr="009A2EAB" w:rsidRDefault="00763E74" w:rsidP="009A2EAB">
      <w:pPr>
        <w:pStyle w:val="ListParagraph"/>
        <w:numPr>
          <w:ilvl w:val="0"/>
          <w:numId w:val="1"/>
        </w:numPr>
        <w:spacing w:after="0" w:line="240" w:lineRule="auto"/>
        <w:rPr>
          <w:sz w:val="32"/>
          <w:szCs w:val="32"/>
        </w:rPr>
      </w:pPr>
      <w:r w:rsidRPr="009A2EAB">
        <w:rPr>
          <w:sz w:val="32"/>
          <w:szCs w:val="32"/>
        </w:rPr>
        <w:t xml:space="preserve">Line charts - </w:t>
      </w:r>
      <w:r w:rsidR="00C97493" w:rsidRPr="009A2EAB">
        <w:rPr>
          <w:sz w:val="32"/>
          <w:szCs w:val="32"/>
        </w:rPr>
        <w:t>illustrated trends and co-movement of stock indices over time</w:t>
      </w:r>
    </w:p>
    <w:p w:rsidR="00C97493" w:rsidRPr="009A2EAB" w:rsidRDefault="00763E74" w:rsidP="009A2EAB">
      <w:pPr>
        <w:pStyle w:val="ListParagraph"/>
        <w:numPr>
          <w:ilvl w:val="0"/>
          <w:numId w:val="1"/>
        </w:numPr>
        <w:spacing w:after="0" w:line="240" w:lineRule="auto"/>
        <w:rPr>
          <w:sz w:val="32"/>
          <w:szCs w:val="32"/>
        </w:rPr>
      </w:pPr>
      <w:r w:rsidRPr="009A2EAB">
        <w:rPr>
          <w:sz w:val="32"/>
          <w:szCs w:val="32"/>
        </w:rPr>
        <w:t xml:space="preserve">Correlation </w:t>
      </w:r>
      <w:proofErr w:type="spellStart"/>
      <w:r w:rsidRPr="009A2EAB">
        <w:rPr>
          <w:sz w:val="32"/>
          <w:szCs w:val="32"/>
        </w:rPr>
        <w:t>heatmaps</w:t>
      </w:r>
      <w:proofErr w:type="spellEnd"/>
      <w:r w:rsidRPr="009A2EAB">
        <w:rPr>
          <w:sz w:val="32"/>
          <w:szCs w:val="32"/>
        </w:rPr>
        <w:t xml:space="preserve"> -</w:t>
      </w:r>
      <w:r w:rsidR="00C97493" w:rsidRPr="009A2EAB">
        <w:rPr>
          <w:sz w:val="32"/>
          <w:szCs w:val="32"/>
        </w:rPr>
        <w:t xml:space="preserve"> visually represented the strength of relationships between variables</w:t>
      </w:r>
    </w:p>
    <w:p w:rsidR="00C97493" w:rsidRPr="009A2EAB" w:rsidRDefault="00763E74" w:rsidP="009A2EAB">
      <w:pPr>
        <w:pStyle w:val="ListParagraph"/>
        <w:numPr>
          <w:ilvl w:val="0"/>
          <w:numId w:val="1"/>
        </w:numPr>
        <w:spacing w:after="0" w:line="240" w:lineRule="auto"/>
        <w:rPr>
          <w:sz w:val="32"/>
          <w:szCs w:val="32"/>
        </w:rPr>
      </w:pPr>
      <w:r w:rsidRPr="009A2EAB">
        <w:rPr>
          <w:sz w:val="32"/>
          <w:szCs w:val="32"/>
        </w:rPr>
        <w:t>Box plots -</w:t>
      </w:r>
      <w:r w:rsidR="00C97493" w:rsidRPr="009A2EAB">
        <w:rPr>
          <w:sz w:val="32"/>
          <w:szCs w:val="32"/>
        </w:rPr>
        <w:t xml:space="preserve"> highlighted differences in variability and distribution across markets</w:t>
      </w:r>
    </w:p>
    <w:p w:rsidR="00C97493" w:rsidRPr="009A2EAB" w:rsidRDefault="00763E74" w:rsidP="009A2EAB">
      <w:pPr>
        <w:pStyle w:val="ListParagraph"/>
        <w:numPr>
          <w:ilvl w:val="0"/>
          <w:numId w:val="1"/>
        </w:numPr>
        <w:spacing w:after="0" w:line="240" w:lineRule="auto"/>
        <w:rPr>
          <w:sz w:val="32"/>
          <w:szCs w:val="32"/>
        </w:rPr>
      </w:pPr>
      <w:r w:rsidRPr="009A2EAB">
        <w:rPr>
          <w:sz w:val="32"/>
          <w:szCs w:val="32"/>
        </w:rPr>
        <w:t>Histograms -</w:t>
      </w:r>
      <w:r w:rsidR="00C97493" w:rsidRPr="009A2EAB">
        <w:rPr>
          <w:sz w:val="32"/>
          <w:szCs w:val="32"/>
        </w:rPr>
        <w:t xml:space="preserve"> showed the distribution</w:t>
      </w:r>
      <w:r w:rsidRPr="009A2EAB">
        <w:rPr>
          <w:sz w:val="32"/>
          <w:szCs w:val="32"/>
        </w:rPr>
        <w:t xml:space="preserve"> patterns of individual indices</w:t>
      </w:r>
    </w:p>
    <w:p w:rsidR="00C97493" w:rsidRPr="009E6823" w:rsidRDefault="00C97493" w:rsidP="00763E74">
      <w:pPr>
        <w:spacing w:line="240" w:lineRule="auto"/>
        <w:rPr>
          <w:sz w:val="32"/>
          <w:szCs w:val="32"/>
        </w:rPr>
      </w:pPr>
      <w:r w:rsidRPr="009E6823">
        <w:rPr>
          <w:sz w:val="32"/>
          <w:szCs w:val="32"/>
        </w:rPr>
        <w:t>These visualizations confirm the presence of strong relationships and similar movement patterns across global markets.</w:t>
      </w:r>
    </w:p>
    <w:p w:rsidR="00C97493" w:rsidRPr="009E6823" w:rsidRDefault="00C97493" w:rsidP="00763E74">
      <w:pPr>
        <w:spacing w:line="240" w:lineRule="auto"/>
        <w:rPr>
          <w:sz w:val="32"/>
          <w:szCs w:val="32"/>
        </w:rPr>
      </w:pPr>
    </w:p>
    <w:p w:rsidR="00C97493" w:rsidRPr="009E6823" w:rsidRDefault="00763E74" w:rsidP="009A2EAB">
      <w:pPr>
        <w:pStyle w:val="Title"/>
      </w:pPr>
      <w:r>
        <w:t>Conclusion</w:t>
      </w:r>
    </w:p>
    <w:p w:rsidR="00BF3B11" w:rsidRPr="00BF3B11" w:rsidRDefault="00BF3B11" w:rsidP="00BF3B11">
      <w:pPr>
        <w:spacing w:line="240" w:lineRule="auto"/>
        <w:rPr>
          <w:sz w:val="32"/>
          <w:szCs w:val="32"/>
        </w:rPr>
      </w:pPr>
      <w:r w:rsidRPr="00BF3B11">
        <w:rPr>
          <w:sz w:val="32"/>
          <w:szCs w:val="32"/>
        </w:rPr>
        <w:t>From the descriptive analysis of the U.S. International Stock Market data, it is clear that there are many links between international financial markets. It is evident from the study that the U.S. market is dominant, the level of synchronization between developed markets is high, and emerging markets tend to be more volatile.</w:t>
      </w:r>
    </w:p>
    <w:p w:rsidR="00763E74" w:rsidRPr="009E6823" w:rsidRDefault="00BF3B11" w:rsidP="00BF3B11">
      <w:pPr>
        <w:spacing w:line="240" w:lineRule="auto"/>
        <w:rPr>
          <w:sz w:val="32"/>
          <w:szCs w:val="32"/>
        </w:rPr>
      </w:pPr>
      <w:r w:rsidRPr="00BF3B11">
        <w:rPr>
          <w:sz w:val="32"/>
          <w:szCs w:val="32"/>
        </w:rPr>
        <w:t xml:space="preserve">It is important for investors, policy makers, and financial managers to understand these aspects since it is necessary to factor in international </w:t>
      </w:r>
      <w:r w:rsidRPr="00BF3B11">
        <w:rPr>
          <w:sz w:val="32"/>
          <w:szCs w:val="32"/>
        </w:rPr>
        <w:lastRenderedPageBreak/>
        <w:t>linkages while making investments. In addition, the need for diversified risk management cannot be underestimated.</w:t>
      </w:r>
    </w:p>
    <w:sectPr w:rsidR="00763E74" w:rsidRPr="009E68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FE50121"/>
    <w:multiLevelType w:val="hybridMultilevel"/>
    <w:tmpl w:val="FE081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A6A6FF1"/>
    <w:multiLevelType w:val="hybridMultilevel"/>
    <w:tmpl w:val="90523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63A62E8"/>
    <w:multiLevelType w:val="hybridMultilevel"/>
    <w:tmpl w:val="32E00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B571010"/>
    <w:multiLevelType w:val="hybridMultilevel"/>
    <w:tmpl w:val="D6447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E4325B7"/>
    <w:multiLevelType w:val="hybridMultilevel"/>
    <w:tmpl w:val="4470E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7493"/>
    <w:rsid w:val="00093E0F"/>
    <w:rsid w:val="00763E74"/>
    <w:rsid w:val="009A2EAB"/>
    <w:rsid w:val="009E6823"/>
    <w:rsid w:val="00BF3B11"/>
    <w:rsid w:val="00C97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A2EA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EAB"/>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9A2EA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A2EAB"/>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9A2EAB"/>
    <w:pPr>
      <w:ind w:left="720"/>
      <w:contextualSpacing/>
    </w:pPr>
  </w:style>
  <w:style w:type="paragraph" w:styleId="Subtitle">
    <w:name w:val="Subtitle"/>
    <w:basedOn w:val="Normal"/>
    <w:next w:val="Normal"/>
    <w:link w:val="SubtitleChar"/>
    <w:uiPriority w:val="11"/>
    <w:qFormat/>
    <w:rsid w:val="009A2EA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9A2EAB"/>
    <w:rPr>
      <w:rFonts w:asciiTheme="majorHAnsi" w:eastAsiaTheme="majorEastAsia" w:hAnsiTheme="majorHAnsi" w:cstheme="majorBidi"/>
      <w:i/>
      <w:iCs/>
      <w:color w:val="4F81BD" w:themeColor="accent1"/>
      <w:spacing w:val="15"/>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A2EA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EAB"/>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9A2EA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A2EAB"/>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9A2EAB"/>
    <w:pPr>
      <w:ind w:left="720"/>
      <w:contextualSpacing/>
    </w:pPr>
  </w:style>
  <w:style w:type="paragraph" w:styleId="Subtitle">
    <w:name w:val="Subtitle"/>
    <w:basedOn w:val="Normal"/>
    <w:next w:val="Normal"/>
    <w:link w:val="SubtitleChar"/>
    <w:uiPriority w:val="11"/>
    <w:qFormat/>
    <w:rsid w:val="009A2EA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9A2EAB"/>
    <w:rPr>
      <w:rFonts w:asciiTheme="majorHAnsi" w:eastAsiaTheme="majorEastAsia" w:hAnsiTheme="majorHAnsi" w:cstheme="majorBidi"/>
      <w:i/>
      <w:iCs/>
      <w:color w:val="4F81BD" w:themeColor="accent1"/>
      <w:spacing w:val="15"/>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5</Pages>
  <Words>739</Words>
  <Characters>4218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LEGACY CYBER CAFE</dc:creator>
  <cp:lastModifiedBy>LEGACY CYBER CAFE</cp:lastModifiedBy>
  <cp:revision>4</cp:revision>
  <dcterms:created xsi:type="dcterms:W3CDTF">2026-04-18T18:55:00Z</dcterms:created>
  <dcterms:modified xsi:type="dcterms:W3CDTF">2026-04-18T20:17:00Z</dcterms:modified>
</cp:coreProperties>
</file>