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178"/>
      </w:pPr>
    </w:p>
    <w:p>
      <w:pPr>
        <w:pStyle w:val="Heading2"/>
      </w:pPr>
      <w:r>
        <w:rPr>
          <w:spacing w:val="-2"/>
        </w:rPr>
        <w:t>Introduction: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right="1153"/>
      </w:pPr>
      <w:r>
        <w:rPr/>
        <w:t>Agricultural</w:t>
      </w:r>
      <w:r>
        <w:rPr>
          <w:spacing w:val="-4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vital</w:t>
      </w:r>
      <w:r>
        <w:rPr>
          <w:spacing w:val="-4"/>
        </w:rPr>
        <w:t> </w:t>
      </w:r>
      <w:r>
        <w:rPr/>
        <w:t>lens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understand</w:t>
      </w:r>
      <w:r>
        <w:rPr>
          <w:spacing w:val="-4"/>
        </w:rPr>
        <w:t> </w:t>
      </w:r>
      <w:r>
        <w:rPr/>
        <w:t>food</w:t>
      </w:r>
      <w:r>
        <w:rPr>
          <w:spacing w:val="-4"/>
        </w:rPr>
        <w:t> </w:t>
      </w:r>
      <w:r>
        <w:rPr/>
        <w:t>supply</w:t>
      </w:r>
      <w:r>
        <w:rPr/>
        <w:t> dynamics,</w:t>
      </w:r>
      <w:r>
        <w:rPr>
          <w:spacing w:val="-3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allocation,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behavior.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dataset</w:t>
      </w:r>
      <w:r>
        <w:rPr>
          <w:spacing w:val="-3"/>
        </w:rPr>
        <w:t> </w:t>
      </w:r>
      <w:r>
        <w:rPr/>
        <w:t>under</w:t>
      </w:r>
      <w:r>
        <w:rPr>
          <w:spacing w:val="-5"/>
        </w:rPr>
        <w:t> </w:t>
      </w:r>
      <w:r>
        <w:rPr/>
        <w:t>review</w:t>
      </w:r>
      <w:r>
        <w:rPr>
          <w:spacing w:val="-4"/>
        </w:rPr>
        <w:t> </w:t>
      </w:r>
      <w:r>
        <w:rPr/>
        <w:t>captures</w:t>
      </w:r>
      <w:r>
        <w:rPr>
          <w:spacing w:val="-3"/>
        </w:rPr>
        <w:t> </w:t>
      </w:r>
      <w:r>
        <w:rPr/>
        <w:t>monthly</w:t>
      </w:r>
      <w:r>
        <w:rPr/>
        <w:t> volumes of six major crops :Green Beans, Broccoli, Carrots, Corn, Onions, and Green Pea</w:t>
      </w:r>
      <w:r>
        <w:rPr/>
        <w:t>s</w:t>
      </w:r>
      <w:r>
        <w:rPr/>
        <w:t> alongside the aggregate measure of total vegetables produced. Spanning 168 months, this </w:t>
      </w:r>
      <w:r>
        <w:rPr/>
        <w:t>rich</w:t>
      </w:r>
      <w:r>
        <w:rPr/>
        <w:t> time series offers a comprehensive view of output fluctuations, seasonal cycles, and long-ter</w:t>
      </w:r>
      <w:r>
        <w:rPr/>
        <w:t>m</w:t>
      </w:r>
      <w:r>
        <w:rPr/>
        <w:t> growth patterns. By transforming raw figures into structured insights, we can better apprec</w:t>
      </w:r>
      <w:r>
        <w:rPr/>
        <w:t>iate</w:t>
      </w:r>
      <w:r>
        <w:rPr/>
        <w:t> the</w:t>
      </w:r>
      <w:r>
        <w:rPr>
          <w:spacing w:val="-3"/>
        </w:rPr>
        <w:t> </w:t>
      </w:r>
      <w:r>
        <w:rPr/>
        <w:t>underlying</w:t>
      </w:r>
      <w:r>
        <w:rPr>
          <w:spacing w:val="-3"/>
        </w:rPr>
        <w:t> </w:t>
      </w:r>
      <w:r>
        <w:rPr/>
        <w:t>drivers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implications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producers</w:t>
      </w:r>
      <w:r>
        <w:rPr>
          <w:spacing w:val="-2"/>
        </w:rPr>
        <w:t> </w:t>
      </w:r>
      <w:r>
        <w:rPr/>
        <w:t>a</w:t>
      </w:r>
      <w:r>
        <w:rPr/>
        <w:t>nd</w:t>
      </w:r>
      <w:r>
        <w:rPr/>
        <w:t> </w:t>
      </w:r>
      <w:r>
        <w:rPr>
          <w:spacing w:val="-2"/>
        </w:rPr>
        <w:t>policymakers.</w:t>
      </w:r>
    </w:p>
    <w:p>
      <w:pPr>
        <w:pStyle w:val="BodyText"/>
        <w:spacing w:before="6"/>
      </w:pPr>
    </w:p>
    <w:p>
      <w:pPr>
        <w:pStyle w:val="BodyText"/>
        <w:spacing w:line="259" w:lineRule="auto"/>
        <w:ind w:right="1153"/>
      </w:pPr>
      <w:r>
        <w:rPr/>
        <w:t>The</w:t>
      </w:r>
      <w:r>
        <w:rPr>
          <w:spacing w:val="-5"/>
        </w:rPr>
        <w:t> </w:t>
      </w:r>
      <w:r>
        <w:rPr/>
        <w:t>importance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descriptive</w:t>
      </w:r>
      <w:r>
        <w:rPr>
          <w:spacing w:val="-4"/>
        </w:rPr>
        <w:t> </w:t>
      </w:r>
      <w:r>
        <w:rPr/>
        <w:t>analytics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context</w:t>
      </w:r>
      <w:r>
        <w:rPr>
          <w:spacing w:val="-3"/>
        </w:rPr>
        <w:t> </w:t>
      </w:r>
      <w:r>
        <w:rPr/>
        <w:t>lies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ability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summarize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clar</w:t>
      </w:r>
      <w:r>
        <w:rPr/>
        <w:t>ify</w:t>
      </w:r>
      <w:r>
        <w:rPr/>
        <w:t> complex data. Measures of central tendency, dispersion, and distribution highlight the typica</w:t>
      </w:r>
      <w:r>
        <w:rPr/>
        <w:t>l</w:t>
      </w:r>
      <w:r>
        <w:rPr/>
        <w:t> production levels and variability across crops, while correlation analysis revea</w:t>
      </w:r>
      <w:r>
        <w:rPr/>
        <w:t>ls</w:t>
      </w:r>
      <w:r>
        <w:rPr/>
        <w:t> interdependencies that may guide strategic decisions. For instance, identifying </w:t>
      </w:r>
      <w:r>
        <w:rPr/>
        <w:t>strong</w:t>
      </w:r>
      <w:r>
        <w:rPr/>
        <w:t> correlations between corn and total vegetable output underscores the crop’s dominant role </w:t>
      </w:r>
      <w:r>
        <w:rPr/>
        <w:t>in</w:t>
      </w:r>
      <w:r>
        <w:rPr/>
        <w:t> shaping aggregate supply. Similarly, detecting volatility in onions or peas can inform </w:t>
      </w:r>
      <w:r>
        <w:rPr/>
        <w:t>risk</w:t>
      </w:r>
      <w:r>
        <w:rPr/>
        <w:t> management strategies and resource prioritization.</w:t>
      </w:r>
    </w:p>
    <w:p>
      <w:pPr>
        <w:pStyle w:val="BodyText"/>
        <w:spacing w:line="259" w:lineRule="auto" w:before="158"/>
        <w:ind w:right="1153"/>
      </w:pPr>
      <w:r>
        <w:rPr/>
        <w:t>Beyond numerical summaries, visualization plays a crucial role in communicating </w:t>
      </w:r>
      <w:r>
        <w:rPr/>
        <w:t>findings</w:t>
      </w:r>
      <w:r>
        <w:rPr/>
        <w:t> effectively.</w:t>
      </w:r>
      <w:r>
        <w:rPr>
          <w:spacing w:val="-5"/>
        </w:rPr>
        <w:t> </w:t>
      </w:r>
      <w:r>
        <w:rPr/>
        <w:t>Line</w:t>
      </w:r>
      <w:r>
        <w:rPr>
          <w:spacing w:val="-5"/>
        </w:rPr>
        <w:t> </w:t>
      </w:r>
      <w:r>
        <w:rPr/>
        <w:t>charts</w:t>
      </w:r>
      <w:r>
        <w:rPr>
          <w:spacing w:val="-5"/>
        </w:rPr>
        <w:t> </w:t>
      </w:r>
      <w:r>
        <w:rPr/>
        <w:t>expose</w:t>
      </w:r>
      <w:r>
        <w:rPr>
          <w:spacing w:val="-5"/>
        </w:rPr>
        <w:t> </w:t>
      </w:r>
      <w:r>
        <w:rPr/>
        <w:t>production</w:t>
      </w:r>
      <w:r>
        <w:rPr>
          <w:spacing w:val="-5"/>
        </w:rPr>
        <w:t> </w:t>
      </w:r>
      <w:r>
        <w:rPr/>
        <w:t>trends</w:t>
      </w:r>
      <w:r>
        <w:rPr>
          <w:spacing w:val="-3"/>
        </w:rPr>
        <w:t> </w:t>
      </w:r>
      <w:r>
        <w:rPr/>
        <w:t>over</w:t>
      </w:r>
      <w:r>
        <w:rPr>
          <w:spacing w:val="-5"/>
        </w:rPr>
        <w:t> </w:t>
      </w:r>
      <w:r>
        <w:rPr/>
        <w:t>time,</w:t>
      </w:r>
      <w:r>
        <w:rPr>
          <w:spacing w:val="-5"/>
        </w:rPr>
        <w:t> </w:t>
      </w:r>
      <w:r>
        <w:rPr/>
        <w:t>histograms</w:t>
      </w:r>
      <w:r>
        <w:rPr>
          <w:spacing w:val="-5"/>
        </w:rPr>
        <w:t> </w:t>
      </w:r>
      <w:r>
        <w:rPr/>
        <w:t>illustrate</w:t>
      </w:r>
      <w:r>
        <w:rPr>
          <w:spacing w:val="-5"/>
        </w:rPr>
        <w:t> </w:t>
      </w:r>
      <w:r>
        <w:rPr/>
        <w:t>distributiona</w:t>
      </w:r>
      <w:r>
        <w:rPr/>
        <w:t>l</w:t>
      </w:r>
      <w:r>
        <w:rPr/>
        <w:t> characteristics, boxplots highlight outliers, and heatmaps reveal relationships among crops.</w:t>
      </w:r>
    </w:p>
    <w:p>
      <w:pPr>
        <w:pStyle w:val="BodyText"/>
        <w:spacing w:line="259" w:lineRule="auto"/>
        <w:ind w:right="1153"/>
      </w:pPr>
      <w:r>
        <w:rPr/>
        <w:t>Together, these tools transform abstract data into accessible patterns that decision-makers ca</w:t>
      </w:r>
      <w:r>
        <w:rPr/>
        <w:t>n</w:t>
      </w:r>
      <w:r>
        <w:rPr/>
        <w:t> readily</w:t>
      </w:r>
      <w:r>
        <w:rPr>
          <w:spacing w:val="-3"/>
        </w:rPr>
        <w:t> </w:t>
      </w:r>
      <w:r>
        <w:rPr/>
        <w:t>interpret.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therefore</w:t>
      </w:r>
      <w:r>
        <w:rPr>
          <w:spacing w:val="-5"/>
        </w:rPr>
        <w:t> </w:t>
      </w:r>
      <w:r>
        <w:rPr/>
        <w:t>aims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describe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a</w:t>
      </w:r>
      <w:r>
        <w:rPr/>
        <w:t>lso</w:t>
      </w:r>
      <w:r>
        <w:rPr/>
        <w:t> to present actionable insights through clear, evidence-based analytics that support infor</w:t>
      </w:r>
      <w:r>
        <w:rPr/>
        <w:t>med</w:t>
      </w:r>
      <w:r>
        <w:rPr/>
        <w:t> business and policy decisions.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p>
      <w:pPr>
        <w:pStyle w:val="Heading2"/>
      </w:pPr>
      <w:r>
        <w:rPr>
          <w:spacing w:val="-2"/>
        </w:rPr>
        <w:t>Methodology: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right="1062"/>
      </w:pPr>
      <w:r>
        <w:rPr/>
        <w:t>The analysis began with the importation of the Agricultural dataset from the provided Excel file</w:t>
      </w:r>
      <w:r>
        <w:rPr/>
        <w:t>.</w:t>
      </w:r>
      <w:r>
        <w:rPr/>
        <w:t> Using the readxl package in R, the sheet containing monthly production volumes for Gree</w:t>
      </w:r>
      <w:r>
        <w:rPr/>
        <w:t>n</w:t>
      </w:r>
      <w:r>
        <w:rPr/>
        <w:t> Beans, Broccoli, Carrots, Corn, Onions, Green Peas, and the aggregate Total Vegetables wa</w:t>
      </w:r>
      <w:r>
        <w:rPr/>
        <w:t>s</w:t>
      </w:r>
      <w:r>
        <w:rPr/>
        <w:t> loaded into the workspace. Initial inspection with str() and summary() confirmed the datase</w:t>
      </w:r>
      <w:r>
        <w:rPr/>
        <w:t>t’s</w:t>
      </w:r>
      <w:r>
        <w:rPr/>
        <w:t> structure:</w:t>
      </w:r>
      <w:r>
        <w:rPr>
          <w:spacing w:val="-4"/>
        </w:rPr>
        <w:t> </w:t>
      </w:r>
      <w:r>
        <w:rPr/>
        <w:t>168</w:t>
      </w:r>
      <w:r>
        <w:rPr>
          <w:spacing w:val="-4"/>
        </w:rPr>
        <w:t> </w:t>
      </w:r>
      <w:r>
        <w:rPr/>
        <w:t>monthly</w:t>
      </w:r>
      <w:r>
        <w:rPr>
          <w:spacing w:val="-4"/>
        </w:rPr>
        <w:t> </w:t>
      </w:r>
      <w:r>
        <w:rPr/>
        <w:t>observations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seven</w:t>
      </w:r>
      <w:r>
        <w:rPr>
          <w:spacing w:val="-2"/>
        </w:rPr>
        <w:t> </w:t>
      </w:r>
      <w:r>
        <w:rPr/>
        <w:t>crop</w:t>
      </w:r>
      <w:r>
        <w:rPr>
          <w:spacing w:val="-4"/>
        </w:rPr>
        <w:t> </w:t>
      </w:r>
      <w:r>
        <w:rPr/>
        <w:t>categories</w:t>
      </w:r>
      <w:r>
        <w:rPr>
          <w:spacing w:val="-4"/>
        </w:rPr>
        <w:t> </w:t>
      </w:r>
      <w:r>
        <w:rPr/>
        <w:t>plus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total.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step</w:t>
      </w:r>
      <w:r>
        <w:rPr>
          <w:spacing w:val="-4"/>
        </w:rPr>
        <w:t> </w:t>
      </w:r>
      <w:r>
        <w:rPr/>
        <w:t>ensure</w:t>
      </w:r>
      <w:r>
        <w:rPr/>
        <w:t>d</w:t>
      </w:r>
      <w:r>
        <w:rPr/>
        <w:t> that the data was clean, numeric, and ready for statistical exploration without requiring e</w:t>
      </w:r>
      <w:r>
        <w:rPr/>
        <w:t>xtensive</w:t>
      </w:r>
      <w:r>
        <w:rPr/>
        <w:t> </w:t>
      </w:r>
      <w:r>
        <w:rPr>
          <w:spacing w:val="-2"/>
        </w:rPr>
        <w:t>preprocessing.</w:t>
      </w:r>
    </w:p>
    <w:p>
      <w:pPr>
        <w:pStyle w:val="BodyText"/>
        <w:spacing w:after="0"/>
        <w:sectPr>
          <w:type w:val="continuous"/>
          <w:pgSz w:w="12240" w:h="15840"/>
          <w:pgMar w:top="1820" w:bottom="280" w:left="1440" w:right="360"/>
        </w:sectPr>
      </w:pPr>
    </w:p>
    <w:p>
      <w:pPr>
        <w:pStyle w:val="BodyText"/>
        <w:spacing w:before="79"/>
        <w:ind w:right="1153"/>
      </w:pPr>
      <w:r>
        <w:rPr/>
        <w:t>Descriptive statistics were then computed to summarize the central tendency, dispersion, a</w:t>
      </w:r>
      <w:r>
        <w:rPr/>
        <w:t>nd</w:t>
      </w:r>
      <w:r>
        <w:rPr/>
        <w:t> distribution of</w:t>
      </w:r>
      <w:r>
        <w:rPr>
          <w:spacing w:val="-1"/>
        </w:rPr>
        <w:t> </w:t>
      </w:r>
      <w:r>
        <w:rPr/>
        <w:t>each crop. The psych::describe()</w:t>
      </w:r>
      <w:r>
        <w:rPr>
          <w:spacing w:val="-1"/>
        </w:rPr>
        <w:t> </w:t>
      </w:r>
      <w:r>
        <w:rPr/>
        <w:t>function provided detailed measures </w:t>
      </w:r>
      <w:r>
        <w:rPr/>
        <w:t>including</w:t>
      </w:r>
      <w:r>
        <w:rPr/>
        <w:t> mean, median, standard deviation, skewness, and kurtosis. These statistics highlighted </w:t>
      </w:r>
      <w:r>
        <w:rPr/>
        <w:t>the</w:t>
      </w:r>
      <w:r>
        <w:rPr/>
        <w:t> relative scale of production across crops, with Corn showing the highest average output a</w:t>
      </w:r>
      <w:r>
        <w:rPr/>
        <w:t>nd</w:t>
      </w:r>
      <w:r>
        <w:rPr/>
        <w:t> Onions the lowest. Correlation analysis was conducted using the cor() function to exa</w:t>
      </w:r>
      <w:r>
        <w:rPr/>
        <w:t>mine</w:t>
      </w:r>
      <w:r>
        <w:rPr/>
        <w:t> relationships among crops and their contribution to total vegetable production. The re</w:t>
      </w:r>
      <w:r>
        <w:rPr/>
        <w:t>sulting</w:t>
      </w:r>
      <w:r>
        <w:rPr/>
        <w:t> correlation</w:t>
      </w:r>
      <w:r>
        <w:rPr>
          <w:spacing w:val="-5"/>
        </w:rPr>
        <w:t> </w:t>
      </w:r>
      <w:r>
        <w:rPr/>
        <w:t>matrix</w:t>
      </w:r>
      <w:r>
        <w:rPr>
          <w:spacing w:val="-5"/>
        </w:rPr>
        <w:t> </w:t>
      </w:r>
      <w:r>
        <w:rPr/>
        <w:t>revealed</w:t>
      </w:r>
      <w:r>
        <w:rPr>
          <w:spacing w:val="-5"/>
        </w:rPr>
        <w:t> </w:t>
      </w:r>
      <w:r>
        <w:rPr/>
        <w:t>strong</w:t>
      </w:r>
      <w:r>
        <w:rPr>
          <w:spacing w:val="-5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associations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Corn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Total</w:t>
      </w:r>
      <w:r>
        <w:rPr>
          <w:spacing w:val="-5"/>
        </w:rPr>
        <w:t> </w:t>
      </w:r>
      <w:r>
        <w:rPr/>
        <w:t>Vegetables,</w:t>
      </w:r>
      <w:r>
        <w:rPr>
          <w:spacing w:val="-3"/>
        </w:rPr>
        <w:t> </w:t>
      </w:r>
      <w:r>
        <w:rPr/>
        <w:t>a</w:t>
      </w:r>
      <w:r>
        <w:rPr/>
        <w:t>s</w:t>
      </w:r>
      <w:r>
        <w:rPr/>
        <w:t> well as between Green Beans and Total Vegetables, underscoring their dominant role </w:t>
      </w:r>
      <w:r>
        <w:rPr/>
        <w:t>in</w:t>
      </w:r>
      <w:r>
        <w:rPr/>
        <w:t> aggregate supply.</w:t>
      </w:r>
    </w:p>
    <w:p>
      <w:pPr>
        <w:pStyle w:val="BodyText"/>
        <w:spacing w:before="5"/>
      </w:pPr>
    </w:p>
    <w:p>
      <w:pPr>
        <w:pStyle w:val="BodyText"/>
        <w:spacing w:line="259" w:lineRule="auto"/>
        <w:ind w:right="1062"/>
      </w:pPr>
      <w:r>
        <w:rPr/>
        <w:t>To complement the numerical summaries, a suite of visualizations was generated using </w:t>
      </w:r>
      <w:r>
        <w:rPr/>
        <w:t>ggplot2</w:t>
      </w:r>
      <w:r>
        <w:rPr/>
        <w:t> and</w:t>
      </w:r>
      <w:r>
        <w:rPr>
          <w:spacing w:val="-2"/>
        </w:rPr>
        <w:t> </w:t>
      </w:r>
      <w:r>
        <w:rPr/>
        <w:t>GGally.</w:t>
      </w:r>
      <w:r>
        <w:rPr>
          <w:spacing w:val="-2"/>
        </w:rPr>
        <w:t> </w:t>
      </w:r>
      <w:r>
        <w:rPr/>
        <w:t>Line</w:t>
      </w:r>
      <w:r>
        <w:rPr>
          <w:spacing w:val="-3"/>
        </w:rPr>
        <w:t> </w:t>
      </w:r>
      <w:r>
        <w:rPr/>
        <w:t>plots</w:t>
      </w:r>
      <w:r>
        <w:rPr>
          <w:spacing w:val="-2"/>
        </w:rPr>
        <w:t> </w:t>
      </w:r>
      <w:r>
        <w:rPr/>
        <w:t>illustrated</w:t>
      </w:r>
      <w:r>
        <w:rPr>
          <w:spacing w:val="-2"/>
        </w:rPr>
        <w:t> </w:t>
      </w:r>
      <w:r>
        <w:rPr/>
        <w:t>production</w:t>
      </w:r>
      <w:r>
        <w:rPr>
          <w:spacing w:val="-2"/>
        </w:rPr>
        <w:t> </w:t>
      </w:r>
      <w:r>
        <w:rPr/>
        <w:t>trends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time,</w:t>
      </w:r>
      <w:r>
        <w:rPr>
          <w:spacing w:val="-2"/>
        </w:rPr>
        <w:t> </w:t>
      </w:r>
      <w:r>
        <w:rPr/>
        <w:t>histograms</w:t>
      </w:r>
      <w:r>
        <w:rPr>
          <w:spacing w:val="-2"/>
        </w:rPr>
        <w:t> </w:t>
      </w:r>
      <w:r>
        <w:rPr/>
        <w:t>depicted</w:t>
      </w:r>
      <w:r>
        <w:rPr>
          <w:spacing w:val="-2"/>
        </w:rPr>
        <w:t> </w:t>
      </w:r>
      <w:r>
        <w:rPr/>
        <w:t>distributiona</w:t>
      </w:r>
      <w:r>
        <w:rPr/>
        <w:t>l</w:t>
      </w:r>
      <w:r>
        <w:rPr/>
        <w:t> characteristics, and boxplots highlighted variability and outliers. A correlation heatmap pro</w:t>
      </w:r>
      <w:r>
        <w:rPr/>
        <w:t>vided</w:t>
      </w:r>
      <w:r>
        <w:rPr/>
        <w:t> a</w:t>
      </w:r>
      <w:r>
        <w:rPr>
          <w:spacing w:val="-5"/>
        </w:rPr>
        <w:t> </w:t>
      </w:r>
      <w:r>
        <w:rPr/>
        <w:t>visual</w:t>
      </w:r>
      <w:r>
        <w:rPr>
          <w:spacing w:val="-4"/>
        </w:rPr>
        <w:t> </w:t>
      </w:r>
      <w:r>
        <w:rPr/>
        <w:t>representation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interdependencies</w:t>
      </w:r>
      <w:r>
        <w:rPr>
          <w:spacing w:val="-4"/>
        </w:rPr>
        <w:t> </w:t>
      </w:r>
      <w:r>
        <w:rPr/>
        <w:t>among</w:t>
      </w:r>
      <w:r>
        <w:rPr>
          <w:spacing w:val="-4"/>
        </w:rPr>
        <w:t> </w:t>
      </w:r>
      <w:r>
        <w:rPr/>
        <w:t>crops,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bar</w:t>
      </w:r>
      <w:r>
        <w:rPr>
          <w:spacing w:val="-4"/>
        </w:rPr>
        <w:t> </w:t>
      </w:r>
      <w:r>
        <w:rPr/>
        <w:t>charts</w:t>
      </w:r>
      <w:r>
        <w:rPr>
          <w:spacing w:val="-5"/>
        </w:rPr>
        <w:t> </w:t>
      </w:r>
      <w:r>
        <w:rPr/>
        <w:t>quantified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crop</w:t>
      </w:r>
      <w:r>
        <w:rPr/>
        <w:t>’s</w:t>
      </w:r>
      <w:r>
        <w:rPr/>
        <w:t> contribution to overall vegetable production. Together, these methods transformed raw data </w:t>
      </w:r>
      <w:r>
        <w:rPr/>
        <w:t>into</w:t>
      </w:r>
      <w:r>
        <w:rPr/>
        <w:t> accessible insights, enabling a comprehensive understanding of agricultural dynamics across </w:t>
      </w:r>
      <w:r>
        <w:rPr/>
        <w:t>the</w:t>
      </w:r>
      <w:r>
        <w:rPr/>
        <w:t> observed period.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2"/>
      </w:pPr>
      <w:r>
        <w:rPr/>
        <w:t>Descriptive</w:t>
      </w:r>
      <w:r>
        <w:rPr>
          <w:spacing w:val="-3"/>
        </w:rPr>
        <w:t> </w:t>
      </w:r>
      <w:r>
        <w:rPr/>
        <w:t>Statistics:</w:t>
      </w:r>
      <w:r>
        <w:rPr>
          <w:spacing w:val="-2"/>
        </w:rPr>
        <w:t> </w:t>
      </w:r>
      <w:r>
        <w:rPr>
          <w:spacing w:val="-5"/>
        </w:rPr>
        <w:t>Sa</w:t>
      </w:r>
    </w:p>
    <w:p>
      <w:pPr>
        <w:pStyle w:val="BodyText"/>
        <w:rPr>
          <w:b/>
        </w:rPr>
      </w:pPr>
    </w:p>
    <w:p>
      <w:pPr>
        <w:pStyle w:val="BodyText"/>
        <w:spacing w:before="79"/>
        <w:rPr>
          <w:b/>
        </w:rPr>
      </w:pPr>
    </w:p>
    <w:p>
      <w:pPr>
        <w:spacing w:before="0"/>
        <w:ind w:left="0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Table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1: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Descriptive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Statistics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Crop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Production</w:t>
      </w:r>
    </w:p>
    <w:p>
      <w:pPr>
        <w:pStyle w:val="BodyText"/>
        <w:spacing w:before="10"/>
        <w:rPr>
          <w:rFonts w:ascii="Calibri"/>
          <w:sz w:val="14"/>
        </w:rPr>
      </w:pPr>
    </w:p>
    <w:tbl>
      <w:tblPr>
        <w:tblW w:w="0" w:type="auto"/>
        <w:jc w:val="left"/>
        <w:tblInd w:w="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3"/>
        <w:gridCol w:w="1681"/>
        <w:gridCol w:w="1572"/>
        <w:gridCol w:w="1511"/>
        <w:gridCol w:w="1390"/>
        <w:gridCol w:w="1387"/>
      </w:tblGrid>
      <w:tr>
        <w:trPr>
          <w:trHeight w:val="747" w:hRule="atLeast"/>
        </w:trPr>
        <w:tc>
          <w:tcPr>
            <w:tcW w:w="1663" w:type="dxa"/>
            <w:tcBorders>
              <w:top w:val="single" w:sz="12" w:space="0" w:color="666666"/>
              <w:bottom w:val="single" w:sz="12" w:space="0" w:color="666666"/>
            </w:tcBorders>
          </w:tcPr>
          <w:p>
            <w:pPr>
              <w:pStyle w:val="TableParagraph"/>
              <w:spacing w:before="239"/>
              <w:ind w:right="17"/>
              <w:rPr>
                <w:sz w:val="22"/>
              </w:rPr>
            </w:pPr>
            <w:r>
              <w:rPr>
                <w:spacing w:val="-2"/>
                <w:sz w:val="22"/>
              </w:rPr>
              <w:t>Variable</w:t>
            </w:r>
          </w:p>
        </w:tc>
        <w:tc>
          <w:tcPr>
            <w:tcW w:w="1681" w:type="dxa"/>
            <w:tcBorders>
              <w:top w:val="single" w:sz="12" w:space="0" w:color="666666"/>
              <w:bottom w:val="single" w:sz="12" w:space="0" w:color="666666"/>
            </w:tcBorders>
          </w:tcPr>
          <w:p>
            <w:pPr>
              <w:pStyle w:val="TableParagraph"/>
              <w:spacing w:before="239"/>
              <w:ind w:right="15"/>
              <w:rPr>
                <w:sz w:val="22"/>
              </w:rPr>
            </w:pPr>
            <w:r>
              <w:rPr>
                <w:spacing w:val="-4"/>
                <w:sz w:val="22"/>
              </w:rPr>
              <w:t>mean</w:t>
            </w:r>
          </w:p>
        </w:tc>
        <w:tc>
          <w:tcPr>
            <w:tcW w:w="1572" w:type="dxa"/>
            <w:tcBorders>
              <w:top w:val="single" w:sz="12" w:space="0" w:color="666666"/>
              <w:bottom w:val="single" w:sz="12" w:space="0" w:color="666666"/>
            </w:tcBorders>
          </w:tcPr>
          <w:p>
            <w:pPr>
              <w:pStyle w:val="TableParagraph"/>
              <w:spacing w:before="239"/>
              <w:ind w:left="4" w:right="4"/>
              <w:rPr>
                <w:sz w:val="22"/>
              </w:rPr>
            </w:pPr>
            <w:r>
              <w:rPr>
                <w:spacing w:val="-2"/>
                <w:sz w:val="22"/>
              </w:rPr>
              <w:t>median</w:t>
            </w:r>
          </w:p>
        </w:tc>
        <w:tc>
          <w:tcPr>
            <w:tcW w:w="1511" w:type="dxa"/>
            <w:tcBorders>
              <w:top w:val="single" w:sz="12" w:space="0" w:color="666666"/>
              <w:bottom w:val="single" w:sz="12" w:space="0" w:color="666666"/>
            </w:tcBorders>
          </w:tcPr>
          <w:p>
            <w:pPr>
              <w:pStyle w:val="TableParagraph"/>
              <w:spacing w:line="256" w:lineRule="auto" w:before="103"/>
              <w:ind w:left="314" w:hanging="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Standa</w:t>
            </w:r>
            <w:r>
              <w:rPr>
                <w:spacing w:val="-2"/>
                <w:sz w:val="22"/>
              </w:rPr>
              <w:t>rd</w:t>
            </w:r>
            <w:r>
              <w:rPr>
                <w:spacing w:val="-2"/>
                <w:sz w:val="22"/>
              </w:rPr>
              <w:t> deviation</w:t>
            </w:r>
          </w:p>
        </w:tc>
        <w:tc>
          <w:tcPr>
            <w:tcW w:w="1390" w:type="dxa"/>
            <w:tcBorders>
              <w:top w:val="single" w:sz="12" w:space="0" w:color="666666"/>
              <w:bottom w:val="single" w:sz="12" w:space="0" w:color="666666"/>
            </w:tcBorders>
          </w:tcPr>
          <w:p>
            <w:pPr>
              <w:pStyle w:val="TableParagraph"/>
              <w:spacing w:before="239"/>
              <w:ind w:left="2" w:right="2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387" w:type="dxa"/>
            <w:tcBorders>
              <w:top w:val="single" w:sz="12" w:space="0" w:color="666666"/>
              <w:bottom w:val="single" w:sz="12" w:space="0" w:color="666666"/>
            </w:tcBorders>
          </w:tcPr>
          <w:p>
            <w:pPr>
              <w:pStyle w:val="TableParagraph"/>
              <w:spacing w:before="239"/>
              <w:ind w:left="8" w:right="1"/>
              <w:rPr>
                <w:sz w:val="22"/>
              </w:rPr>
            </w:pPr>
            <w:r>
              <w:rPr>
                <w:spacing w:val="-5"/>
                <w:sz w:val="22"/>
              </w:rPr>
              <w:t>max</w:t>
            </w:r>
          </w:p>
        </w:tc>
      </w:tr>
      <w:tr>
        <w:trPr>
          <w:trHeight w:val="466" w:hRule="atLeast"/>
        </w:trPr>
        <w:tc>
          <w:tcPr>
            <w:tcW w:w="1663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100"/>
              <w:ind w:left="6" w:right="17"/>
              <w:rPr>
                <w:sz w:val="22"/>
              </w:rPr>
            </w:pPr>
            <w:r>
              <w:rPr>
                <w:sz w:val="22"/>
              </w:rPr>
              <w:t>Green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Beans</w:t>
            </w:r>
          </w:p>
        </w:tc>
        <w:tc>
          <w:tcPr>
            <w:tcW w:w="1681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100"/>
              <w:ind w:right="15"/>
              <w:rPr>
                <w:sz w:val="22"/>
              </w:rPr>
            </w:pPr>
            <w:r>
              <w:rPr>
                <w:spacing w:val="-2"/>
                <w:sz w:val="22"/>
              </w:rPr>
              <w:t>173,313.56</w:t>
            </w:r>
          </w:p>
        </w:tc>
        <w:tc>
          <w:tcPr>
            <w:tcW w:w="1572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100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169,258.0</w:t>
            </w:r>
          </w:p>
        </w:tc>
        <w:tc>
          <w:tcPr>
            <w:tcW w:w="1511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100"/>
              <w:rPr>
                <w:sz w:val="22"/>
              </w:rPr>
            </w:pPr>
            <w:r>
              <w:rPr>
                <w:spacing w:val="-2"/>
                <w:sz w:val="22"/>
              </w:rPr>
              <w:t>71,086.22</w:t>
            </w:r>
          </w:p>
        </w:tc>
        <w:tc>
          <w:tcPr>
            <w:tcW w:w="1390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100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38,204</w:t>
            </w:r>
          </w:p>
        </w:tc>
        <w:tc>
          <w:tcPr>
            <w:tcW w:w="1387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100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361,060</w:t>
            </w:r>
          </w:p>
        </w:tc>
      </w:tr>
      <w:tr>
        <w:trPr>
          <w:trHeight w:val="472" w:hRule="atLeast"/>
        </w:trPr>
        <w:tc>
          <w:tcPr>
            <w:tcW w:w="1663" w:type="dxa"/>
          </w:tcPr>
          <w:p>
            <w:pPr>
              <w:pStyle w:val="TableParagraph"/>
              <w:ind w:left="4" w:right="17"/>
              <w:rPr>
                <w:sz w:val="22"/>
              </w:rPr>
            </w:pPr>
            <w:r>
              <w:rPr>
                <w:spacing w:val="-2"/>
                <w:sz w:val="22"/>
              </w:rPr>
              <w:t>Broccoli</w:t>
            </w:r>
          </w:p>
        </w:tc>
        <w:tc>
          <w:tcPr>
            <w:tcW w:w="1681" w:type="dxa"/>
          </w:tcPr>
          <w:p>
            <w:pPr>
              <w:pStyle w:val="TableParagraph"/>
              <w:ind w:right="15"/>
              <w:rPr>
                <w:sz w:val="22"/>
              </w:rPr>
            </w:pPr>
            <w:r>
              <w:rPr>
                <w:spacing w:val="-2"/>
                <w:sz w:val="22"/>
              </w:rPr>
              <w:t>122,987.62</w:t>
            </w:r>
          </w:p>
        </w:tc>
        <w:tc>
          <w:tcPr>
            <w:tcW w:w="1572" w:type="dxa"/>
          </w:tcPr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120,682.5</w:t>
            </w:r>
          </w:p>
        </w:tc>
        <w:tc>
          <w:tcPr>
            <w:tcW w:w="15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29,905.36</w:t>
            </w:r>
          </w:p>
        </w:tc>
        <w:tc>
          <w:tcPr>
            <w:tcW w:w="1390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53,233</w:t>
            </w:r>
          </w:p>
        </w:tc>
        <w:tc>
          <w:tcPr>
            <w:tcW w:w="1387" w:type="dxa"/>
          </w:tcPr>
          <w:p>
            <w:pPr>
              <w:pStyle w:val="TableParagraph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210,118</w:t>
            </w:r>
          </w:p>
        </w:tc>
      </w:tr>
      <w:tr>
        <w:trPr>
          <w:trHeight w:val="472" w:hRule="atLeast"/>
        </w:trPr>
        <w:tc>
          <w:tcPr>
            <w:tcW w:w="1663" w:type="dxa"/>
          </w:tcPr>
          <w:p>
            <w:pPr>
              <w:pStyle w:val="TableParagraph"/>
              <w:ind w:left="2" w:right="17"/>
              <w:rPr>
                <w:sz w:val="22"/>
              </w:rPr>
            </w:pPr>
            <w:r>
              <w:rPr>
                <w:spacing w:val="-2"/>
                <w:sz w:val="22"/>
              </w:rPr>
              <w:t>Carrots</w:t>
            </w:r>
          </w:p>
        </w:tc>
        <w:tc>
          <w:tcPr>
            <w:tcW w:w="1681" w:type="dxa"/>
          </w:tcPr>
          <w:p>
            <w:pPr>
              <w:pStyle w:val="TableParagraph"/>
              <w:ind w:right="15"/>
              <w:rPr>
                <w:sz w:val="22"/>
              </w:rPr>
            </w:pPr>
            <w:r>
              <w:rPr>
                <w:spacing w:val="-2"/>
                <w:sz w:val="22"/>
              </w:rPr>
              <w:t>169,764.66</w:t>
            </w:r>
          </w:p>
        </w:tc>
        <w:tc>
          <w:tcPr>
            <w:tcW w:w="1572" w:type="dxa"/>
          </w:tcPr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163,988.0</w:t>
            </w:r>
          </w:p>
        </w:tc>
        <w:tc>
          <w:tcPr>
            <w:tcW w:w="15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56,007.14</w:t>
            </w:r>
          </w:p>
        </w:tc>
        <w:tc>
          <w:tcPr>
            <w:tcW w:w="1390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84,809</w:t>
            </w:r>
          </w:p>
        </w:tc>
        <w:tc>
          <w:tcPr>
            <w:tcW w:w="1387" w:type="dxa"/>
          </w:tcPr>
          <w:p>
            <w:pPr>
              <w:pStyle w:val="TableParagraph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328,015</w:t>
            </w:r>
          </w:p>
        </w:tc>
      </w:tr>
      <w:tr>
        <w:trPr>
          <w:trHeight w:val="472" w:hRule="atLeast"/>
        </w:trPr>
        <w:tc>
          <w:tcPr>
            <w:tcW w:w="1663" w:type="dxa"/>
          </w:tcPr>
          <w:p>
            <w:pPr>
              <w:pStyle w:val="TableParagraph"/>
              <w:ind w:left="0" w:right="17"/>
              <w:rPr>
                <w:sz w:val="22"/>
              </w:rPr>
            </w:pPr>
            <w:r>
              <w:rPr>
                <w:spacing w:val="-4"/>
                <w:sz w:val="22"/>
              </w:rPr>
              <w:t>Corn</w:t>
            </w:r>
          </w:p>
        </w:tc>
        <w:tc>
          <w:tcPr>
            <w:tcW w:w="1681" w:type="dxa"/>
          </w:tcPr>
          <w:p>
            <w:pPr>
              <w:pStyle w:val="TableParagraph"/>
              <w:ind w:right="15"/>
              <w:rPr>
                <w:sz w:val="22"/>
              </w:rPr>
            </w:pPr>
            <w:r>
              <w:rPr>
                <w:spacing w:val="-2"/>
                <w:sz w:val="22"/>
              </w:rPr>
              <w:t>419,881.49</w:t>
            </w:r>
          </w:p>
        </w:tc>
        <w:tc>
          <w:tcPr>
            <w:tcW w:w="1572" w:type="dxa"/>
          </w:tcPr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404,492.0</w:t>
            </w:r>
          </w:p>
        </w:tc>
        <w:tc>
          <w:tcPr>
            <w:tcW w:w="1511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195,789.90</w:t>
            </w:r>
          </w:p>
        </w:tc>
        <w:tc>
          <w:tcPr>
            <w:tcW w:w="1390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60,805</w:t>
            </w:r>
          </w:p>
        </w:tc>
        <w:tc>
          <w:tcPr>
            <w:tcW w:w="1387" w:type="dxa"/>
          </w:tcPr>
          <w:p>
            <w:pPr>
              <w:pStyle w:val="TableParagraph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828,144</w:t>
            </w:r>
          </w:p>
        </w:tc>
      </w:tr>
      <w:tr>
        <w:trPr>
          <w:trHeight w:val="474" w:hRule="atLeast"/>
        </w:trPr>
        <w:tc>
          <w:tcPr>
            <w:tcW w:w="1663" w:type="dxa"/>
          </w:tcPr>
          <w:p>
            <w:pPr>
              <w:pStyle w:val="TableParagraph"/>
              <w:ind w:left="5" w:right="17"/>
              <w:rPr>
                <w:sz w:val="22"/>
              </w:rPr>
            </w:pPr>
            <w:r>
              <w:rPr>
                <w:spacing w:val="-2"/>
                <w:sz w:val="22"/>
              </w:rPr>
              <w:t>Onions</w:t>
            </w:r>
          </w:p>
        </w:tc>
        <w:tc>
          <w:tcPr>
            <w:tcW w:w="1681" w:type="dxa"/>
          </w:tcPr>
          <w:p>
            <w:pPr>
              <w:pStyle w:val="TableParagraph"/>
              <w:ind w:left="0" w:right="15"/>
              <w:rPr>
                <w:sz w:val="22"/>
              </w:rPr>
            </w:pPr>
            <w:r>
              <w:rPr>
                <w:spacing w:val="-2"/>
                <w:sz w:val="22"/>
              </w:rPr>
              <w:t>34,398.77</w:t>
            </w:r>
          </w:p>
        </w:tc>
        <w:tc>
          <w:tcPr>
            <w:tcW w:w="1572" w:type="dxa"/>
          </w:tcPr>
          <w:p>
            <w:pPr>
              <w:pStyle w:val="TableParagraph"/>
              <w:ind w:left="4" w:right="3"/>
              <w:rPr>
                <w:sz w:val="22"/>
              </w:rPr>
            </w:pPr>
            <w:r>
              <w:rPr>
                <w:spacing w:val="-2"/>
                <w:sz w:val="22"/>
              </w:rPr>
              <w:t>34,475.5</w:t>
            </w:r>
          </w:p>
        </w:tc>
        <w:tc>
          <w:tcPr>
            <w:tcW w:w="1511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7,253.39</w:t>
            </w:r>
          </w:p>
        </w:tc>
        <w:tc>
          <w:tcPr>
            <w:tcW w:w="1390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19,304</w:t>
            </w:r>
          </w:p>
        </w:tc>
        <w:tc>
          <w:tcPr>
            <w:tcW w:w="1387" w:type="dxa"/>
          </w:tcPr>
          <w:p>
            <w:pPr>
              <w:pStyle w:val="TableParagraph"/>
              <w:ind w:left="8" w:right="3"/>
              <w:rPr>
                <w:sz w:val="22"/>
              </w:rPr>
            </w:pPr>
            <w:r>
              <w:rPr>
                <w:spacing w:val="-2"/>
                <w:sz w:val="22"/>
              </w:rPr>
              <w:t>53,606</w:t>
            </w:r>
          </w:p>
        </w:tc>
      </w:tr>
      <w:tr>
        <w:trPr>
          <w:trHeight w:val="474" w:hRule="atLeast"/>
        </w:trPr>
        <w:tc>
          <w:tcPr>
            <w:tcW w:w="1663" w:type="dxa"/>
          </w:tcPr>
          <w:p>
            <w:pPr>
              <w:pStyle w:val="TableParagraph"/>
              <w:spacing w:before="108"/>
              <w:ind w:right="17"/>
              <w:rPr>
                <w:sz w:val="22"/>
              </w:rPr>
            </w:pPr>
            <w:r>
              <w:rPr>
                <w:sz w:val="22"/>
              </w:rPr>
              <w:t>Green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Peas</w:t>
            </w:r>
          </w:p>
        </w:tc>
        <w:tc>
          <w:tcPr>
            <w:tcW w:w="1681" w:type="dxa"/>
          </w:tcPr>
          <w:p>
            <w:pPr>
              <w:pStyle w:val="TableParagraph"/>
              <w:spacing w:before="108"/>
              <w:ind w:right="15"/>
              <w:rPr>
                <w:sz w:val="22"/>
              </w:rPr>
            </w:pPr>
            <w:r>
              <w:rPr>
                <w:spacing w:val="-2"/>
                <w:sz w:val="22"/>
              </w:rPr>
              <w:t>247,904.71</w:t>
            </w:r>
          </w:p>
        </w:tc>
        <w:tc>
          <w:tcPr>
            <w:tcW w:w="1572" w:type="dxa"/>
          </w:tcPr>
          <w:p>
            <w:pPr>
              <w:pStyle w:val="TableParagraph"/>
              <w:spacing w:before="108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237,609.5</w:t>
            </w:r>
          </w:p>
        </w:tc>
        <w:tc>
          <w:tcPr>
            <w:tcW w:w="1511" w:type="dxa"/>
          </w:tcPr>
          <w:p>
            <w:pPr>
              <w:pStyle w:val="TableParagraph"/>
              <w:spacing w:before="108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106,757.58</w:t>
            </w:r>
          </w:p>
        </w:tc>
        <w:tc>
          <w:tcPr>
            <w:tcW w:w="1390" w:type="dxa"/>
          </w:tcPr>
          <w:p>
            <w:pPr>
              <w:pStyle w:val="TableParagraph"/>
              <w:spacing w:before="108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62,448</w:t>
            </w:r>
          </w:p>
        </w:tc>
        <w:tc>
          <w:tcPr>
            <w:tcW w:w="1387" w:type="dxa"/>
          </w:tcPr>
          <w:p>
            <w:pPr>
              <w:pStyle w:val="TableParagraph"/>
              <w:spacing w:before="108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706,658</w:t>
            </w:r>
          </w:p>
        </w:tc>
      </w:tr>
      <w:tr>
        <w:trPr>
          <w:trHeight w:val="477" w:hRule="atLeast"/>
        </w:trPr>
        <w:tc>
          <w:tcPr>
            <w:tcW w:w="1663" w:type="dxa"/>
            <w:tcBorders>
              <w:bottom w:val="single" w:sz="12" w:space="0" w:color="666666"/>
            </w:tcBorders>
          </w:tcPr>
          <w:p>
            <w:pPr>
              <w:pStyle w:val="TableParagraph"/>
              <w:ind w:left="5" w:right="17"/>
              <w:rPr>
                <w:sz w:val="22"/>
              </w:rPr>
            </w:pPr>
            <w:r>
              <w:rPr>
                <w:sz w:val="22"/>
              </w:rPr>
              <w:t>Total</w:t>
            </w:r>
            <w:r>
              <w:rPr>
                <w:spacing w:val="-4"/>
                <w:sz w:val="22"/>
              </w:rPr>
              <w:t> Vegs</w:t>
            </w:r>
          </w:p>
        </w:tc>
        <w:tc>
          <w:tcPr>
            <w:tcW w:w="1681" w:type="dxa"/>
            <w:tcBorders>
              <w:bottom w:val="single" w:sz="12" w:space="0" w:color="666666"/>
            </w:tcBorders>
          </w:tcPr>
          <w:p>
            <w:pPr>
              <w:pStyle w:val="TableParagraph"/>
              <w:ind w:right="15"/>
              <w:rPr>
                <w:sz w:val="22"/>
              </w:rPr>
            </w:pPr>
            <w:r>
              <w:rPr>
                <w:spacing w:val="-2"/>
                <w:sz w:val="22"/>
              </w:rPr>
              <w:t>1,809,367.11</w:t>
            </w:r>
          </w:p>
        </w:tc>
        <w:tc>
          <w:tcPr>
            <w:tcW w:w="1572" w:type="dxa"/>
            <w:tcBorders>
              <w:bottom w:val="single" w:sz="12" w:space="0" w:color="666666"/>
            </w:tcBorders>
          </w:tcPr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1,750,298.5</w:t>
            </w:r>
          </w:p>
        </w:tc>
        <w:tc>
          <w:tcPr>
            <w:tcW w:w="1511" w:type="dxa"/>
            <w:tcBorders>
              <w:bottom w:val="single" w:sz="12" w:space="0" w:color="666666"/>
            </w:tcBorders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417,844.48</w:t>
            </w:r>
          </w:p>
        </w:tc>
        <w:tc>
          <w:tcPr>
            <w:tcW w:w="1390" w:type="dxa"/>
            <w:tcBorders>
              <w:bottom w:val="single" w:sz="12" w:space="0" w:color="666666"/>
            </w:tcBorders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1,002,194</w:t>
            </w:r>
          </w:p>
        </w:tc>
        <w:tc>
          <w:tcPr>
            <w:tcW w:w="1387" w:type="dxa"/>
            <w:tcBorders>
              <w:bottom w:val="single" w:sz="12" w:space="0" w:color="666666"/>
            </w:tcBorders>
          </w:tcPr>
          <w:p>
            <w:pPr>
              <w:pStyle w:val="TableParagraph"/>
              <w:ind w:left="8" w:right="3"/>
              <w:rPr>
                <w:sz w:val="22"/>
              </w:rPr>
            </w:pPr>
            <w:r>
              <w:rPr>
                <w:spacing w:val="-2"/>
                <w:sz w:val="22"/>
              </w:rPr>
              <w:t>2,648,618</w:t>
            </w:r>
          </w:p>
        </w:tc>
      </w:tr>
    </w:tbl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7"/>
        <w:rPr>
          <w:rFonts w:ascii="Calibri"/>
          <w:sz w:val="22"/>
        </w:rPr>
      </w:pPr>
    </w:p>
    <w:p>
      <w:pPr>
        <w:pStyle w:val="BodyText"/>
        <w:spacing w:line="259" w:lineRule="auto"/>
        <w:ind w:right="1153"/>
      </w:pPr>
      <w:r>
        <w:rPr/>
        <w:t>The agricultural dataset reveals notable differences in the scale of production across the </w:t>
      </w:r>
      <w:r>
        <w:rPr/>
        <w:t>six</w:t>
      </w:r>
      <w:r>
        <w:rPr/>
        <w:t> crops. Corn stands out as the largest contributor, with an average monthly output </w:t>
      </w:r>
      <w:r>
        <w:rPr/>
        <w:t>of</w:t>
      </w:r>
      <w:r>
        <w:rPr/>
        <w:t> approximately</w:t>
      </w:r>
      <w:r>
        <w:rPr>
          <w:spacing w:val="-3"/>
        </w:rPr>
        <w:t> </w:t>
      </w:r>
      <w:r>
        <w:rPr/>
        <w:t>419,881</w:t>
      </w:r>
      <w:r>
        <w:rPr>
          <w:spacing w:val="-3"/>
        </w:rPr>
        <w:t> </w:t>
      </w:r>
      <w:r>
        <w:rPr/>
        <w:t>units,</w:t>
      </w:r>
      <w:r>
        <w:rPr>
          <w:spacing w:val="-3"/>
        </w:rPr>
        <w:t> </w:t>
      </w:r>
      <w:r>
        <w:rPr/>
        <w:t>nearly</w:t>
      </w:r>
      <w:r>
        <w:rPr>
          <w:spacing w:val="-3"/>
        </w:rPr>
        <w:t> </w:t>
      </w:r>
      <w:r>
        <w:rPr/>
        <w:t>double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Green</w:t>
      </w:r>
      <w:r>
        <w:rPr>
          <w:spacing w:val="-3"/>
        </w:rPr>
        <w:t> </w:t>
      </w:r>
      <w:r>
        <w:rPr/>
        <w:t>Peas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more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three</w:t>
      </w:r>
      <w:r>
        <w:rPr>
          <w:spacing w:val="-4"/>
        </w:rPr>
        <w:t> </w:t>
      </w:r>
      <w:r>
        <w:rPr/>
        <w:t>times</w:t>
      </w:r>
      <w:r>
        <w:rPr>
          <w:spacing w:val="-3"/>
        </w:rPr>
        <w:t> </w:t>
      </w:r>
      <w:r>
        <w:rPr/>
        <w:t>the</w:t>
      </w:r>
    </w:p>
    <w:p>
      <w:pPr>
        <w:pStyle w:val="BodyText"/>
        <w:spacing w:after="0" w:line="259" w:lineRule="auto"/>
        <w:sectPr>
          <w:pgSz w:w="12240" w:h="15840"/>
          <w:pgMar w:top="1360" w:bottom="280" w:left="1440" w:right="360"/>
        </w:sectPr>
      </w:pPr>
    </w:p>
    <w:p>
      <w:pPr>
        <w:pStyle w:val="BodyText"/>
        <w:spacing w:line="259" w:lineRule="auto" w:before="79"/>
        <w:ind w:right="1062"/>
      </w:pPr>
      <w:r>
        <w:rPr/>
        <w:t>average for Carrots. Green Beans and Carrots occupy a middle range, averaging 173,314 </w:t>
      </w:r>
      <w:r>
        <w:rPr/>
        <w:t>and</w:t>
      </w:r>
      <w:r>
        <w:rPr/>
        <w:t> 169,765 respectively, while Broccoli shows a more modest mean of 122,988. Onions a</w:t>
      </w:r>
      <w:r>
        <w:rPr/>
        <w:t>re</w:t>
      </w:r>
      <w:r>
        <w:rPr/>
        <w:t> consistently the smallest contributor, with a mean of just 34,399, underscoring their re</w:t>
      </w:r>
      <w:r>
        <w:rPr/>
        <w:t>latively</w:t>
      </w:r>
      <w:r>
        <w:rPr/>
        <w:t> minor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vegetable</w:t>
      </w:r>
      <w:r>
        <w:rPr>
          <w:spacing w:val="-3"/>
        </w:rPr>
        <w:t> </w:t>
      </w:r>
      <w:r>
        <w:rPr/>
        <w:t>production.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aggregate</w:t>
      </w:r>
      <w:r>
        <w:rPr>
          <w:spacing w:val="-3"/>
        </w:rPr>
        <w:t> </w:t>
      </w:r>
      <w:r>
        <w:rPr/>
        <w:t>measure,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Vegetables,</w:t>
      </w:r>
      <w:r>
        <w:rPr>
          <w:spacing w:val="-3"/>
        </w:rPr>
        <w:t> </w:t>
      </w:r>
      <w:r>
        <w:rPr/>
        <w:t>averages</w:t>
      </w:r>
      <w:r>
        <w:rPr>
          <w:spacing w:val="-3"/>
        </w:rPr>
        <w:t> </w:t>
      </w:r>
      <w:r>
        <w:rPr/>
        <w:t>1.81</w:t>
      </w:r>
      <w:r>
        <w:rPr/>
        <w:t> million units, reflecting the combined weight of these crops in overall supply.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spacing w:line="259" w:lineRule="auto"/>
        <w:ind w:right="1153"/>
      </w:pPr>
      <w:r>
        <w:rPr/>
        <w:t>Variability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evident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deviations.</w:t>
      </w:r>
      <w:r>
        <w:rPr>
          <w:spacing w:val="-3"/>
        </w:rPr>
        <w:t> </w:t>
      </w:r>
      <w:r>
        <w:rPr/>
        <w:t>Corn</w:t>
      </w:r>
      <w:r>
        <w:rPr>
          <w:spacing w:val="-2"/>
        </w:rPr>
        <w:t> </w:t>
      </w:r>
      <w:r>
        <w:rPr/>
        <w:t>exhibits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highest</w:t>
      </w:r>
      <w:r>
        <w:rPr/>
        <w:t> dispersion, with a standard deviation of nearly 195,790, indicating substantial fluctuations </w:t>
      </w:r>
      <w:r>
        <w:rPr/>
        <w:t>in</w:t>
      </w:r>
      <w:r>
        <w:rPr/>
        <w:t> monthly</w:t>
      </w:r>
      <w:r>
        <w:rPr>
          <w:spacing w:val="-3"/>
        </w:rPr>
        <w:t> </w:t>
      </w:r>
      <w:r>
        <w:rPr/>
        <w:t>output.</w:t>
      </w:r>
      <w:r>
        <w:rPr>
          <w:spacing w:val="-3"/>
        </w:rPr>
        <w:t> </w:t>
      </w:r>
      <w:r>
        <w:rPr/>
        <w:t>Green</w:t>
      </w:r>
      <w:r>
        <w:rPr>
          <w:spacing w:val="-3"/>
        </w:rPr>
        <w:t> </w:t>
      </w:r>
      <w:r>
        <w:rPr/>
        <w:t>Peas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Green</w:t>
      </w:r>
      <w:r>
        <w:rPr>
          <w:spacing w:val="-3"/>
        </w:rPr>
        <w:t> </w:t>
      </w:r>
      <w:r>
        <w:rPr/>
        <w:t>Beans</w:t>
      </w:r>
      <w:r>
        <w:rPr>
          <w:spacing w:val="-3"/>
        </w:rPr>
        <w:t> </w:t>
      </w:r>
      <w:r>
        <w:rPr/>
        <w:t>also</w:t>
      </w:r>
      <w:r>
        <w:rPr>
          <w:spacing w:val="-1"/>
        </w:rPr>
        <w:t> </w:t>
      </w:r>
      <w:r>
        <w:rPr/>
        <w:t>show</w:t>
      </w:r>
      <w:r>
        <w:rPr>
          <w:spacing w:val="-3"/>
        </w:rPr>
        <w:t> </w:t>
      </w:r>
      <w:r>
        <w:rPr/>
        <w:t>considerable</w:t>
      </w:r>
      <w:r>
        <w:rPr>
          <w:spacing w:val="-4"/>
        </w:rPr>
        <w:t> </w:t>
      </w:r>
      <w:r>
        <w:rPr/>
        <w:t>variability,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standa</w:t>
      </w:r>
      <w:r>
        <w:rPr/>
        <w:t>rd</w:t>
      </w:r>
      <w:r>
        <w:rPr/>
        <w:t> deviations exceeding 100,000 and 71,000 respectively. In contrast, Onions display remarkabl</w:t>
      </w:r>
      <w:r>
        <w:rPr/>
        <w:t>e</w:t>
      </w:r>
      <w:r>
        <w:rPr/>
        <w:t> stability, with a standard deviation of only 7,253, suggesting that their production is re</w:t>
      </w:r>
      <w:r>
        <w:rPr/>
        <w:t>latively</w:t>
      </w:r>
      <w:r>
        <w:rPr/>
        <w:t> predictable</w:t>
      </w:r>
      <w:r>
        <w:rPr>
          <w:spacing w:val="-2"/>
        </w:rPr>
        <w:t> </w:t>
      </w:r>
      <w:r>
        <w:rPr/>
        <w:t>compared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other</w:t>
      </w:r>
      <w:r>
        <w:rPr>
          <w:spacing w:val="-5"/>
        </w:rPr>
        <w:t> </w:t>
      </w:r>
      <w:r>
        <w:rPr/>
        <w:t>crops.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differences</w:t>
      </w:r>
      <w:r>
        <w:rPr>
          <w:spacing w:val="-3"/>
        </w:rPr>
        <w:t> </w:t>
      </w:r>
      <w:r>
        <w:rPr/>
        <w:t>highlight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importance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conside</w:t>
      </w:r>
      <w:r>
        <w:rPr/>
        <w:t>ring</w:t>
      </w:r>
      <w:r>
        <w:rPr/>
        <w:t> both average levels and volatility when evaluating crop contributions.</w:t>
      </w:r>
    </w:p>
    <w:p>
      <w:pPr>
        <w:pStyle w:val="BodyText"/>
        <w:spacing w:line="259" w:lineRule="auto" w:before="158"/>
        <w:ind w:right="1116"/>
      </w:pPr>
      <w:r>
        <w:rPr/>
        <w:t>The range of values further emphasizes the diversity in production dynamics. Corn’s </w:t>
      </w:r>
      <w:r>
        <w:rPr/>
        <w:t>output</w:t>
      </w:r>
      <w:r>
        <w:rPr/>
        <w:t> spans from a minimum of 60,805 to a maximum of 828,144, while Green Peas range fr</w:t>
      </w:r>
      <w:r>
        <w:rPr/>
        <w:t>om</w:t>
      </w:r>
      <w:r>
        <w:rPr/>
        <w:t> 62,448 to 706,658, reflecting sharp seasonal or cyclical peaks. Green Beans and Carrots </w:t>
      </w:r>
      <w:r>
        <w:rPr/>
        <w:t>also</w:t>
      </w:r>
      <w:r>
        <w:rPr/>
        <w:t> show wide ranges, whereas Onions remain tightly bounded between 19,304 and 53,606. </w:t>
      </w:r>
      <w:r>
        <w:rPr/>
        <w:t>Total</w:t>
      </w:r>
      <w:r>
        <w:rPr/>
        <w:t> Vegetables range from just over 1 million to 2.65 million, illustrating the aggregate effect </w:t>
      </w:r>
      <w:r>
        <w:rPr/>
        <w:t>of</w:t>
      </w:r>
      <w:r>
        <w:rPr/>
        <w:t> these</w:t>
      </w:r>
      <w:r>
        <w:rPr>
          <w:spacing w:val="-5"/>
        </w:rPr>
        <w:t> </w:t>
      </w:r>
      <w:r>
        <w:rPr/>
        <w:t>fluctuations.</w:t>
      </w:r>
      <w:r>
        <w:rPr>
          <w:spacing w:val="-3"/>
        </w:rPr>
        <w:t> </w:t>
      </w:r>
      <w:r>
        <w:rPr/>
        <w:t>Together,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descriptive</w:t>
      </w:r>
      <w:r>
        <w:rPr>
          <w:spacing w:val="-4"/>
        </w:rPr>
        <w:t> </w:t>
      </w:r>
      <w:r>
        <w:rPr/>
        <w:t>statistics</w:t>
      </w:r>
      <w:r>
        <w:rPr>
          <w:spacing w:val="-2"/>
        </w:rPr>
        <w:t> </w:t>
      </w:r>
      <w:r>
        <w:rPr/>
        <w:t>provide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comprehensive</w:t>
      </w:r>
      <w:r>
        <w:rPr>
          <w:spacing w:val="-3"/>
        </w:rPr>
        <w:t> </w:t>
      </w:r>
      <w:r>
        <w:rPr/>
        <w:t>overview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/>
        <w:t> dataset, establishing a foundation for deeper correlation analysis and visualization in subseque</w:t>
      </w:r>
      <w:r>
        <w:rPr/>
        <w:t>nt</w:t>
      </w:r>
      <w:r>
        <w:rPr/>
        <w:t> </w:t>
      </w:r>
      <w:r>
        <w:rPr>
          <w:spacing w:val="-2"/>
        </w:rPr>
        <w:t>sections.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2"/>
      </w:pPr>
      <w:r>
        <w:rPr/>
        <w:t>Correlation</w:t>
      </w:r>
      <w:r>
        <w:rPr>
          <w:spacing w:val="-4"/>
        </w:rPr>
        <w:t> </w:t>
      </w:r>
      <w:r>
        <w:rPr>
          <w:spacing w:val="-2"/>
        </w:rPr>
        <w:t>Analysis:</w:t>
      </w:r>
    </w:p>
    <w:p>
      <w:pPr>
        <w:pStyle w:val="BodyText"/>
        <w:rPr>
          <w:b/>
        </w:rPr>
      </w:pPr>
    </w:p>
    <w:p>
      <w:pPr>
        <w:pStyle w:val="BodyText"/>
        <w:spacing w:before="89"/>
        <w:rPr>
          <w:b/>
        </w:rPr>
      </w:pPr>
    </w:p>
    <w:p>
      <w:pPr>
        <w:pStyle w:val="BodyText"/>
        <w:spacing w:line="259" w:lineRule="auto"/>
        <w:ind w:right="1153"/>
      </w:pPr>
      <w:r>
        <w:rPr/>
        <w:t>The correlation analysis highlights the degree of association between individual crops and </w:t>
      </w:r>
      <w:r>
        <w:rPr/>
        <w:t>the</w:t>
      </w:r>
      <w:r>
        <w:rPr/>
        <w:t> aggregate measure of total vegetable production. Corn exhibits the strongest relationship </w:t>
      </w:r>
      <w:r>
        <w:rPr/>
        <w:t>with</w:t>
      </w:r>
      <w:r>
        <w:rPr/>
        <w:t> Total</w:t>
      </w:r>
      <w:r>
        <w:rPr>
          <w:spacing w:val="-4"/>
        </w:rPr>
        <w:t> </w:t>
      </w:r>
      <w:r>
        <w:rPr/>
        <w:t>Vegetables,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correlation</w:t>
      </w:r>
      <w:r>
        <w:rPr>
          <w:spacing w:val="-4"/>
        </w:rPr>
        <w:t> </w:t>
      </w:r>
      <w:r>
        <w:rPr/>
        <w:t>coefficient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approximately</w:t>
      </w:r>
      <w:r>
        <w:rPr>
          <w:spacing w:val="-4"/>
        </w:rPr>
        <w:t> </w:t>
      </w:r>
      <w:r>
        <w:rPr/>
        <w:t>0.92,</w:t>
      </w:r>
      <w:r>
        <w:rPr>
          <w:spacing w:val="-4"/>
        </w:rPr>
        <w:t> </w:t>
      </w:r>
      <w:r>
        <w:rPr/>
        <w:t>confirming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dominant</w:t>
      </w:r>
      <w:r>
        <w:rPr/>
        <w:t> role in driving overall output. Green Beans also show a very high correlation with the </w:t>
      </w:r>
      <w:r>
        <w:rPr/>
        <w:t>total</w:t>
      </w:r>
      <w:r>
        <w:rPr/>
        <w:t> (0.91), suggesting that fluctuations in their production closely mirror changes in aggrega</w:t>
      </w:r>
      <w:r>
        <w:rPr/>
        <w:t>te</w:t>
      </w:r>
      <w:r>
        <w:rPr/>
        <w:t> supply. Green Peas, while somewhat less influential, still maintain a moderate </w:t>
      </w:r>
      <w:r>
        <w:rPr/>
        <w:t>positive</w:t>
      </w:r>
      <w:r>
        <w:rPr/>
        <w:t> correlation (0.64) with Total Vegetables, reinforcing their importance in shaping overa</w:t>
      </w:r>
      <w:r>
        <w:rPr/>
        <w:t>ll</w:t>
      </w:r>
      <w:r>
        <w:rPr/>
        <w:t> production levels.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line="259" w:lineRule="auto" w:before="1"/>
        <w:ind w:right="1153"/>
      </w:pPr>
      <w:r>
        <w:rPr/>
        <w:t>Other crops display weaker or more variable relationships with the aggregate. Car</w:t>
      </w:r>
      <w:r>
        <w:rPr/>
        <w:t>rots</w:t>
      </w:r>
      <w:r>
        <w:rPr/>
        <w:t> demonstrate a moderate correlation with Total Vegetables (0.47), while Onions contribute </w:t>
      </w:r>
      <w:r>
        <w:rPr/>
        <w:t>only</w:t>
      </w:r>
      <w:r>
        <w:rPr/>
        <w:t> modestly (0.37). Broccoli, in contrast, shows a very weak correlation (0.14) with the tota</w:t>
      </w:r>
      <w:r>
        <w:rPr/>
        <w:t>l,</w:t>
      </w:r>
      <w:r>
        <w:rPr/>
        <w:t> indicating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patterns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largely</w:t>
      </w:r>
      <w:r>
        <w:rPr>
          <w:spacing w:val="-4"/>
        </w:rPr>
        <w:t> </w:t>
      </w:r>
      <w:r>
        <w:rPr/>
        <w:t>independent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broader</w:t>
      </w:r>
      <w:r>
        <w:rPr>
          <w:spacing w:val="-4"/>
        </w:rPr>
        <w:t> </w:t>
      </w:r>
      <w:r>
        <w:rPr/>
        <w:t>vegetable</w:t>
      </w:r>
      <w:r>
        <w:rPr>
          <w:spacing w:val="-5"/>
        </w:rPr>
        <w:t> </w:t>
      </w:r>
      <w:r>
        <w:rPr/>
        <w:t>output.</w:t>
      </w:r>
      <w:r>
        <w:rPr>
          <w:spacing w:val="-4"/>
        </w:rPr>
        <w:t> </w:t>
      </w:r>
      <w:r>
        <w:rPr/>
        <w:t>These</w:t>
      </w:r>
    </w:p>
    <w:p>
      <w:pPr>
        <w:pStyle w:val="BodyText"/>
        <w:spacing w:after="0" w:line="259" w:lineRule="auto"/>
        <w:sectPr>
          <w:pgSz w:w="12240" w:h="15840"/>
          <w:pgMar w:top="1360" w:bottom="280" w:left="1440" w:right="360"/>
        </w:sectPr>
      </w:pPr>
    </w:p>
    <w:p>
      <w:pPr>
        <w:pStyle w:val="BodyText"/>
        <w:spacing w:line="259" w:lineRule="auto" w:before="79"/>
        <w:ind w:right="1062"/>
      </w:pPr>
      <w:r>
        <w:rPr/>
        <w:t>differences underscore the uneven influence of individual crops on aggregate supply, with </w:t>
      </w:r>
      <w:r>
        <w:rPr/>
        <w:t>Corn</w:t>
      </w:r>
      <w:r>
        <w:rPr/>
        <w:t> and</w:t>
      </w:r>
      <w:r>
        <w:rPr>
          <w:spacing w:val="-3"/>
        </w:rPr>
        <w:t> </w:t>
      </w:r>
      <w:r>
        <w:rPr/>
        <w:t>Green</w:t>
      </w:r>
      <w:r>
        <w:rPr>
          <w:spacing w:val="-3"/>
        </w:rPr>
        <w:t> </w:t>
      </w:r>
      <w:r>
        <w:rPr/>
        <w:t>Beans</w:t>
      </w:r>
      <w:r>
        <w:rPr>
          <w:spacing w:val="-2"/>
        </w:rPr>
        <w:t> </w:t>
      </w:r>
      <w:r>
        <w:rPr/>
        <w:t>emerging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drivers,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Broccoli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Onions</w:t>
      </w:r>
      <w:r>
        <w:rPr>
          <w:spacing w:val="-3"/>
        </w:rPr>
        <w:t> </w:t>
      </w:r>
      <w:r>
        <w:rPr/>
        <w:t>play</w:t>
      </w:r>
      <w:r>
        <w:rPr>
          <w:spacing w:val="-3"/>
        </w:rPr>
        <w:t> </w:t>
      </w:r>
      <w:r>
        <w:rPr/>
        <w:t>more</w:t>
      </w:r>
      <w:r>
        <w:rPr>
          <w:spacing w:val="-5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roles.</w:t>
      </w:r>
    </w:p>
    <w:p>
      <w:pPr>
        <w:pStyle w:val="BodyText"/>
        <w:spacing w:line="259" w:lineRule="auto" w:before="160"/>
        <w:ind w:right="1246"/>
      </w:pPr>
      <w:r>
        <w:rPr/>
        <w:t>The inter-crop correlations provide further insight into production dynamics. Corn is positive</w:t>
      </w:r>
      <w:r>
        <w:rPr/>
        <w:t>ly</w:t>
      </w:r>
      <w:r>
        <w:rPr/>
        <w:t> associated with Green Beans (</w:t>
      </w:r>
      <w:r>
        <w:rPr>
          <w:b/>
        </w:rPr>
        <w:t>0.79</w:t>
      </w:r>
      <w:r>
        <w:rPr/>
        <w:t>) and Carrots (</w:t>
      </w:r>
      <w:r>
        <w:rPr>
          <w:b/>
        </w:rPr>
        <w:t>0.53</w:t>
      </w:r>
      <w:r>
        <w:rPr/>
        <w:t>), suggesting that these crops may shar</w:t>
      </w:r>
      <w:r>
        <w:rPr/>
        <w:t>e</w:t>
      </w:r>
      <w:r>
        <w:rPr/>
        <w:t> similar seasonal cycles or resource dependencies. Green Beans also correlate strongly </w:t>
      </w:r>
      <w:r>
        <w:rPr/>
        <w:t>with</w:t>
      </w:r>
      <w:r>
        <w:rPr/>
        <w:t> Green Peas (</w:t>
      </w:r>
      <w:r>
        <w:rPr>
          <w:b/>
        </w:rPr>
        <w:t>0.73</w:t>
      </w:r>
      <w:r>
        <w:rPr/>
        <w:t>), reflecting possible complementarities in cultivation or demand. Converse</w:t>
      </w:r>
      <w:r>
        <w:rPr/>
        <w:t>ly,</w:t>
      </w:r>
      <w:r>
        <w:rPr/>
        <w:t> Carrots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Green</w:t>
      </w:r>
      <w:r>
        <w:rPr>
          <w:spacing w:val="-3"/>
        </w:rPr>
        <w:t> </w:t>
      </w:r>
      <w:r>
        <w:rPr/>
        <w:t>Peas</w:t>
      </w:r>
      <w:r>
        <w:rPr>
          <w:spacing w:val="-3"/>
        </w:rPr>
        <w:t> </w:t>
      </w:r>
      <w:r>
        <w:rPr/>
        <w:t>exhibit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slight</w:t>
      </w:r>
      <w:r>
        <w:rPr>
          <w:spacing w:val="-3"/>
        </w:rPr>
        <w:t> </w:t>
      </w:r>
      <w:r>
        <w:rPr/>
        <w:t>negative</w:t>
      </w:r>
      <w:r>
        <w:rPr>
          <w:spacing w:val="-4"/>
        </w:rPr>
        <w:t> </w:t>
      </w:r>
      <w:r>
        <w:rPr/>
        <w:t>correlation (</w:t>
      </w:r>
      <w:r>
        <w:rPr>
          <w:b/>
        </w:rPr>
        <w:t>-0.15</w:t>
      </w:r>
      <w:r>
        <w:rPr>
          <w:b/>
          <w:spacing w:val="-2"/>
        </w:rPr>
        <w:t> </w:t>
      </w:r>
      <w:r>
        <w:rPr>
          <w:b/>
        </w:rPr>
        <w:t>to</w:t>
      </w:r>
      <w:r>
        <w:rPr>
          <w:b/>
          <w:spacing w:val="-4"/>
        </w:rPr>
        <w:t> </w:t>
      </w:r>
      <w:r>
        <w:rPr>
          <w:b/>
        </w:rPr>
        <w:t>-0.20</w:t>
      </w:r>
      <w:r>
        <w:rPr/>
        <w:t>),</w:t>
      </w:r>
      <w:r>
        <w:rPr>
          <w:spacing w:val="-3"/>
        </w:rPr>
        <w:t> </w:t>
      </w:r>
      <w:r>
        <w:rPr/>
        <w:t>hinting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potentia</w:t>
      </w:r>
      <w:r>
        <w:rPr/>
        <w:t>l</w:t>
      </w:r>
      <w:r>
        <w:rPr/>
        <w:t> trade-offs in production. Taken together, the correlation analysis reveals a network </w:t>
      </w:r>
      <w:r>
        <w:rPr/>
        <w:t>of</w:t>
      </w:r>
      <w:r>
        <w:rPr/>
        <w:t> relationships that helps explain how fluctuations in one crop can ripple through the broade</w:t>
      </w:r>
      <w:r>
        <w:rPr/>
        <w:t>r</w:t>
      </w:r>
      <w:r>
        <w:rPr/>
        <w:t> agricultural system, guiding resource allocation and risk management strategies.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1116409</wp:posOffset>
            </wp:positionH>
            <wp:positionV relativeFrom="paragraph">
              <wp:posOffset>201870</wp:posOffset>
            </wp:positionV>
            <wp:extent cx="5940468" cy="394820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68" cy="3948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0"/>
      </w:pPr>
    </w:p>
    <w:p>
      <w:pPr>
        <w:spacing w:before="0"/>
        <w:ind w:left="0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Figure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1: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Correlation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between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crop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2"/>
          <w:sz w:val="22"/>
        </w:rPr>
        <w:t>productions</w:t>
      </w:r>
    </w:p>
    <w:p>
      <w:pPr>
        <w:spacing w:after="0"/>
        <w:jc w:val="left"/>
        <w:rPr>
          <w:rFonts w:ascii="Calibri"/>
          <w:sz w:val="22"/>
        </w:rPr>
        <w:sectPr>
          <w:pgSz w:w="12240" w:h="15840"/>
          <w:pgMar w:top="1360" w:bottom="280" w:left="1440" w:right="360"/>
        </w:sectPr>
      </w:pPr>
    </w:p>
    <w:p>
      <w:pPr>
        <w:pStyle w:val="Heading1"/>
        <w:spacing w:before="60"/>
        <w:ind w:left="720"/>
      </w:pPr>
      <w:r>
        <w:rPr>
          <w:spacing w:val="-2"/>
        </w:rPr>
        <w:t>Visualizations</w:t>
      </w:r>
    </w:p>
    <w:p>
      <w:pPr>
        <w:pStyle w:val="BodyText"/>
        <w:spacing w:before="320"/>
        <w:rPr>
          <w:b/>
          <w:sz w:val="28"/>
        </w:rPr>
      </w:pPr>
    </w:p>
    <w:p>
      <w:pPr>
        <w:pStyle w:val="Heading2"/>
        <w:ind w:left="720"/>
      </w:pPr>
      <w:r>
        <w:rPr/>
        <w:t>Line </w:t>
      </w:r>
      <w:r>
        <w:rPr>
          <w:spacing w:val="-2"/>
        </w:rPr>
        <w:t>plot:</w:t>
      </w:r>
    </w:p>
    <w:p>
      <w:pPr>
        <w:pStyle w:val="BodyText"/>
        <w:spacing w:before="26"/>
        <w:rPr>
          <w:b/>
        </w:rPr>
      </w:pPr>
    </w:p>
    <w:p>
      <w:pPr>
        <w:pStyle w:val="BodyText"/>
        <w:spacing w:before="1"/>
        <w:ind w:right="1153"/>
      </w:pPr>
      <w:r>
        <w:rPr/>
        <w:t>The</w:t>
      </w:r>
      <w:r>
        <w:rPr>
          <w:spacing w:val="-5"/>
        </w:rPr>
        <w:t> </w:t>
      </w:r>
      <w:r>
        <w:rPr/>
        <w:t>line</w:t>
      </w:r>
      <w:r>
        <w:rPr>
          <w:spacing w:val="-4"/>
        </w:rPr>
        <w:t> </w:t>
      </w:r>
      <w:r>
        <w:rPr/>
        <w:t>plot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trends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clear</w:t>
      </w:r>
      <w:r>
        <w:rPr>
          <w:spacing w:val="-3"/>
        </w:rPr>
        <w:t> </w:t>
      </w:r>
      <w:r>
        <w:rPr/>
        <w:t>view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how</w:t>
      </w:r>
      <w:r>
        <w:rPr>
          <w:spacing w:val="-3"/>
        </w:rPr>
        <w:t> </w:t>
      </w:r>
      <w:r>
        <w:rPr/>
        <w:t>each</w:t>
      </w:r>
      <w:r>
        <w:rPr>
          <w:spacing w:val="-1"/>
        </w:rPr>
        <w:t> </w:t>
      </w:r>
      <w:r>
        <w:rPr/>
        <w:t>crop</w:t>
      </w:r>
      <w:r>
        <w:rPr>
          <w:spacing w:val="-3"/>
        </w:rPr>
        <w:t> </w:t>
      </w:r>
      <w:r>
        <w:rPr/>
        <w:t>evolve</w:t>
      </w:r>
      <w:r>
        <w:rPr/>
        <w:t>s</w:t>
      </w:r>
      <w:r>
        <w:rPr/>
        <w:t> over time and how they collectively shape total vegetable output. The </w:t>
      </w:r>
      <w:r>
        <w:rPr>
          <w:b/>
        </w:rPr>
        <w:t>Total Vegetables </w:t>
      </w:r>
      <w:r>
        <w:rPr>
          <w:b/>
        </w:rPr>
        <w:t>line</w:t>
      </w:r>
      <w:r>
        <w:rPr>
          <w:b/>
        </w:rPr>
        <w:t> </w:t>
      </w:r>
      <w:r>
        <w:rPr/>
        <w:t>dominates the chart, reflecting the aggregate effect of all crops, and shows strong cyclica</w:t>
      </w:r>
      <w:r>
        <w:rPr/>
        <w:t>l</w:t>
      </w:r>
      <w:r>
        <w:rPr/>
        <w:t> fluctuations across the 168 months. These peaks and troughs highlight seasonal produc</w:t>
      </w:r>
      <w:r>
        <w:rPr/>
        <w:t>tion</w:t>
      </w:r>
      <w:r>
        <w:rPr/>
        <w:t> cycles, with sharp rises during harvest periods and declines in off-season months.</w:t>
      </w:r>
    </w:p>
    <w:p>
      <w:pPr>
        <w:pStyle w:val="BodyText"/>
        <w:spacing w:before="4"/>
      </w:pPr>
    </w:p>
    <w:p>
      <w:pPr>
        <w:pStyle w:val="BodyText"/>
        <w:ind w:right="1153"/>
      </w:pPr>
      <w:r>
        <w:rPr/>
        <w:t>Corn,</w:t>
      </w:r>
      <w:r>
        <w:rPr>
          <w:spacing w:val="-4"/>
        </w:rPr>
        <w:t> </w:t>
      </w:r>
      <w:r>
        <w:rPr/>
        <w:t>represented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green</w:t>
      </w:r>
      <w:r>
        <w:rPr>
          <w:spacing w:val="-4"/>
        </w:rPr>
        <w:t> </w:t>
      </w:r>
      <w:r>
        <w:rPr/>
        <w:t>line,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4"/>
        </w:rPr>
        <w:t> </w:t>
      </w:r>
      <w:r>
        <w:rPr/>
        <w:t>prominent</w:t>
      </w:r>
      <w:r>
        <w:rPr>
          <w:spacing w:val="-4"/>
        </w:rPr>
        <w:t> </w:t>
      </w:r>
      <w:r>
        <w:rPr/>
        <w:t>individual</w:t>
      </w:r>
      <w:r>
        <w:rPr>
          <w:spacing w:val="-4"/>
        </w:rPr>
        <w:t> </w:t>
      </w:r>
      <w:r>
        <w:rPr/>
        <w:t>crop,</w:t>
      </w:r>
      <w:r>
        <w:rPr>
          <w:spacing w:val="-4"/>
        </w:rPr>
        <w:t> </w:t>
      </w:r>
      <w:r>
        <w:rPr/>
        <w:t>consistently</w:t>
      </w:r>
      <w:r>
        <w:rPr>
          <w:spacing w:val="-4"/>
        </w:rPr>
        <w:t> </w:t>
      </w:r>
      <w:r>
        <w:rPr/>
        <w:t>trac</w:t>
      </w:r>
      <w:r>
        <w:rPr/>
        <w:t>king</w:t>
      </w:r>
      <w:r>
        <w:rPr/>
        <w:t> close to the overall total. Its large swings mirror the aggregate pattern, reinforcing the earlie</w:t>
      </w:r>
      <w:r>
        <w:rPr/>
        <w:t>r</w:t>
      </w:r>
      <w:r>
        <w:rPr/>
        <w:t> correlation analysis that identified Corn as the strongest driver of total vegetable production.</w:t>
      </w:r>
    </w:p>
    <w:p>
      <w:pPr>
        <w:pStyle w:val="BodyText"/>
        <w:spacing w:before="1"/>
        <w:ind w:right="1153"/>
      </w:pPr>
      <w:r>
        <w:rPr/>
        <w:t>Green</w:t>
      </w:r>
      <w:r>
        <w:rPr>
          <w:spacing w:val="-4"/>
        </w:rPr>
        <w:t> </w:t>
      </w:r>
      <w:r>
        <w:rPr/>
        <w:t>Beans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Green</w:t>
      </w:r>
      <w:r>
        <w:rPr>
          <w:spacing w:val="-2"/>
        </w:rPr>
        <w:t> </w:t>
      </w:r>
      <w:r>
        <w:rPr/>
        <w:t>Peas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show</w:t>
      </w:r>
      <w:r>
        <w:rPr>
          <w:spacing w:val="-4"/>
        </w:rPr>
        <w:t> </w:t>
      </w:r>
      <w:r>
        <w:rPr/>
        <w:t>noticeable</w:t>
      </w:r>
      <w:r>
        <w:rPr>
          <w:spacing w:val="-5"/>
        </w:rPr>
        <w:t> </w:t>
      </w:r>
      <w:r>
        <w:rPr/>
        <w:t>cycles,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spikes</w:t>
      </w:r>
      <w:r>
        <w:rPr>
          <w:spacing w:val="-4"/>
        </w:rPr>
        <w:t> </w:t>
      </w:r>
      <w:r>
        <w:rPr/>
        <w:t>aligning</w:t>
      </w:r>
      <w:r>
        <w:rPr>
          <w:spacing w:val="-4"/>
        </w:rPr>
        <w:t> </w:t>
      </w:r>
      <w:r>
        <w:rPr/>
        <w:t>with</w:t>
      </w:r>
      <w:r>
        <w:rPr/>
        <w:t> Corn’s peaks, suggesting shared seasonal or resource dependencies.</w:t>
      </w:r>
    </w:p>
    <w:p>
      <w:pPr>
        <w:pStyle w:val="BodyText"/>
        <w:spacing w:before="2"/>
      </w:pPr>
    </w:p>
    <w:p>
      <w:pPr>
        <w:pStyle w:val="BodyText"/>
        <w:spacing w:line="259" w:lineRule="auto" w:before="1"/>
        <w:ind w:right="1062" w:firstLine="719"/>
      </w:pPr>
      <w:r>
        <w:rPr/>
        <w:t>Smaller crops such as Broccoli and Onions exhibit relatively stable patterns, with lowe</w:t>
      </w:r>
      <w:r>
        <w:rPr/>
        <w:t>r</w:t>
      </w:r>
      <w:r>
        <w:rPr/>
        <w:t> production volumes and less pronounced fluctuations. Their steadiness contrasts with </w:t>
      </w:r>
      <w:r>
        <w:rPr/>
        <w:t>the</w:t>
      </w:r>
      <w:r>
        <w:rPr/>
        <w:t> volatility of Corn and Peas, underscoring their limited impact on total output. Overall, the </w:t>
      </w:r>
      <w:r>
        <w:rPr/>
        <w:t>line</w:t>
      </w:r>
      <w:r>
        <w:rPr/>
        <w:t> plot visually confirms the statistical findings: Corn and Green Beans are central to aggrega</w:t>
      </w:r>
      <w:r>
        <w:rPr/>
        <w:t>te</w:t>
      </w:r>
      <w:r>
        <w:rPr/>
        <w:t> production,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Broccoli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Onions</w:t>
      </w:r>
      <w:r>
        <w:rPr>
          <w:spacing w:val="-4"/>
        </w:rPr>
        <w:t> </w:t>
      </w:r>
      <w:r>
        <w:rPr/>
        <w:t>play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peripheral</w:t>
      </w:r>
      <w:r>
        <w:rPr>
          <w:spacing w:val="-4"/>
        </w:rPr>
        <w:t> </w:t>
      </w:r>
      <w:r>
        <w:rPr/>
        <w:t>roles.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visualization</w:t>
      </w:r>
      <w:r>
        <w:rPr>
          <w:spacing w:val="-4"/>
        </w:rPr>
        <w:t> </w:t>
      </w:r>
      <w:r>
        <w:rPr/>
        <w:t>stre</w:t>
      </w:r>
      <w:r>
        <w:rPr/>
        <w:t>ngthens</w:t>
      </w:r>
      <w:r>
        <w:rPr/>
        <w:t> the case for prioritizing resource allocation toward the crops that most influence total supply.</w:t>
      </w:r>
    </w:p>
    <w:p>
      <w:pPr>
        <w:pStyle w:val="BodyText"/>
        <w:spacing w:after="0" w:line="259" w:lineRule="auto"/>
        <w:sectPr>
          <w:pgSz w:w="12240" w:h="15840"/>
          <w:pgMar w:top="1380" w:bottom="280" w:left="1440" w:right="360"/>
        </w:sectPr>
      </w:pPr>
    </w:p>
    <w:p>
      <w:pPr>
        <w:pStyle w:val="BodyText"/>
        <w:ind w:left="840"/>
        <w:rPr>
          <w:sz w:val="20"/>
        </w:rPr>
      </w:pPr>
      <w:r>
        <w:rPr>
          <w:sz w:val="20"/>
        </w:rPr>
        <w:drawing>
          <wp:inline distT="0" distB="0" distL="0" distR="0">
            <wp:extent cx="5846318" cy="469372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318" cy="469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7"/>
      </w:pPr>
    </w:p>
    <w:p>
      <w:pPr>
        <w:pStyle w:val="BodyText"/>
        <w:ind w:left="1440"/>
        <w:rPr>
          <w:rFonts w:ascii="Calibri"/>
        </w:rPr>
      </w:pPr>
      <w:r>
        <w:rPr>
          <w:rFonts w:ascii="Calibri"/>
          <w:b/>
        </w:rPr>
        <w:t>Figure</w:t>
      </w:r>
      <w:r>
        <w:rPr>
          <w:rFonts w:ascii="Calibri"/>
          <w:b/>
          <w:spacing w:val="-2"/>
        </w:rPr>
        <w:t> </w:t>
      </w:r>
      <w:r>
        <w:rPr>
          <w:rFonts w:ascii="Calibri"/>
          <w:b/>
        </w:rPr>
        <w:t>2</w:t>
      </w:r>
      <w:r>
        <w:rPr>
          <w:rFonts w:ascii="Calibri"/>
        </w:rPr>
        <w:t>:</w:t>
      </w:r>
      <w:r>
        <w:rPr>
          <w:rFonts w:ascii="Calibri"/>
          <w:spacing w:val="-1"/>
        </w:rPr>
        <w:t> </w:t>
      </w:r>
      <w:r>
        <w:rPr>
          <w:rFonts w:ascii="Calibri"/>
        </w:rPr>
        <w:t>Monthly</w:t>
      </w:r>
      <w:r>
        <w:rPr>
          <w:rFonts w:ascii="Calibri"/>
          <w:spacing w:val="-5"/>
        </w:rPr>
        <w:t> </w:t>
      </w:r>
      <w:r>
        <w:rPr>
          <w:rFonts w:ascii="Calibri"/>
        </w:rPr>
        <w:t>Total</w:t>
      </w:r>
      <w:r>
        <w:rPr>
          <w:rFonts w:ascii="Calibri"/>
          <w:spacing w:val="-6"/>
        </w:rPr>
        <w:t> </w:t>
      </w:r>
      <w:r>
        <w:rPr>
          <w:rFonts w:ascii="Calibri"/>
        </w:rPr>
        <w:t>Vegetable</w:t>
      </w:r>
      <w:r>
        <w:rPr>
          <w:rFonts w:ascii="Calibri"/>
          <w:spacing w:val="-2"/>
        </w:rPr>
        <w:t> Production</w:t>
      </w:r>
    </w:p>
    <w:p>
      <w:pPr>
        <w:pStyle w:val="BodyText"/>
        <w:spacing w:after="0"/>
        <w:rPr>
          <w:rFonts w:ascii="Calibri"/>
        </w:rPr>
        <w:sectPr>
          <w:pgSz w:w="12240" w:h="15840"/>
          <w:pgMar w:top="1580" w:bottom="280" w:left="1440" w:right="360"/>
        </w:sectPr>
      </w:pPr>
    </w:p>
    <w:p>
      <w:pPr>
        <w:pStyle w:val="BodyText"/>
        <w:ind w:left="871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457446" cy="455437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446" cy="455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126"/>
        <w:rPr>
          <w:rFonts w:ascii="Calibri"/>
        </w:rPr>
      </w:pPr>
    </w:p>
    <w:p>
      <w:pPr>
        <w:spacing w:before="0"/>
        <w:ind w:left="720" w:right="0" w:firstLine="0"/>
        <w:jc w:val="left"/>
        <w:rPr>
          <w:rFonts w:ascii="Calibri"/>
          <w:sz w:val="24"/>
        </w:rPr>
      </w:pPr>
      <w:r>
        <w:rPr>
          <w:rFonts w:ascii="Calibri"/>
          <w:b/>
          <w:sz w:val="24"/>
        </w:rPr>
        <w:t>Figure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z w:val="24"/>
        </w:rPr>
        <w:t>3</w:t>
      </w:r>
      <w:r>
        <w:rPr>
          <w:rFonts w:ascii="Calibri"/>
          <w:sz w:val="24"/>
        </w:rPr>
        <w:t>: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Agriculture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production</w:t>
      </w:r>
      <w:r>
        <w:rPr>
          <w:rFonts w:ascii="Calibri"/>
          <w:spacing w:val="-4"/>
          <w:sz w:val="24"/>
        </w:rPr>
        <w:t> trend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75"/>
        <w:rPr>
          <w:rFonts w:ascii="Calibri"/>
        </w:rPr>
      </w:pPr>
    </w:p>
    <w:p>
      <w:pPr>
        <w:pStyle w:val="Heading2"/>
      </w:pPr>
      <w:r>
        <w:rPr>
          <w:spacing w:val="-2"/>
        </w:rPr>
        <w:t>Histogram:</w:t>
      </w:r>
    </w:p>
    <w:p>
      <w:pPr>
        <w:pStyle w:val="BodyText"/>
        <w:spacing w:line="259" w:lineRule="auto" w:before="183"/>
        <w:ind w:right="1153"/>
      </w:pPr>
      <w:r>
        <w:rPr/>
        <w:t>The histograms provide a detailed view of how production values are distributed for each c</w:t>
      </w:r>
      <w:r>
        <w:rPr/>
        <w:t>rop</w:t>
      </w:r>
      <w:r>
        <w:rPr/>
        <w:t> across the 168 months. Corn’s distribution is the most striking, with a wide spread of va</w:t>
      </w:r>
      <w:r>
        <w:rPr/>
        <w:t>lues</w:t>
      </w:r>
      <w:r>
        <w:rPr/>
        <w:t> ranging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60,000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more</w:t>
      </w:r>
      <w:r>
        <w:rPr>
          <w:spacing w:val="-5"/>
        </w:rPr>
        <w:t> </w:t>
      </w:r>
      <w:r>
        <w:rPr/>
        <w:t>than</w:t>
      </w:r>
      <w:r>
        <w:rPr>
          <w:spacing w:val="-3"/>
        </w:rPr>
        <w:t> </w:t>
      </w:r>
      <w:r>
        <w:rPr/>
        <w:t>800,000</w:t>
      </w:r>
      <w:r>
        <w:rPr>
          <w:spacing w:val="-3"/>
        </w:rPr>
        <w:t> </w:t>
      </w:r>
      <w:r>
        <w:rPr/>
        <w:t>units.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histogram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concentra</w:t>
      </w:r>
      <w:r>
        <w:rPr/>
        <w:t>tion</w:t>
      </w:r>
      <w:r>
        <w:rPr/>
        <w:t> of observations around the mid‑range (300,000–500,000), but also reveals long tails, reflec</w:t>
      </w:r>
      <w:r>
        <w:rPr/>
        <w:t>ting</w:t>
      </w:r>
      <w:r>
        <w:rPr/>
        <w:t> the crop’s volatility and seasonal peaks. Green Peas and Green Beans display similar patte</w:t>
      </w:r>
      <w:r>
        <w:rPr/>
        <w:t>rns,</w:t>
      </w:r>
      <w:r>
        <w:rPr/>
        <w:t> with broad distributions and multiple clusters, indicating that their production levels var</w:t>
      </w:r>
      <w:r>
        <w:rPr/>
        <w:t>y</w:t>
      </w:r>
      <w:r>
        <w:rPr/>
        <w:t> substantially over time rather than remaining stable.</w:t>
      </w:r>
    </w:p>
    <w:p>
      <w:pPr>
        <w:pStyle w:val="BodyText"/>
        <w:spacing w:after="0" w:line="259" w:lineRule="auto"/>
        <w:sectPr>
          <w:pgSz w:w="12240" w:h="15840"/>
          <w:pgMar w:top="1620" w:bottom="280" w:left="1440" w:right="360"/>
        </w:sectPr>
      </w:pPr>
    </w:p>
    <w:p>
      <w:pPr>
        <w:pStyle w:val="BodyText"/>
        <w:spacing w:line="259" w:lineRule="auto" w:before="79"/>
        <w:ind w:right="1062"/>
      </w:pPr>
      <w:r>
        <w:rPr/>
        <w:t>In contrast, Broccoli and Onions exhibit much tighter distributions. Broccoli’s histogram </w:t>
      </w:r>
      <w:r>
        <w:rPr/>
        <w:t>is</w:t>
      </w:r>
      <w:r>
        <w:rPr/>
        <w:t> centered around 120,000 units, with most values falling within a relatively narrow band, </w:t>
      </w:r>
      <w:r>
        <w:rPr/>
        <w:t>while</w:t>
      </w:r>
      <w:r>
        <w:rPr/>
        <w:t> Onions cluster tightly around 34,000 units. These crops show limited variability, suggesting </w:t>
      </w:r>
      <w:r>
        <w:rPr/>
        <w:t>that</w:t>
      </w:r>
      <w:r>
        <w:rPr/>
        <w:t> their production is more predictable and less influenced by seasonal shocks. Carrots occupy </w:t>
      </w:r>
      <w:r>
        <w:rPr/>
        <w:t>a</w:t>
      </w:r>
      <w:r>
        <w:rPr/>
        <w:t> middle</w:t>
      </w:r>
      <w:r>
        <w:rPr>
          <w:spacing w:val="-4"/>
        </w:rPr>
        <w:t> </w:t>
      </w:r>
      <w:r>
        <w:rPr/>
        <w:t>ground,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spread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85,000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328,000</w:t>
      </w:r>
      <w:r>
        <w:rPr>
          <w:spacing w:val="-4"/>
        </w:rPr>
        <w:t> </w:t>
      </w:r>
      <w:r>
        <w:rPr/>
        <w:t>units,</w:t>
      </w:r>
      <w:r>
        <w:rPr>
          <w:spacing w:val="-4"/>
        </w:rPr>
        <w:t> </w:t>
      </w:r>
      <w:r>
        <w:rPr/>
        <w:t>reflecting</w:t>
      </w:r>
      <w:r>
        <w:rPr>
          <w:spacing w:val="-4"/>
        </w:rPr>
        <w:t> </w:t>
      </w:r>
      <w:r>
        <w:rPr/>
        <w:t>modera</w:t>
      </w:r>
      <w:r>
        <w:rPr/>
        <w:t>te</w:t>
      </w:r>
      <w:r>
        <w:rPr/>
        <w:t> variability compared to Corn and Peas but greater than Broccoli or Onions.</w:t>
      </w:r>
    </w:p>
    <w:p>
      <w:pPr>
        <w:pStyle w:val="BodyText"/>
        <w:spacing w:line="259" w:lineRule="auto" w:before="158"/>
        <w:ind w:right="1116"/>
      </w:pPr>
      <w:r>
        <w:rPr/>
        <w:t>The histogram for Total Vegetables highlights the aggregate effect of these dynamics. </w:t>
      </w:r>
      <w:r>
        <w:rPr/>
        <w:t>Most</w:t>
      </w:r>
      <w:r>
        <w:rPr/>
        <w:t> observations cluster between 1.5 million and 2.1 million units, but the distribution extends </w:t>
      </w:r>
      <w:r>
        <w:rPr/>
        <w:t>to</w:t>
      </w:r>
      <w:r>
        <w:rPr/>
        <w:t> both lower and higher extremes, reflecting the combined influence of Corn’s volatility and </w:t>
      </w:r>
      <w:r>
        <w:rPr/>
        <w:t>the</w:t>
      </w:r>
      <w:r>
        <w:rPr/>
        <w:t> cyclical peaks of Green Beans and Peas. Overall, the histograms confirm the desc</w:t>
      </w:r>
      <w:r>
        <w:rPr/>
        <w:t>riptive</w:t>
      </w:r>
      <w:r>
        <w:rPr/>
        <w:t> statistics: Corn, Green Beans, and Peas are highly variable crops, while Broccoli and </w:t>
      </w:r>
      <w:r>
        <w:rPr/>
        <w:t>Onions</w:t>
      </w:r>
      <w:r>
        <w:rPr/>
        <w:t> remain</w:t>
      </w:r>
      <w:r>
        <w:rPr>
          <w:spacing w:val="-5"/>
        </w:rPr>
        <w:t> </w:t>
      </w:r>
      <w:r>
        <w:rPr/>
        <w:t>relatively</w:t>
      </w:r>
      <w:r>
        <w:rPr>
          <w:spacing w:val="-5"/>
        </w:rPr>
        <w:t> </w:t>
      </w:r>
      <w:r>
        <w:rPr/>
        <w:t>stable.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visualization</w:t>
      </w:r>
      <w:r>
        <w:rPr>
          <w:spacing w:val="-5"/>
        </w:rPr>
        <w:t> </w:t>
      </w:r>
      <w:r>
        <w:rPr/>
        <w:t>underscores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importance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distinguishing</w:t>
      </w:r>
      <w:r>
        <w:rPr>
          <w:spacing w:val="-5"/>
        </w:rPr>
        <w:t> </w:t>
      </w:r>
      <w:r>
        <w:rPr/>
        <w:t>betwee</w:t>
      </w:r>
      <w:r>
        <w:rPr/>
        <w:t>n</w:t>
      </w:r>
      <w:r>
        <w:rPr/>
        <w:t> crops that drive aggregate fluctuations and those that provide consistency in total output.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1039677</wp:posOffset>
            </wp:positionH>
            <wp:positionV relativeFrom="paragraph">
              <wp:posOffset>294768</wp:posOffset>
            </wp:positionV>
            <wp:extent cx="6349921" cy="446703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921" cy="4467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9"/>
      </w:pPr>
    </w:p>
    <w:p>
      <w:pPr>
        <w:spacing w:before="0"/>
        <w:ind w:left="0" w:right="0" w:firstLine="0"/>
        <w:jc w:val="left"/>
        <w:rPr>
          <w:rFonts w:ascii="Calibri"/>
          <w:sz w:val="24"/>
        </w:rPr>
      </w:pPr>
      <w:r>
        <w:rPr>
          <w:rFonts w:ascii="Calibri"/>
          <w:b/>
          <w:sz w:val="24"/>
        </w:rPr>
        <w:t>Figure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4: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sz w:val="24"/>
        </w:rPr>
        <w:t>Distribution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of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crop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pacing w:val="-2"/>
          <w:sz w:val="24"/>
        </w:rPr>
        <w:t>production</w:t>
      </w:r>
    </w:p>
    <w:p>
      <w:pPr>
        <w:spacing w:after="0"/>
        <w:jc w:val="left"/>
        <w:rPr>
          <w:rFonts w:ascii="Calibri"/>
          <w:sz w:val="24"/>
        </w:rPr>
        <w:sectPr>
          <w:pgSz w:w="12240" w:h="15840"/>
          <w:pgMar w:top="1360" w:bottom="280" w:left="1440" w:right="360"/>
        </w:sectPr>
      </w:pPr>
    </w:p>
    <w:p>
      <w:pPr>
        <w:pStyle w:val="BodyText"/>
        <w:ind w:left="36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709284" cy="381304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284" cy="381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128"/>
        <w:rPr>
          <w:rFonts w:ascii="Calibri"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Figure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2"/>
          <w:sz w:val="24"/>
        </w:rPr>
        <w:t> </w:t>
      </w:r>
      <w:r>
        <w:rPr>
          <w:sz w:val="24"/>
        </w:rPr>
        <w:t>Histogram of</w:t>
      </w:r>
      <w:r>
        <w:rPr>
          <w:spacing w:val="-1"/>
          <w:sz w:val="24"/>
        </w:rPr>
        <w:t> </w:t>
      </w:r>
      <w:r>
        <w:rPr>
          <w:sz w:val="24"/>
        </w:rPr>
        <w:t>corn </w:t>
      </w:r>
      <w:r>
        <w:rPr>
          <w:spacing w:val="-2"/>
          <w:sz w:val="24"/>
        </w:rPr>
        <w:t>production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259" w:lineRule="auto"/>
        <w:ind w:right="1062"/>
      </w:pPr>
      <w:r>
        <w:rPr/>
        <w:t>The histogram of corn production illustrates the distribution of monthly output values across </w:t>
      </w:r>
      <w:r>
        <w:rPr/>
        <w:t>the</w:t>
      </w:r>
      <w:r>
        <w:rPr/>
        <w:t> dataset. Most observations cluster between </w:t>
      </w:r>
      <w:r>
        <w:rPr>
          <w:b/>
        </w:rPr>
        <w:t>200,000 and 600,000 units</w:t>
      </w:r>
      <w:r>
        <w:rPr/>
        <w:t>, with the tallest ba</w:t>
      </w:r>
      <w:r>
        <w:rPr/>
        <w:t>rs</w:t>
      </w:r>
      <w:r>
        <w:rPr/>
        <w:t> appearing in this mid-range, indicating that corn production frequently falls within these leve</w:t>
      </w:r>
      <w:r>
        <w:rPr/>
        <w:t>ls.</w:t>
      </w:r>
      <w:r>
        <w:rPr/>
        <w:t> The distribution also shows a long right tail, extending toward the maximum of </w:t>
      </w:r>
      <w:r>
        <w:rPr>
          <w:b/>
        </w:rPr>
        <w:t>828,144 units</w:t>
      </w:r>
      <w:r>
        <w:rPr/>
        <w:t>,</w:t>
      </w:r>
      <w:r>
        <w:rPr/>
        <w:t> which reflects occasional seasonal peaks or exceptional harvests. At the lower end, a </w:t>
      </w:r>
      <w:r>
        <w:rPr/>
        <w:t>small</w:t>
      </w:r>
      <w:r>
        <w:rPr/>
        <w:t> number</w:t>
      </w:r>
      <w:r>
        <w:rPr>
          <w:spacing w:val="-2"/>
        </w:rPr>
        <w:t> </w:t>
      </w:r>
      <w:r>
        <w:rPr/>
        <w:t>of months record production below </w:t>
      </w:r>
      <w:r>
        <w:rPr>
          <w:b/>
        </w:rPr>
        <w:t>100,000 units</w:t>
      </w:r>
      <w:r>
        <w:rPr/>
        <w:t>, highlighting rare</w:t>
      </w:r>
      <w:r>
        <w:rPr>
          <w:spacing w:val="-2"/>
        </w:rPr>
        <w:t> </w:t>
      </w:r>
      <w:r>
        <w:rPr/>
        <w:t>but significant </w:t>
      </w:r>
      <w:r>
        <w:rPr/>
        <w:t>dips.</w:t>
      </w:r>
      <w:r>
        <w:rPr/>
        <w:t> Overall,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histogram</w:t>
      </w:r>
      <w:r>
        <w:rPr>
          <w:spacing w:val="-3"/>
        </w:rPr>
        <w:t> </w:t>
      </w:r>
      <w:r>
        <w:rPr/>
        <w:t>confirms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corn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largest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volatile</w:t>
      </w:r>
      <w:r>
        <w:rPr>
          <w:spacing w:val="-4"/>
        </w:rPr>
        <w:t> </w:t>
      </w:r>
      <w:r>
        <w:rPr/>
        <w:t>crop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datase</w:t>
      </w:r>
      <w:r>
        <w:rPr/>
        <w:t>t,</w:t>
      </w:r>
      <w:r>
        <w:rPr/>
        <w:t> with a wide spread of values and strong cyclical variation that heavily influences total vege</w:t>
      </w:r>
      <w:r>
        <w:rPr/>
        <w:t>table</w:t>
      </w:r>
      <w:r>
        <w:rPr/>
        <w:t> </w:t>
      </w:r>
      <w:r>
        <w:rPr>
          <w:spacing w:val="-2"/>
        </w:rPr>
        <w:t>output.</w:t>
      </w:r>
    </w:p>
    <w:p>
      <w:pPr>
        <w:pStyle w:val="BodyText"/>
        <w:spacing w:after="0" w:line="259" w:lineRule="auto"/>
        <w:sectPr>
          <w:pgSz w:w="12240" w:h="15840"/>
          <w:pgMar w:top="1720" w:bottom="280" w:left="1440" w:right="360"/>
        </w:sectPr>
      </w:pPr>
    </w:p>
    <w:p>
      <w:pPr>
        <w:pStyle w:val="BodyText"/>
        <w:ind w:left="108"/>
        <w:rPr>
          <w:sz w:val="20"/>
        </w:rPr>
      </w:pPr>
      <w:r>
        <w:rPr>
          <w:sz w:val="20"/>
        </w:rPr>
        <w:drawing>
          <wp:inline distT="0" distB="0" distL="0" distR="0">
            <wp:extent cx="5342439" cy="349300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439" cy="349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4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rFonts w:ascii="Calibri"/>
          <w:b/>
          <w:sz w:val="22"/>
        </w:rPr>
        <w:t>Figure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6:</w:t>
      </w:r>
      <w:r>
        <w:rPr>
          <w:rFonts w:ascii="Calibri"/>
          <w:b/>
          <w:spacing w:val="-2"/>
          <w:sz w:val="22"/>
        </w:rPr>
        <w:t> </w:t>
      </w:r>
      <w:r>
        <w:rPr>
          <w:sz w:val="24"/>
        </w:rPr>
        <w:t>Histogram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green</w:t>
      </w:r>
      <w:r>
        <w:rPr>
          <w:spacing w:val="-1"/>
          <w:sz w:val="24"/>
        </w:rPr>
        <w:t> </w:t>
      </w:r>
      <w:r>
        <w:rPr>
          <w:sz w:val="24"/>
        </w:rPr>
        <w:t>peas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production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259" w:lineRule="auto"/>
        <w:ind w:right="1153"/>
      </w:pPr>
      <w:r>
        <w:rPr/>
        <w:t>The</w:t>
      </w:r>
      <w:r>
        <w:rPr>
          <w:spacing w:val="-3"/>
        </w:rPr>
        <w:t> </w:t>
      </w:r>
      <w:r>
        <w:rPr/>
        <w:t>histogram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green</w:t>
      </w:r>
      <w:r>
        <w:rPr>
          <w:spacing w:val="-1"/>
        </w:rPr>
        <w:t> </w:t>
      </w:r>
      <w:r>
        <w:rPr/>
        <w:t>peas</w:t>
      </w:r>
      <w:r>
        <w:rPr>
          <w:spacing w:val="-1"/>
        </w:rPr>
        <w:t> </w:t>
      </w:r>
      <w:r>
        <w:rPr/>
        <w:t>production</w:t>
      </w:r>
      <w:r>
        <w:rPr>
          <w:spacing w:val="-1"/>
        </w:rPr>
        <w:t> </w:t>
      </w:r>
      <w:r>
        <w:rPr/>
        <w:t>reveals a broad</w:t>
      </w:r>
      <w:r>
        <w:rPr>
          <w:spacing w:val="-1"/>
        </w:rPr>
        <w:t> </w:t>
      </w:r>
      <w:r>
        <w:rPr/>
        <w:t>distribution,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most</w:t>
      </w:r>
      <w:r>
        <w:rPr>
          <w:spacing w:val="-1"/>
        </w:rPr>
        <w:t> </w:t>
      </w:r>
      <w:r>
        <w:rPr/>
        <w:t>monthly</w:t>
      </w:r>
      <w:r>
        <w:rPr>
          <w:spacing w:val="-1"/>
        </w:rPr>
        <w:t> </w:t>
      </w:r>
      <w:r>
        <w:rPr/>
        <w:t>va</w:t>
      </w:r>
      <w:r>
        <w:rPr/>
        <w:t>lues</w:t>
      </w:r>
      <w:r>
        <w:rPr/>
        <w:t> concentrated between 100,000 and 400,000 units. The highest frequencies occur in </w:t>
      </w:r>
      <w:r>
        <w:rPr/>
        <w:t>this</w:t>
      </w:r>
      <w:r>
        <w:rPr/>
        <w:t> mid‑range,</w:t>
      </w:r>
      <w:r>
        <w:rPr>
          <w:spacing w:val="-4"/>
        </w:rPr>
        <w:t> </w:t>
      </w:r>
      <w:r>
        <w:rPr/>
        <w:t>where</w:t>
      </w:r>
      <w:r>
        <w:rPr>
          <w:spacing w:val="-6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levels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most</w:t>
      </w:r>
      <w:r>
        <w:rPr>
          <w:spacing w:val="-3"/>
        </w:rPr>
        <w:t> </w:t>
      </w:r>
      <w:r>
        <w:rPr/>
        <w:t>common,</w:t>
      </w:r>
      <w:r>
        <w:rPr>
          <w:spacing w:val="-4"/>
        </w:rPr>
        <w:t> </w:t>
      </w:r>
      <w:r>
        <w:rPr/>
        <w:t>while</w:t>
      </w:r>
      <w:r>
        <w:rPr>
          <w:spacing w:val="-5"/>
        </w:rPr>
        <w:t> </w:t>
      </w:r>
      <w:r>
        <w:rPr/>
        <w:t>fewer</w:t>
      </w:r>
      <w:r>
        <w:rPr>
          <w:spacing w:val="-4"/>
        </w:rPr>
        <w:t> </w:t>
      </w:r>
      <w:r>
        <w:rPr/>
        <w:t>observations</w:t>
      </w:r>
      <w:r>
        <w:rPr>
          <w:spacing w:val="-5"/>
        </w:rPr>
        <w:t> </w:t>
      </w:r>
      <w:r>
        <w:rPr/>
        <w:t>extend</w:t>
      </w:r>
      <w:r>
        <w:rPr>
          <w:spacing w:val="-4"/>
        </w:rPr>
        <w:t> </w:t>
      </w:r>
      <w:r>
        <w:rPr/>
        <w:t>towa</w:t>
      </w:r>
      <w:r>
        <w:rPr/>
        <w:t>rd</w:t>
      </w:r>
      <w:r>
        <w:rPr/>
        <w:t> the extremes. A small number</w:t>
      </w:r>
      <w:r>
        <w:rPr>
          <w:spacing w:val="-1"/>
        </w:rPr>
        <w:t> </w:t>
      </w:r>
      <w:r>
        <w:rPr/>
        <w:t>of months record exceptionally high outputs near 700,000 </w:t>
      </w:r>
      <w:r>
        <w:rPr/>
        <w:t>units,</w:t>
      </w:r>
      <w:r>
        <w:rPr/>
        <w:t> creating a long right tail that reflects occasional seasonal surges. At the lower end, produc</w:t>
      </w:r>
      <w:r>
        <w:rPr/>
        <w:t>tion</w:t>
      </w:r>
      <w:r>
        <w:rPr/>
        <w:t> rarely falls below 60,000 units, suggesting a consistent baseline. Overall, the histogra</w:t>
      </w:r>
      <w:r>
        <w:rPr/>
        <w:t>m</w:t>
      </w:r>
      <w:r>
        <w:rPr/>
        <w:t> highlights that green pea are a moderately volatile crop: they contribute significantly to </w:t>
      </w:r>
      <w:r>
        <w:rPr/>
        <w:t>total</w:t>
      </w:r>
      <w:r>
        <w:rPr/>
        <w:t> vegetable output, but their wide spread and occasional peaks indicate variability </w:t>
      </w:r>
      <w:r>
        <w:rPr/>
        <w:t>that</w:t>
      </w:r>
      <w:r>
        <w:rPr/>
        <w:t> decision‑makers must account for when planning resources and forecasting supply.</w:t>
      </w:r>
    </w:p>
    <w:p>
      <w:pPr>
        <w:pStyle w:val="BodyText"/>
        <w:spacing w:after="0" w:line="259" w:lineRule="auto"/>
        <w:sectPr>
          <w:pgSz w:w="12240" w:h="15840"/>
          <w:pgMar w:top="1540" w:bottom="280" w:left="144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8" w:after="1"/>
        <w:rPr>
          <w:sz w:val="20"/>
        </w:rPr>
      </w:pPr>
    </w:p>
    <w:p>
      <w:pPr>
        <w:pStyle w:val="BodyText"/>
        <w:ind w:left="52"/>
        <w:rPr>
          <w:sz w:val="20"/>
        </w:rPr>
      </w:pPr>
      <w:r>
        <w:rPr>
          <w:sz w:val="20"/>
        </w:rPr>
        <w:drawing>
          <wp:inline distT="0" distB="0" distL="0" distR="0">
            <wp:extent cx="6485762" cy="346938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5762" cy="346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0"/>
        <w:rPr>
          <w:sz w:val="22"/>
        </w:rPr>
      </w:pPr>
    </w:p>
    <w:p>
      <w:pPr>
        <w:spacing w:before="1"/>
        <w:ind w:left="0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Figure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7: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Histogram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broccoli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pacing w:val="-2"/>
          <w:sz w:val="22"/>
        </w:rPr>
        <w:t>production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4"/>
        <w:rPr>
          <w:rFonts w:ascii="Calibri"/>
          <w:sz w:val="22"/>
        </w:rPr>
      </w:pPr>
    </w:p>
    <w:p>
      <w:pPr>
        <w:pStyle w:val="BodyText"/>
        <w:spacing w:line="259" w:lineRule="auto"/>
        <w:ind w:right="1062"/>
      </w:pPr>
      <w:r>
        <w:rPr/>
        <w:t>The histogram of broccoli production shows a relatively compact distribution compared to </w:t>
      </w:r>
      <w:r>
        <w:rPr/>
        <w:t>the</w:t>
      </w:r>
      <w:r>
        <w:rPr/>
        <w:t> more volatile crops such as corn or peas. Most monthly production values cluster tightly ar</w:t>
      </w:r>
      <w:r>
        <w:rPr/>
        <w:t>ound</w:t>
      </w:r>
      <w:r>
        <w:rPr/>
        <w:t> </w:t>
      </w:r>
      <w:r>
        <w:rPr>
          <w:b/>
        </w:rPr>
        <w:t>120,000 units</w:t>
      </w:r>
      <w:r>
        <w:rPr/>
        <w:t>, with the bulk of observations falling between </w:t>
      </w:r>
      <w:r>
        <w:rPr>
          <w:b/>
        </w:rPr>
        <w:t>100,000 and 150,000 units</w:t>
      </w:r>
      <w:r>
        <w:rPr/>
        <w:t>. </w:t>
      </w:r>
      <w:r>
        <w:rPr/>
        <w:t>The</w:t>
      </w:r>
      <w:r>
        <w:rPr/>
        <w:t> frequency of higher production levels above </w:t>
      </w:r>
      <w:r>
        <w:rPr>
          <w:b/>
        </w:rPr>
        <w:t>180,000 units </w:t>
      </w:r>
      <w:r>
        <w:rPr/>
        <w:t>is noticeably lower, indicating </w:t>
      </w:r>
      <w:r>
        <w:rPr/>
        <w:t>that</w:t>
      </w:r>
      <w:r>
        <w:rPr/>
        <w:t> exceptionally large harvests are rare. This distribution suggests that broccoli output is re</w:t>
      </w:r>
      <w:r>
        <w:rPr/>
        <w:t>latively</w:t>
      </w:r>
      <w:r>
        <w:rPr/>
        <w:t> stable, with limited variability and fewer extreme peaks or troughs. In practical terms, brocc</w:t>
      </w:r>
      <w:r>
        <w:rPr/>
        <w:t>oli</w:t>
      </w:r>
      <w:r>
        <w:rPr/>
        <w:t> contributes consistently to total vegetable supply, but its modest scale and narrow range mean </w:t>
      </w:r>
      <w:r>
        <w:rPr/>
        <w:t>it</w:t>
      </w:r>
      <w:r>
        <w:rPr/>
        <w:t> plays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smaller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driving</w:t>
      </w:r>
      <w:r>
        <w:rPr>
          <w:spacing w:val="-3"/>
        </w:rPr>
        <w:t> </w:t>
      </w:r>
      <w:r>
        <w:rPr/>
        <w:t>aggregate</w:t>
      </w:r>
      <w:r>
        <w:rPr>
          <w:spacing w:val="-2"/>
        </w:rPr>
        <w:t> </w:t>
      </w:r>
      <w:r>
        <w:rPr/>
        <w:t>fluctuations</w:t>
      </w:r>
      <w:r>
        <w:rPr>
          <w:spacing w:val="-3"/>
        </w:rPr>
        <w:t> </w:t>
      </w:r>
      <w:r>
        <w:rPr/>
        <w:t>compared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crops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corn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green</w:t>
      </w:r>
      <w:r>
        <w:rPr>
          <w:spacing w:val="-3"/>
        </w:rPr>
        <w:t> </w:t>
      </w:r>
      <w:r>
        <w:rPr/>
        <w:t>beans.</w:t>
      </w:r>
    </w:p>
    <w:p>
      <w:pPr>
        <w:pStyle w:val="BodyText"/>
        <w:spacing w:after="0" w:line="259" w:lineRule="auto"/>
        <w:sectPr>
          <w:pgSz w:w="12240" w:h="15840"/>
          <w:pgMar w:top="1820" w:bottom="280" w:left="1440" w:right="360"/>
        </w:sectPr>
      </w:pPr>
    </w:p>
    <w:p>
      <w:pPr>
        <w:pStyle w:val="BodyText"/>
        <w:ind w:left="124"/>
        <w:rPr>
          <w:sz w:val="20"/>
        </w:rPr>
      </w:pPr>
      <w:r>
        <w:rPr>
          <w:sz w:val="20"/>
        </w:rPr>
        <w:drawing>
          <wp:inline distT="0" distB="0" distL="0" distR="0">
            <wp:extent cx="6015503" cy="392963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5503" cy="392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6"/>
        <w:rPr>
          <w:sz w:val="22"/>
        </w:rPr>
      </w:pPr>
    </w:p>
    <w:p>
      <w:pPr>
        <w:spacing w:before="0"/>
        <w:ind w:left="0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Figure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8: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Histogram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carrot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pacing w:val="-2"/>
          <w:sz w:val="22"/>
        </w:rPr>
        <w:t>production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01"/>
        <w:rPr>
          <w:rFonts w:ascii="Calibri"/>
          <w:sz w:val="22"/>
        </w:rPr>
      </w:pPr>
    </w:p>
    <w:p>
      <w:pPr>
        <w:pStyle w:val="BodyText"/>
        <w:spacing w:line="259" w:lineRule="auto"/>
        <w:ind w:right="1062"/>
      </w:pPr>
      <w:r>
        <w:rPr/>
        <w:t>The histogram of carrot production reveals a distribution concentrated around the mid-ra</w:t>
      </w:r>
      <w:r>
        <w:rPr/>
        <w:t>nge</w:t>
      </w:r>
      <w:r>
        <w:rPr/>
        <w:t> values,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highest</w:t>
      </w:r>
      <w:r>
        <w:rPr>
          <w:spacing w:val="-1"/>
        </w:rPr>
        <w:t> </w:t>
      </w:r>
      <w:r>
        <w:rPr/>
        <w:t>frequency</w:t>
      </w:r>
      <w:r>
        <w:rPr>
          <w:spacing w:val="-1"/>
        </w:rPr>
        <w:t> </w:t>
      </w:r>
      <w:r>
        <w:rPr/>
        <w:t>occurring</w:t>
      </w:r>
      <w:r>
        <w:rPr>
          <w:spacing w:val="-1"/>
        </w:rPr>
        <w:t> </w:t>
      </w:r>
      <w:r>
        <w:rPr/>
        <w:t>near </w:t>
      </w:r>
      <w:r>
        <w:rPr>
          <w:b/>
        </w:rPr>
        <w:t>150,000</w:t>
      </w:r>
      <w:r>
        <w:rPr>
          <w:b/>
          <w:spacing w:val="-1"/>
        </w:rPr>
        <w:t> </w:t>
      </w:r>
      <w:r>
        <w:rPr>
          <w:b/>
        </w:rPr>
        <w:t>units</w:t>
      </w:r>
      <w:r>
        <w:rPr/>
        <w:t>.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indicates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carrot</w:t>
      </w:r>
      <w:r>
        <w:rPr>
          <w:spacing w:val="-1"/>
        </w:rPr>
        <w:t> </w:t>
      </w:r>
      <w:r>
        <w:rPr/>
        <w:t>output</w:t>
      </w:r>
      <w:r>
        <w:rPr/>
        <w:t> most often falls within this level, making it a relatively stable crop compared to more </w:t>
      </w:r>
      <w:r>
        <w:rPr/>
        <w:t>volatile</w:t>
      </w:r>
      <w:r>
        <w:rPr/>
        <w:t> ones like corn or peas. The distribution tapers off toward the higher end, with fewer </w:t>
      </w:r>
      <w:r>
        <w:rPr/>
        <w:t>months</w:t>
      </w:r>
      <w:r>
        <w:rPr/>
        <w:t> recording</w:t>
      </w:r>
      <w:r>
        <w:rPr>
          <w:spacing w:val="-4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>
          <w:b/>
        </w:rPr>
        <w:t>250,000</w:t>
      </w:r>
      <w:r>
        <w:rPr>
          <w:b/>
          <w:spacing w:val="-4"/>
        </w:rPr>
        <w:t> </w:t>
      </w:r>
      <w:r>
        <w:rPr>
          <w:b/>
        </w:rPr>
        <w:t>units</w:t>
      </w:r>
      <w:r>
        <w:rPr/>
        <w:t>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rare</w:t>
      </w:r>
      <w:r>
        <w:rPr>
          <w:spacing w:val="-6"/>
        </w:rPr>
        <w:t> </w:t>
      </w:r>
      <w:r>
        <w:rPr/>
        <w:t>observations</w:t>
      </w:r>
      <w:r>
        <w:rPr>
          <w:spacing w:val="-4"/>
        </w:rPr>
        <w:t> </w:t>
      </w:r>
      <w:r>
        <w:rPr/>
        <w:t>approaching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maximum</w:t>
      </w:r>
      <w:r>
        <w:rPr/>
        <w:t> of </w:t>
      </w:r>
      <w:r>
        <w:rPr>
          <w:b/>
        </w:rPr>
        <w:t>328,015 units</w:t>
      </w:r>
      <w:r>
        <w:rPr/>
        <w:t>. At the lower end, production seldom dips below </w:t>
      </w:r>
      <w:r>
        <w:rPr>
          <w:b/>
        </w:rPr>
        <w:t>100,000 units</w:t>
      </w:r>
      <w:r>
        <w:rPr/>
        <w:t>, suggesting </w:t>
      </w:r>
      <w:r>
        <w:rPr/>
        <w:t>a</w:t>
      </w:r>
      <w:r>
        <w:rPr/>
        <w:t> consistent baseline output. Overall, the histogram demonstrates that carrots contribute a stea</w:t>
      </w:r>
      <w:r>
        <w:rPr/>
        <w:t>dy,</w:t>
      </w:r>
      <w:r>
        <w:rPr/>
        <w:t> moderate share to total vegetable production, with limited extreme fluctuations but e</w:t>
      </w:r>
      <w:r>
        <w:rPr/>
        <w:t>nough</w:t>
      </w:r>
      <w:r>
        <w:rPr/>
        <w:t> variability to reflect seasonal influences.</w:t>
      </w:r>
    </w:p>
    <w:p>
      <w:pPr>
        <w:pStyle w:val="BodyText"/>
        <w:spacing w:after="0" w:line="259" w:lineRule="auto"/>
        <w:sectPr>
          <w:pgSz w:w="12240" w:h="15840"/>
          <w:pgMar w:top="1560" w:bottom="280" w:left="1440" w:right="360"/>
        </w:sectPr>
      </w:pPr>
    </w:p>
    <w:p>
      <w:pPr>
        <w:pStyle w:val="BodyText"/>
        <w:ind w:left="32"/>
        <w:rPr>
          <w:sz w:val="20"/>
        </w:rPr>
      </w:pPr>
      <w:r>
        <w:rPr>
          <w:sz w:val="20"/>
        </w:rPr>
        <w:drawing>
          <wp:inline distT="0" distB="0" distL="0" distR="0">
            <wp:extent cx="5074920" cy="338937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8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Figure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9:</w:t>
      </w:r>
      <w:r>
        <w:rPr>
          <w:b/>
          <w:spacing w:val="-1"/>
          <w:sz w:val="24"/>
        </w:rPr>
        <w:t> </w:t>
      </w:r>
      <w:r>
        <w:rPr>
          <w:sz w:val="24"/>
        </w:rPr>
        <w:t>Histogram</w:t>
      </w:r>
      <w:r>
        <w:rPr>
          <w:spacing w:val="-1"/>
          <w:sz w:val="24"/>
        </w:rPr>
        <w:t> </w:t>
      </w:r>
      <w:r>
        <w:rPr>
          <w:sz w:val="24"/>
        </w:rPr>
        <w:t>of onion </w:t>
      </w:r>
      <w:r>
        <w:rPr>
          <w:spacing w:val="-2"/>
          <w:sz w:val="24"/>
        </w:rPr>
        <w:t>production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259" w:lineRule="auto"/>
        <w:ind w:right="1153"/>
      </w:pPr>
      <w:r>
        <w:rPr/>
        <w:t>The</w:t>
      </w:r>
      <w:r>
        <w:rPr>
          <w:spacing w:val="-2"/>
        </w:rPr>
        <w:t> </w:t>
      </w:r>
      <w:r>
        <w:rPr/>
        <w:t>histogram of onion production displays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compact, bell‑shaped distribution centered a</w:t>
      </w:r>
      <w:r>
        <w:rPr/>
        <w:t>round</w:t>
      </w:r>
      <w:r>
        <w:rPr/>
        <w:t> 30,000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35,000</w:t>
      </w:r>
      <w:r>
        <w:rPr>
          <w:spacing w:val="-3"/>
        </w:rPr>
        <w:t> </w:t>
      </w:r>
      <w:r>
        <w:rPr/>
        <w:t>units,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represents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3"/>
        </w:rPr>
        <w:t> </w:t>
      </w:r>
      <w:r>
        <w:rPr/>
        <w:t>frequent</w:t>
      </w:r>
      <w:r>
        <w:rPr>
          <w:spacing w:val="-3"/>
        </w:rPr>
        <w:t> </w:t>
      </w:r>
      <w:r>
        <w:rPr/>
        <w:t>monthly</w:t>
      </w:r>
      <w:r>
        <w:rPr>
          <w:spacing w:val="-3"/>
        </w:rPr>
        <w:t> </w:t>
      </w:r>
      <w:r>
        <w:rPr/>
        <w:t>output</w:t>
      </w:r>
      <w:r>
        <w:rPr>
          <w:spacing w:val="-3"/>
        </w:rPr>
        <w:t> </w:t>
      </w:r>
      <w:r>
        <w:rPr/>
        <w:t>levels.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tallest</w:t>
      </w:r>
      <w:r>
        <w:rPr>
          <w:spacing w:val="-3"/>
        </w:rPr>
        <w:t> </w:t>
      </w:r>
      <w:r>
        <w:rPr/>
        <w:t>bar</w:t>
      </w:r>
      <w:r>
        <w:rPr/>
        <w:t> occurs near 30,000 units, with a frequency exceeding forty observations, highlighting </w:t>
      </w:r>
      <w:r>
        <w:rPr/>
        <w:t>the</w:t>
      </w:r>
      <w:r>
        <w:rPr/>
        <w:t> consistency of onion production across the dataset. Unlike crops such as corn or peas, </w:t>
      </w:r>
      <w:r>
        <w:rPr/>
        <w:t>onions</w:t>
      </w:r>
      <w:r>
        <w:rPr/>
        <w:t> show a narrow range of values, bounded between 19,304 and 53,606 units, with very fe</w:t>
      </w:r>
      <w:r>
        <w:rPr/>
        <w:t>w</w:t>
      </w:r>
      <w:r>
        <w:rPr/>
        <w:t> extreme</w:t>
      </w:r>
      <w:r>
        <w:rPr>
          <w:spacing w:val="-1"/>
        </w:rPr>
        <w:t> </w:t>
      </w:r>
      <w:r>
        <w:rPr/>
        <w:t>highs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lows.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pattern</w:t>
      </w:r>
      <w:r>
        <w:rPr>
          <w:spacing w:val="-1"/>
        </w:rPr>
        <w:t> </w:t>
      </w:r>
      <w:r>
        <w:rPr/>
        <w:t>indicates</w:t>
      </w:r>
      <w:r>
        <w:rPr>
          <w:spacing w:val="-1"/>
        </w:rPr>
        <w:t> </w:t>
      </w:r>
      <w:r>
        <w:rPr/>
        <w:t>that onion</w:t>
      </w:r>
      <w:r>
        <w:rPr>
          <w:spacing w:val="-1"/>
        </w:rPr>
        <w:t> </w:t>
      </w:r>
      <w:r>
        <w:rPr/>
        <w:t>production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highly</w:t>
      </w:r>
      <w:r>
        <w:rPr>
          <w:spacing w:val="-1"/>
        </w:rPr>
        <w:t> </w:t>
      </w:r>
      <w:r>
        <w:rPr/>
        <w:t>stable,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limited</w:t>
      </w:r>
      <w:r>
        <w:rPr/>
        <w:t> variability and predictable output. As a result, onions contribute a steady but relatively sma</w:t>
      </w:r>
      <w:r>
        <w:rPr/>
        <w:t>ll</w:t>
      </w:r>
      <w:r>
        <w:rPr/>
        <w:t> share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vegetable</w:t>
      </w:r>
      <w:r>
        <w:rPr>
          <w:spacing w:val="-3"/>
        </w:rPr>
        <w:t> </w:t>
      </w:r>
      <w:r>
        <w:rPr/>
        <w:t>production,</w:t>
      </w:r>
      <w:r>
        <w:rPr>
          <w:spacing w:val="-3"/>
        </w:rPr>
        <w:t> </w:t>
      </w:r>
      <w:r>
        <w:rPr/>
        <w:t>reinforcing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consistent but</w:t>
      </w:r>
      <w:r>
        <w:rPr>
          <w:spacing w:val="-3"/>
        </w:rPr>
        <w:t> </w:t>
      </w:r>
      <w:r>
        <w:rPr/>
        <w:t>minor</w:t>
      </w:r>
      <w:r>
        <w:rPr>
          <w:spacing w:val="-3"/>
        </w:rPr>
        <w:t> </w:t>
      </w:r>
      <w:r>
        <w:rPr/>
        <w:t>component</w:t>
      </w:r>
      <w:r>
        <w:rPr>
          <w:spacing w:val="-3"/>
        </w:rPr>
        <w:t> </w:t>
      </w:r>
      <w:r>
        <w:rPr/>
        <w:t>of</w:t>
      </w:r>
      <w:r>
        <w:rPr/>
        <w:t> the agricultural system.</w:t>
      </w:r>
    </w:p>
    <w:p>
      <w:pPr>
        <w:pStyle w:val="BodyText"/>
        <w:spacing w:after="0" w:line="259" w:lineRule="auto"/>
        <w:sectPr>
          <w:pgSz w:w="12240" w:h="15840"/>
          <w:pgMar w:top="1680" w:bottom="280" w:left="1440" w:right="360"/>
        </w:sectPr>
      </w:pPr>
    </w:p>
    <w:p>
      <w:pPr>
        <w:pStyle w:val="BodyText"/>
        <w:ind w:left="32"/>
        <w:rPr>
          <w:sz w:val="20"/>
        </w:rPr>
      </w:pPr>
      <w:r>
        <w:rPr>
          <w:sz w:val="20"/>
        </w:rPr>
        <w:drawing>
          <wp:inline distT="0" distB="0" distL="0" distR="0">
            <wp:extent cx="5191506" cy="340156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1506" cy="340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2"/>
        <w:rPr>
          <w:sz w:val="22"/>
        </w:rPr>
      </w:pPr>
    </w:p>
    <w:p>
      <w:pPr>
        <w:spacing w:before="0"/>
        <w:ind w:left="0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Figure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10: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Histogram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Green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4"/>
          <w:sz w:val="22"/>
        </w:rPr>
        <w:t>peas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2"/>
        <w:rPr>
          <w:rFonts w:ascii="Calibri"/>
          <w:sz w:val="22"/>
        </w:rPr>
      </w:pPr>
    </w:p>
    <w:p>
      <w:pPr>
        <w:pStyle w:val="BodyText"/>
        <w:spacing w:line="259" w:lineRule="auto" w:before="1"/>
        <w:ind w:right="1116"/>
      </w:pPr>
      <w:r>
        <w:rPr/>
        <w:t>The histogram of green beans production shows a distribution concentrated in the mid‑range</w:t>
      </w:r>
      <w:r>
        <w:rPr/>
        <w:t>,</w:t>
      </w:r>
      <w:r>
        <w:rPr/>
        <w:t> with most monthly values falling between 100,000 and 200,000 units. The highest frequenc</w:t>
      </w:r>
      <w:r>
        <w:rPr/>
        <w:t>ies</w:t>
      </w:r>
      <w:r>
        <w:rPr/>
        <w:t> occur in this band, where production levels are most common, while fewer observations e</w:t>
      </w:r>
      <w:r>
        <w:rPr/>
        <w:t>xtend</w:t>
      </w:r>
      <w:r>
        <w:rPr/>
        <w:t> toward the upper end above 300,000 units. The distribution tapers gradually, reflec</w:t>
      </w:r>
      <w:r>
        <w:rPr/>
        <w:t>ting</w:t>
      </w:r>
      <w:r>
        <w:rPr/>
        <w:t> occasional peaks but no extreme outliers compared to crops like corn or peas. At the lower e</w:t>
      </w:r>
      <w:r>
        <w:rPr/>
        <w:t>nd,</w:t>
      </w:r>
      <w:r>
        <w:rPr/>
        <w:t> production rarely dips below 40,000 units, suggesting a consistent baseline output. Overall, </w:t>
      </w:r>
      <w:r>
        <w:rPr/>
        <w:t>the</w:t>
      </w:r>
      <w:r>
        <w:rPr/>
        <w:t> histogram</w:t>
      </w:r>
      <w:r>
        <w:rPr>
          <w:spacing w:val="-3"/>
        </w:rPr>
        <w:t> </w:t>
      </w:r>
      <w:r>
        <w:rPr/>
        <w:t>highlights</w:t>
      </w:r>
      <w:r>
        <w:rPr>
          <w:spacing w:val="-2"/>
        </w:rPr>
        <w:t> </w:t>
      </w:r>
      <w:r>
        <w:rPr/>
        <w:t>that</w:t>
      </w:r>
      <w:r>
        <w:rPr>
          <w:spacing w:val="-6"/>
        </w:rPr>
        <w:t> </w:t>
      </w:r>
      <w:r>
        <w:rPr/>
        <w:t>green</w:t>
      </w:r>
      <w:r>
        <w:rPr>
          <w:spacing w:val="-3"/>
        </w:rPr>
        <w:t> </w:t>
      </w:r>
      <w:r>
        <w:rPr/>
        <w:t>bean</w:t>
      </w:r>
      <w:r>
        <w:rPr>
          <w:spacing w:val="-2"/>
        </w:rPr>
        <w:t> </w:t>
      </w:r>
      <w:r>
        <w:rPr/>
        <w:t>are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moderately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crop: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contribute</w:t>
      </w:r>
      <w:r>
        <w:rPr>
          <w:spacing w:val="-4"/>
        </w:rPr>
        <w:t> </w:t>
      </w:r>
      <w:r>
        <w:rPr/>
        <w:t>significa</w:t>
      </w:r>
      <w:r>
        <w:rPr/>
        <w:t>ntly</w:t>
      </w:r>
      <w:r>
        <w:rPr/>
        <w:t> to total vegetable supply, but their production is more stable than corn or peas, making them </w:t>
      </w:r>
      <w:r>
        <w:rPr/>
        <w:t>an</w:t>
      </w:r>
      <w:r>
        <w:rPr/>
        <w:t> important yet relatively predictable component of the agricultural system.</w:t>
      </w:r>
    </w:p>
    <w:p>
      <w:pPr>
        <w:pStyle w:val="BodyText"/>
        <w:spacing w:after="0" w:line="259" w:lineRule="auto"/>
        <w:sectPr>
          <w:pgSz w:w="12240" w:h="15840"/>
          <w:pgMar w:top="1680" w:bottom="280" w:left="1440" w:right="360"/>
        </w:sectPr>
      </w:pPr>
    </w:p>
    <w:p>
      <w:pPr>
        <w:pStyle w:val="Heading2"/>
        <w:spacing w:before="79"/>
      </w:pPr>
      <w:r>
        <w:rPr/>
        <w:t>Box </w:t>
      </w:r>
      <w:r>
        <w:rPr>
          <w:spacing w:val="-2"/>
        </w:rPr>
        <w:t>plot: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1020952</wp:posOffset>
            </wp:positionH>
            <wp:positionV relativeFrom="paragraph">
              <wp:posOffset>195028</wp:posOffset>
            </wp:positionV>
            <wp:extent cx="6083704" cy="451104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704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8"/>
        <w:rPr>
          <w:b/>
        </w:rPr>
      </w:pPr>
    </w:p>
    <w:p>
      <w:pPr>
        <w:pStyle w:val="BodyText"/>
      </w:pPr>
      <w:r>
        <w:rPr>
          <w:b/>
        </w:rPr>
        <w:t>Figure</w:t>
      </w:r>
      <w:r>
        <w:rPr>
          <w:b/>
          <w:spacing w:val="-2"/>
        </w:rPr>
        <w:t> </w:t>
      </w:r>
      <w:r>
        <w:rPr>
          <w:b/>
        </w:rPr>
        <w:t>11:</w:t>
      </w:r>
      <w:r>
        <w:rPr>
          <w:b/>
          <w:spacing w:val="-2"/>
        </w:rPr>
        <w:t> </w:t>
      </w:r>
      <w:r>
        <w:rPr/>
        <w:t>Boxplots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Crop</w:t>
      </w:r>
      <w:r>
        <w:rPr>
          <w:spacing w:val="-1"/>
        </w:rPr>
        <w:t> </w:t>
      </w:r>
      <w:r>
        <w:rPr/>
        <w:t>Production</w:t>
      </w:r>
      <w:r>
        <w:rPr>
          <w:spacing w:val="-1"/>
        </w:rPr>
        <w:t> </w:t>
      </w:r>
      <w:r>
        <w:rPr/>
        <w:t>Spread</w:t>
      </w:r>
      <w:r>
        <w:rPr>
          <w:spacing w:val="1"/>
        </w:rPr>
        <w:t> </w:t>
      </w:r>
      <w:r>
        <w:rPr/>
        <w:t>and </w:t>
      </w:r>
      <w:r>
        <w:rPr>
          <w:spacing w:val="-2"/>
        </w:rPr>
        <w:t>Outliers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259" w:lineRule="auto"/>
        <w:ind w:right="1108"/>
      </w:pPr>
      <w:r>
        <w:rPr/>
        <w:t>The boxplots provide a comparative view of the spread and variability in crop produc</w:t>
      </w:r>
      <w:r>
        <w:rPr/>
        <w:t>tion,</w:t>
      </w:r>
      <w:r>
        <w:rPr/>
        <w:t> highlighting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typical</w:t>
      </w:r>
      <w:r>
        <w:rPr>
          <w:spacing w:val="-3"/>
        </w:rPr>
        <w:t> </w:t>
      </w:r>
      <w:r>
        <w:rPr/>
        <w:t>ranges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presence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outliers.</w:t>
      </w:r>
      <w:r>
        <w:rPr>
          <w:spacing w:val="-3"/>
        </w:rPr>
        <w:t> </w:t>
      </w:r>
      <w:r>
        <w:rPr/>
        <w:t>Corn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Green</w:t>
      </w:r>
      <w:r>
        <w:rPr>
          <w:spacing w:val="-3"/>
        </w:rPr>
        <w:t> </w:t>
      </w:r>
      <w:r>
        <w:rPr/>
        <w:t>Peas</w:t>
      </w:r>
      <w:r>
        <w:rPr>
          <w:spacing w:val="-3"/>
        </w:rPr>
        <w:t> </w:t>
      </w:r>
      <w:r>
        <w:rPr/>
        <w:t>stand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with</w:t>
      </w:r>
      <w:r>
        <w:rPr/>
        <w:t> the widest boxes and longest whiskers, reflecting their high variability and occasional extre</w:t>
      </w:r>
      <w:r>
        <w:rPr/>
        <w:t>me</w:t>
      </w:r>
      <w:r>
        <w:rPr/>
        <w:t> values. Corn, in particular, shows several outliers above 800,000 units, confirming its role a</w:t>
      </w:r>
      <w:r>
        <w:rPr/>
        <w:t>s</w:t>
      </w:r>
      <w:r>
        <w:rPr/>
        <w:t> both the largest and most volatile crop. Green Beans also display a broad spread, though le</w:t>
      </w:r>
      <w:r>
        <w:rPr/>
        <w:t>ss</w:t>
      </w:r>
      <w:r>
        <w:rPr/>
        <w:t> extreme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Corn,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values</w:t>
      </w:r>
      <w:r>
        <w:rPr>
          <w:spacing w:val="-5"/>
        </w:rPr>
        <w:t> </w:t>
      </w:r>
      <w:r>
        <w:rPr/>
        <w:t>clustering</w:t>
      </w:r>
      <w:r>
        <w:rPr>
          <w:spacing w:val="-4"/>
        </w:rPr>
        <w:t> </w:t>
      </w:r>
      <w:r>
        <w:rPr/>
        <w:t>around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mid‑range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extending</w:t>
      </w:r>
      <w:r>
        <w:rPr>
          <w:spacing w:val="-4"/>
        </w:rPr>
        <w:t> </w:t>
      </w:r>
      <w:r>
        <w:rPr/>
        <w:t>towa</w:t>
      </w:r>
      <w:r>
        <w:rPr/>
        <w:t>rd</w:t>
      </w:r>
      <w:r>
        <w:rPr/>
        <w:t> higher peaks.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spacing w:line="259" w:lineRule="auto"/>
        <w:ind w:right="1153"/>
      </w:pPr>
      <w:r>
        <w:rPr/>
        <w:t>By</w:t>
      </w:r>
      <w:r>
        <w:rPr>
          <w:spacing w:val="-4"/>
        </w:rPr>
        <w:t> </w:t>
      </w:r>
      <w:r>
        <w:rPr/>
        <w:t>contrast,</w:t>
      </w:r>
      <w:r>
        <w:rPr>
          <w:spacing w:val="-4"/>
        </w:rPr>
        <w:t> </w:t>
      </w:r>
      <w:r>
        <w:rPr/>
        <w:t>Broccoli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Onions</w:t>
      </w:r>
      <w:r>
        <w:rPr>
          <w:spacing w:val="-4"/>
        </w:rPr>
        <w:t> </w:t>
      </w:r>
      <w:r>
        <w:rPr/>
        <w:t>exhibit</w:t>
      </w:r>
      <w:r>
        <w:rPr>
          <w:spacing w:val="-4"/>
        </w:rPr>
        <w:t> </w:t>
      </w:r>
      <w:r>
        <w:rPr/>
        <w:t>narrow</w:t>
      </w:r>
      <w:r>
        <w:rPr>
          <w:spacing w:val="-6"/>
        </w:rPr>
        <w:t> </w:t>
      </w:r>
      <w:r>
        <w:rPr/>
        <w:t>boxes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short</w:t>
      </w:r>
      <w:r>
        <w:rPr>
          <w:spacing w:val="-4"/>
        </w:rPr>
        <w:t> </w:t>
      </w:r>
      <w:r>
        <w:rPr/>
        <w:t>whiskers,</w:t>
      </w:r>
      <w:r>
        <w:rPr>
          <w:spacing w:val="-3"/>
        </w:rPr>
        <w:t> </w:t>
      </w:r>
      <w:r>
        <w:rPr/>
        <w:t>indicating</w:t>
      </w:r>
      <w:r>
        <w:rPr>
          <w:spacing w:val="-4"/>
        </w:rPr>
        <w:t> </w:t>
      </w:r>
      <w:r>
        <w:rPr/>
        <w:t>re</w:t>
      </w:r>
      <w:r>
        <w:rPr/>
        <w:t>latively</w:t>
      </w:r>
      <w:r>
        <w:rPr/>
        <w:t> stable production levels. Onions, with a median near 34,000 units, show minimal variation a</w:t>
      </w:r>
      <w:r>
        <w:rPr/>
        <w:t>nd</w:t>
      </w:r>
      <w:r>
        <w:rPr/>
        <w:t> very few outliers, underscoring their consistency across months. Broccoli’s production is</w:t>
      </w:r>
    </w:p>
    <w:p>
      <w:pPr>
        <w:pStyle w:val="BodyText"/>
        <w:spacing w:after="0" w:line="259" w:lineRule="auto"/>
        <w:sectPr>
          <w:pgSz w:w="12240" w:h="15840"/>
          <w:pgMar w:top="1360" w:bottom="280" w:left="1440" w:right="360"/>
        </w:sectPr>
      </w:pPr>
    </w:p>
    <w:p>
      <w:pPr>
        <w:pStyle w:val="BodyText"/>
        <w:spacing w:line="259" w:lineRule="auto" w:before="79"/>
        <w:ind w:right="1153"/>
      </w:pPr>
      <w:r>
        <w:rPr/>
        <w:t>similarly</w:t>
      </w:r>
      <w:r>
        <w:rPr>
          <w:spacing w:val="-4"/>
        </w:rPr>
        <w:t> </w:t>
      </w:r>
      <w:r>
        <w:rPr/>
        <w:t>predictable,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tightly</w:t>
      </w:r>
      <w:r>
        <w:rPr>
          <w:spacing w:val="-4"/>
        </w:rPr>
        <w:t> </w:t>
      </w:r>
      <w:r>
        <w:rPr/>
        <w:t>grouped</w:t>
      </w:r>
      <w:r>
        <w:rPr>
          <w:spacing w:val="-4"/>
        </w:rPr>
        <w:t> </w:t>
      </w:r>
      <w:r>
        <w:rPr/>
        <w:t>around</w:t>
      </w:r>
      <w:r>
        <w:rPr>
          <w:spacing w:val="-5"/>
        </w:rPr>
        <w:t> </w:t>
      </w:r>
      <w:r>
        <w:rPr/>
        <w:t>120,000</w:t>
      </w:r>
      <w:r>
        <w:rPr>
          <w:spacing w:val="-4"/>
        </w:rPr>
        <w:t> </w:t>
      </w:r>
      <w:r>
        <w:rPr/>
        <w:t>units.</w:t>
      </w:r>
      <w:r>
        <w:rPr>
          <w:spacing w:val="-4"/>
        </w:rPr>
        <w:t> </w:t>
      </w:r>
      <w:r>
        <w:rPr/>
        <w:t>Carrots</w:t>
      </w:r>
      <w:r>
        <w:rPr>
          <w:spacing w:val="-4"/>
        </w:rPr>
        <w:t> </w:t>
      </w:r>
      <w:r>
        <w:rPr/>
        <w:t>occupy</w:t>
      </w:r>
      <w:r>
        <w:rPr>
          <w:spacing w:val="-4"/>
        </w:rPr>
        <w:t> </w:t>
      </w:r>
      <w:r>
        <w:rPr/>
        <w:t>a</w:t>
      </w:r>
      <w:r>
        <w:rPr/>
        <w:t> middle ground, with moderate variability and occasional outliers, while Total Vegetable</w:t>
      </w:r>
      <w:r>
        <w:rPr/>
        <w:t>s</w:t>
      </w:r>
      <w:r>
        <w:rPr/>
        <w:t> naturally show the largest overall spread, reflecting the combined influence of all crops.</w:t>
      </w:r>
    </w:p>
    <w:p>
      <w:pPr>
        <w:pStyle w:val="BodyText"/>
        <w:spacing w:line="259" w:lineRule="auto" w:before="160"/>
        <w:ind w:right="1108"/>
      </w:pPr>
      <w:r>
        <w:rPr/>
        <w:t>Overall,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boxplots</w:t>
      </w:r>
      <w:r>
        <w:rPr>
          <w:spacing w:val="-3"/>
        </w:rPr>
        <w:t> </w:t>
      </w:r>
      <w:r>
        <w:rPr/>
        <w:t>reinforce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descriptive</w:t>
      </w:r>
      <w:r>
        <w:rPr>
          <w:spacing w:val="-4"/>
        </w:rPr>
        <w:t> </w:t>
      </w:r>
      <w:r>
        <w:rPr/>
        <w:t>statistics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histograms:</w:t>
      </w:r>
      <w:r>
        <w:rPr>
          <w:spacing w:val="-3"/>
        </w:rPr>
        <w:t> </w:t>
      </w:r>
      <w:r>
        <w:rPr/>
        <w:t>Corn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Green</w:t>
      </w:r>
      <w:r>
        <w:rPr>
          <w:spacing w:val="-3"/>
        </w:rPr>
        <w:t> </w:t>
      </w:r>
      <w:r>
        <w:rPr/>
        <w:t>Peas</w:t>
      </w:r>
      <w:r>
        <w:rPr>
          <w:spacing w:val="-3"/>
        </w:rPr>
        <w:t> </w:t>
      </w:r>
      <w:r>
        <w:rPr/>
        <w:t>a</w:t>
      </w:r>
      <w:r>
        <w:rPr/>
        <w:t>re</w:t>
      </w:r>
      <w:r>
        <w:rPr/>
        <w:t> highly variable crops with significant outliers, while Broccoli and Onions remain stable a</w:t>
      </w:r>
      <w:r>
        <w:rPr/>
        <w:t>nd</w:t>
      </w:r>
      <w:r>
        <w:rPr/>
        <w:t> predictable. This visualization is particularly useful for identifying which crops contribute </w:t>
      </w:r>
      <w:r>
        <w:rPr/>
        <w:t>most</w:t>
      </w:r>
      <w:r>
        <w:rPr/>
        <w:t> to aggregate volatility and which provide a steady baseline, guiding decisions on re</w:t>
      </w:r>
      <w:r>
        <w:rPr/>
        <w:t>source</w:t>
      </w:r>
      <w:r>
        <w:rPr/>
        <w:t> allocation and risk management.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Heading2"/>
      </w:pPr>
      <w:r>
        <w:rPr/>
        <w:t>Heatmap</w:t>
      </w:r>
      <w:r>
        <w:rPr>
          <w:spacing w:val="-3"/>
        </w:rPr>
        <w:t> </w:t>
      </w:r>
      <w:r>
        <w:rPr/>
        <w:t>(Correlation </w:t>
      </w:r>
      <w:r>
        <w:rPr>
          <w:spacing w:val="-2"/>
        </w:rPr>
        <w:t>Matrix):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0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1408175</wp:posOffset>
            </wp:positionH>
            <wp:positionV relativeFrom="paragraph">
              <wp:posOffset>291487</wp:posOffset>
            </wp:positionV>
            <wp:extent cx="4410000" cy="358444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9"/>
        <w:ind w:left="0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Figure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12: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Heatmap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Crop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Production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Correlations</w:t>
      </w:r>
    </w:p>
    <w:p>
      <w:pPr>
        <w:spacing w:after="0"/>
        <w:jc w:val="left"/>
        <w:rPr>
          <w:rFonts w:ascii="Calibri"/>
          <w:sz w:val="22"/>
        </w:rPr>
        <w:sectPr>
          <w:pgSz w:w="12240" w:h="15840"/>
          <w:pgMar w:top="1360" w:bottom="280" w:left="1440" w:right="360"/>
        </w:sectPr>
      </w:pPr>
    </w:p>
    <w:p>
      <w:pPr>
        <w:pStyle w:val="BodyText"/>
        <w:spacing w:before="243"/>
        <w:rPr>
          <w:rFonts w:ascii="Calibri"/>
        </w:rPr>
      </w:pPr>
    </w:p>
    <w:p>
      <w:pPr>
        <w:pStyle w:val="BodyText"/>
        <w:spacing w:line="259" w:lineRule="auto"/>
        <w:ind w:right="1153"/>
      </w:pPr>
      <w:r>
        <w:rPr/>
        <w:t>The</w:t>
      </w:r>
      <w:r>
        <w:rPr>
          <w:spacing w:val="-2"/>
        </w:rPr>
        <w:t> </w:t>
      </w:r>
      <w:r>
        <w:rPr/>
        <w:t>heatmap provides a visual summary of the</w:t>
      </w:r>
      <w:r>
        <w:rPr>
          <w:spacing w:val="-2"/>
        </w:rPr>
        <w:t> </w:t>
      </w:r>
      <w:r>
        <w:rPr/>
        <w:t>relationships among the</w:t>
      </w:r>
      <w:r>
        <w:rPr>
          <w:spacing w:val="-1"/>
        </w:rPr>
        <w:t> </w:t>
      </w:r>
      <w:r>
        <w:rPr/>
        <w:t>different crops and </w:t>
      </w:r>
      <w:r>
        <w:rPr/>
        <w:t>their</w:t>
      </w:r>
      <w:r>
        <w:rPr/>
        <w:t> contribution to total vegetable production. The strongest positive correlations appear betwee</w:t>
      </w:r>
      <w:r>
        <w:rPr/>
        <w:t>n</w:t>
      </w:r>
      <w:r>
        <w:rPr/>
        <w:t> Corn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Vegetables</w:t>
      </w:r>
      <w:r>
        <w:rPr>
          <w:spacing w:val="-3"/>
        </w:rPr>
        <w:t> </w:t>
      </w:r>
      <w:r>
        <w:rPr/>
        <w:t>(0.92)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Green</w:t>
      </w:r>
      <w:r>
        <w:rPr>
          <w:spacing w:val="-3"/>
        </w:rPr>
        <w:t> </w:t>
      </w:r>
      <w:r>
        <w:rPr/>
        <w:t>Beans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Vegetables</w:t>
      </w:r>
      <w:r>
        <w:rPr>
          <w:spacing w:val="-3"/>
        </w:rPr>
        <w:t> </w:t>
      </w:r>
      <w:r>
        <w:rPr/>
        <w:t>(0.91),</w:t>
      </w:r>
      <w:r>
        <w:rPr>
          <w:spacing w:val="-4"/>
        </w:rPr>
        <w:t> </w:t>
      </w:r>
      <w:r>
        <w:rPr/>
        <w:t>confirming</w:t>
      </w:r>
      <w:r>
        <w:rPr>
          <w:spacing w:val="-3"/>
        </w:rPr>
        <w:t> </w:t>
      </w:r>
      <w:r>
        <w:rPr/>
        <w:t>tha</w:t>
      </w:r>
      <w:r>
        <w:rPr/>
        <w:t>t</w:t>
      </w:r>
      <w:r>
        <w:rPr/>
        <w:t> these two crops are the primary drivers of aggregate output. Green Peas also show a moderat</w:t>
      </w:r>
      <w:r>
        <w:rPr/>
        <w:t>e</w:t>
      </w:r>
      <w:r>
        <w:rPr/>
        <w:t> correlation with the total (0.64), reinforcing their role as a significant contributor, though </w:t>
      </w:r>
      <w:r>
        <w:rPr/>
        <w:t>less</w:t>
      </w:r>
      <w:r>
        <w:rPr/>
        <w:t> dominant than Corn or Green Beans.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spacing w:line="259" w:lineRule="auto"/>
        <w:ind w:right="1153"/>
      </w:pPr>
      <w:r>
        <w:rPr/>
        <w:t>Weaker</w:t>
      </w:r>
      <w:r>
        <w:rPr>
          <w:spacing w:val="-4"/>
        </w:rPr>
        <w:t> </w:t>
      </w:r>
      <w:r>
        <w:rPr/>
        <w:t>correlations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evident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other</w:t>
      </w:r>
      <w:r>
        <w:rPr>
          <w:spacing w:val="-3"/>
        </w:rPr>
        <w:t> </w:t>
      </w:r>
      <w:r>
        <w:rPr/>
        <w:t>crops.</w:t>
      </w:r>
      <w:r>
        <w:rPr>
          <w:spacing w:val="-3"/>
        </w:rPr>
        <w:t> </w:t>
      </w:r>
      <w:r>
        <w:rPr/>
        <w:t>Carrots</w:t>
      </w:r>
      <w:r>
        <w:rPr>
          <w:spacing w:val="-4"/>
        </w:rPr>
        <w:t> </w:t>
      </w:r>
      <w:r>
        <w:rPr/>
        <w:t>display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moderate</w:t>
      </w:r>
      <w:r>
        <w:rPr>
          <w:spacing w:val="-4"/>
        </w:rPr>
        <w:t> </w:t>
      </w:r>
      <w:r>
        <w:rPr/>
        <w:t>positive</w:t>
      </w:r>
      <w:r>
        <w:rPr>
          <w:spacing w:val="-4"/>
        </w:rPr>
        <w:t> </w:t>
      </w:r>
      <w:r>
        <w:rPr/>
        <w:t>re</w:t>
      </w:r>
      <w:r>
        <w:rPr/>
        <w:t>lationship</w:t>
      </w:r>
      <w:r>
        <w:rPr/>
        <w:t> with</w:t>
      </w:r>
      <w:r>
        <w:rPr>
          <w:spacing w:val="-2"/>
        </w:rPr>
        <w:t> </w:t>
      </w:r>
      <w:r>
        <w:rPr/>
        <w:t>Total</w:t>
      </w:r>
      <w:r>
        <w:rPr>
          <w:spacing w:val="-2"/>
        </w:rPr>
        <w:t> </w:t>
      </w:r>
      <w:r>
        <w:rPr/>
        <w:t>Vegetables</w:t>
      </w:r>
      <w:r>
        <w:rPr>
          <w:spacing w:val="-2"/>
        </w:rPr>
        <w:t> </w:t>
      </w:r>
      <w:r>
        <w:rPr/>
        <w:t>(0.47),</w:t>
      </w:r>
      <w:r>
        <w:rPr>
          <w:spacing w:val="-2"/>
        </w:rPr>
        <w:t> </w:t>
      </w:r>
      <w:r>
        <w:rPr/>
        <w:t>while</w:t>
      </w:r>
      <w:r>
        <w:rPr>
          <w:spacing w:val="-3"/>
        </w:rPr>
        <w:t> </w:t>
      </w:r>
      <w:r>
        <w:rPr/>
        <w:t>Onions</w:t>
      </w:r>
      <w:r>
        <w:rPr>
          <w:spacing w:val="-2"/>
        </w:rPr>
        <w:t> </w:t>
      </w:r>
      <w:r>
        <w:rPr/>
        <w:t>contribute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modestly</w:t>
      </w:r>
      <w:r>
        <w:rPr>
          <w:spacing w:val="-2"/>
        </w:rPr>
        <w:t> </w:t>
      </w:r>
      <w:r>
        <w:rPr/>
        <w:t>(0.37).</w:t>
      </w:r>
      <w:r>
        <w:rPr>
          <w:spacing w:val="-2"/>
        </w:rPr>
        <w:t> </w:t>
      </w:r>
      <w:r>
        <w:rPr/>
        <w:t>Broccoli,</w:t>
      </w:r>
      <w:r>
        <w:rPr>
          <w:spacing w:val="-2"/>
        </w:rPr>
        <w:t> </w:t>
      </w:r>
      <w:r>
        <w:rPr/>
        <w:t>howeve</w:t>
      </w:r>
      <w:r>
        <w:rPr/>
        <w:t>r,</w:t>
      </w:r>
      <w:r>
        <w:rPr/>
        <w:t> shows a very weak correlation (0.14) with the total, suggesting that its production patterns ar</w:t>
      </w:r>
      <w:r>
        <w:rPr/>
        <w:t>e</w:t>
      </w:r>
      <w:r>
        <w:rPr/>
        <w:t> largely independent of overall vegetable supply. This uneven distribution of corre</w:t>
      </w:r>
      <w:r>
        <w:rPr/>
        <w:t>lations</w:t>
      </w:r>
      <w:r>
        <w:rPr/>
        <w:t> highlights the varying importance of crops in shaping aggregate dynamics.</w:t>
      </w:r>
    </w:p>
    <w:p>
      <w:pPr>
        <w:pStyle w:val="BodyText"/>
        <w:spacing w:line="259" w:lineRule="auto" w:before="159"/>
        <w:ind w:right="1153"/>
      </w:pPr>
      <w:r>
        <w:rPr/>
        <w:t>The inter-crop relationships add further nuance. Corn is strongly correlated with Green Bea</w:t>
      </w:r>
      <w:r>
        <w:rPr/>
        <w:t>ns</w:t>
      </w:r>
      <w:r>
        <w:rPr/>
        <w:t> (</w:t>
      </w:r>
      <w:r>
        <w:rPr>
          <w:b/>
        </w:rPr>
        <w:t>0.79</w:t>
      </w:r>
      <w:r>
        <w:rPr/>
        <w:t>) and moderately with Carrots (</w:t>
      </w:r>
      <w:r>
        <w:rPr>
          <w:b/>
        </w:rPr>
        <w:t>0.53</w:t>
      </w:r>
      <w:r>
        <w:rPr/>
        <w:t>), suggesting shared seasonal cycles or resourc</w:t>
      </w:r>
      <w:r>
        <w:rPr/>
        <w:t>e</w:t>
      </w:r>
      <w:r>
        <w:rPr/>
        <w:t> dependencies. Green Beans also correlate highly with Green Peas (</w:t>
      </w:r>
      <w:r>
        <w:rPr>
          <w:b/>
        </w:rPr>
        <w:t>0.73</w:t>
      </w:r>
      <w:r>
        <w:rPr/>
        <w:t>), reflec</w:t>
      </w:r>
      <w:r>
        <w:rPr/>
        <w:t>ting</w:t>
      </w:r>
      <w:r>
        <w:rPr/>
        <w:t> complementary production trends. Conversely, Carrots and Green Peas show a slight nega</w:t>
      </w:r>
      <w:r>
        <w:rPr/>
        <w:t>tive</w:t>
      </w:r>
      <w:r>
        <w:rPr/>
        <w:t> correlation</w:t>
      </w:r>
      <w:r>
        <w:rPr>
          <w:spacing w:val="-4"/>
        </w:rPr>
        <w:t> </w:t>
      </w:r>
      <w:r>
        <w:rPr/>
        <w:t>(</w:t>
      </w:r>
      <w:r>
        <w:rPr>
          <w:b/>
        </w:rPr>
        <w:t>-0.15</w:t>
      </w:r>
      <w:r>
        <w:rPr/>
        <w:t>),</w:t>
      </w:r>
      <w:r>
        <w:rPr>
          <w:spacing w:val="-4"/>
        </w:rPr>
        <w:t> </w:t>
      </w:r>
      <w:r>
        <w:rPr/>
        <w:t>hinting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potential</w:t>
      </w:r>
      <w:r>
        <w:rPr>
          <w:spacing w:val="-4"/>
        </w:rPr>
        <w:t> </w:t>
      </w:r>
      <w:r>
        <w:rPr/>
        <w:t>trade-offs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cultivation.</w:t>
      </w:r>
      <w:r>
        <w:rPr>
          <w:spacing w:val="-4"/>
        </w:rPr>
        <w:t> </w:t>
      </w:r>
      <w:r>
        <w:rPr/>
        <w:t>Overall,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heatmap</w:t>
      </w:r>
      <w:r>
        <w:rPr>
          <w:spacing w:val="-4"/>
        </w:rPr>
        <w:t> </w:t>
      </w:r>
      <w:r>
        <w:rPr/>
        <w:t>reinforce</w:t>
      </w:r>
      <w:r>
        <w:rPr/>
        <w:t>s</w:t>
      </w:r>
      <w:r>
        <w:rPr/>
        <w:t> earlier findings: Corn and Green Beans dominate aggregate fluctuations, while Broccoli a</w:t>
      </w:r>
      <w:r>
        <w:rPr/>
        <w:t>nd</w:t>
      </w:r>
      <w:r>
        <w:rPr/>
        <w:t> Onions remain stable but peripheral.</w:t>
      </w:r>
    </w:p>
    <w:p>
      <w:pPr>
        <w:pStyle w:val="BodyText"/>
        <w:spacing w:after="0" w:line="259" w:lineRule="auto"/>
        <w:sectPr>
          <w:pgSz w:w="12240" w:h="15840"/>
          <w:pgMar w:top="1820" w:bottom="280" w:left="1440" w:right="360"/>
        </w:sectPr>
      </w:pPr>
    </w:p>
    <w:p>
      <w:pPr>
        <w:pStyle w:val="Heading2"/>
        <w:spacing w:before="79"/>
      </w:pPr>
      <w:r>
        <w:rPr/>
        <w:t>Bar</w:t>
      </w:r>
      <w:r>
        <w:rPr>
          <w:spacing w:val="-3"/>
        </w:rPr>
        <w:t> </w:t>
      </w:r>
      <w:r>
        <w:rPr>
          <w:spacing w:val="-2"/>
        </w:rPr>
        <w:t>chart: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1017553</wp:posOffset>
            </wp:positionH>
            <wp:positionV relativeFrom="paragraph">
              <wp:posOffset>183035</wp:posOffset>
            </wp:positionV>
            <wp:extent cx="5874274" cy="355949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274" cy="3559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4"/>
        <w:rPr>
          <w:b/>
        </w:rPr>
      </w:pPr>
    </w:p>
    <w:p>
      <w:pPr>
        <w:spacing w:before="0"/>
        <w:ind w:left="0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Figure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13</w:t>
      </w:r>
      <w:r>
        <w:rPr>
          <w:rFonts w:ascii="Calibri"/>
          <w:sz w:val="22"/>
        </w:rPr>
        <w:t>: Bar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Chart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Total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Crop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Production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01"/>
        <w:rPr>
          <w:rFonts w:ascii="Calibri"/>
          <w:sz w:val="22"/>
        </w:rPr>
      </w:pPr>
    </w:p>
    <w:p>
      <w:pPr>
        <w:pStyle w:val="BodyText"/>
        <w:spacing w:line="259" w:lineRule="auto"/>
        <w:ind w:right="1153"/>
      </w:pPr>
      <w:r>
        <w:rPr/>
        <w:t>The bar chart provides a clear comparison of the total production quantities across all c</w:t>
      </w:r>
      <w:r>
        <w:rPr/>
        <w:t>rops,</w:t>
      </w:r>
      <w:r>
        <w:rPr/>
        <w:t> highlighting their relative contributions to overall vegetable output. Total Vegetables natura</w:t>
      </w:r>
      <w:r>
        <w:rPr/>
        <w:t>lly</w:t>
      </w:r>
      <w:r>
        <w:rPr/>
        <w:t> dominates, reflecting the aggregate</w:t>
      </w:r>
      <w:r>
        <w:rPr>
          <w:spacing w:val="-1"/>
        </w:rPr>
        <w:t> </w:t>
      </w:r>
      <w:r>
        <w:rPr/>
        <w:t>of all crops</w:t>
      </w:r>
      <w:r>
        <w:rPr>
          <w:spacing w:val="-1"/>
        </w:rPr>
        <w:t> </w:t>
      </w:r>
      <w:r>
        <w:rPr/>
        <w:t>combined, with totals</w:t>
      </w:r>
      <w:r>
        <w:rPr>
          <w:spacing w:val="-1"/>
        </w:rPr>
        <w:t> </w:t>
      </w:r>
      <w:r>
        <w:rPr/>
        <w:t>approaching 3 × 10⁸ unit</w:t>
      </w:r>
      <w:r>
        <w:rPr/>
        <w:t>s.</w:t>
      </w:r>
      <w:r>
        <w:rPr/>
        <w:t> Among</w:t>
      </w:r>
      <w:r>
        <w:rPr>
          <w:spacing w:val="-3"/>
        </w:rPr>
        <w:t> </w:t>
      </w:r>
      <w:r>
        <w:rPr/>
        <w:t>individual</w:t>
      </w:r>
      <w:r>
        <w:rPr>
          <w:spacing w:val="-3"/>
        </w:rPr>
        <w:t> </w:t>
      </w:r>
      <w:r>
        <w:rPr/>
        <w:t>crops,</w:t>
      </w:r>
      <w:r>
        <w:rPr>
          <w:spacing w:val="-3"/>
        </w:rPr>
        <w:t> </w:t>
      </w:r>
      <w:r>
        <w:rPr/>
        <w:t>Corn</w:t>
      </w:r>
      <w:r>
        <w:rPr>
          <w:spacing w:val="-3"/>
        </w:rPr>
        <w:t> </w:t>
      </w:r>
      <w:r>
        <w:rPr/>
        <w:t>stands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largest</w:t>
      </w:r>
      <w:r>
        <w:rPr>
          <w:spacing w:val="-3"/>
        </w:rPr>
        <w:t> </w:t>
      </w:r>
      <w:r>
        <w:rPr/>
        <w:t>contributor,</w:t>
      </w:r>
      <w:r>
        <w:rPr>
          <w:spacing w:val="-3"/>
        </w:rPr>
        <w:t> </w:t>
      </w:r>
      <w:r>
        <w:rPr/>
        <w:t>far</w:t>
      </w:r>
      <w:r>
        <w:rPr>
          <w:spacing w:val="-3"/>
        </w:rPr>
        <w:t> </w:t>
      </w:r>
      <w:r>
        <w:rPr/>
        <w:t>surpassing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others</w:t>
      </w:r>
      <w:r>
        <w:rPr>
          <w:spacing w:val="-3"/>
        </w:rPr>
        <w:t> </w:t>
      </w:r>
      <w:r>
        <w:rPr/>
        <w:t>a</w:t>
      </w:r>
      <w:r>
        <w:rPr/>
        <w:t>nd</w:t>
      </w:r>
      <w:r>
        <w:rPr/>
        <w:t> reinforcing its role as the primary driver of aggregate production.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spacing w:line="259" w:lineRule="auto" w:before="1"/>
        <w:ind w:right="1153"/>
      </w:pPr>
      <w:r>
        <w:rPr/>
        <w:t>Green Peas and Green Beans follow as the next most significant contributors, each acc</w:t>
      </w:r>
      <w:r>
        <w:rPr/>
        <w:t>ounting</w:t>
      </w:r>
      <w:r>
        <w:rPr/>
        <w:t> for</w:t>
      </w:r>
      <w:r>
        <w:rPr>
          <w:spacing w:val="-5"/>
        </w:rPr>
        <w:t> </w:t>
      </w:r>
      <w:r>
        <w:rPr/>
        <w:t>substantial</w:t>
      </w:r>
      <w:r>
        <w:rPr>
          <w:spacing w:val="-3"/>
        </w:rPr>
        <w:t> </w:t>
      </w:r>
      <w:r>
        <w:rPr/>
        <w:t>shares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output.</w:t>
      </w:r>
      <w:r>
        <w:rPr>
          <w:spacing w:val="-3"/>
        </w:rPr>
        <w:t> </w:t>
      </w:r>
      <w:r>
        <w:rPr/>
        <w:t>Carrots</w:t>
      </w:r>
      <w:r>
        <w:rPr>
          <w:spacing w:val="-3"/>
        </w:rPr>
        <w:t> </w:t>
      </w:r>
      <w:r>
        <w:rPr/>
        <w:t>occupy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middle</w:t>
      </w:r>
      <w:r>
        <w:rPr>
          <w:spacing w:val="-3"/>
        </w:rPr>
        <w:t> </w:t>
      </w:r>
      <w:r>
        <w:rPr/>
        <w:t>position,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moderate</w:t>
      </w:r>
      <w:r>
        <w:rPr>
          <w:spacing w:val="-3"/>
        </w:rPr>
        <w:t> </w:t>
      </w:r>
      <w:r>
        <w:rPr/>
        <w:t>totals</w:t>
      </w:r>
      <w:r>
        <w:rPr>
          <w:spacing w:val="-3"/>
        </w:rPr>
        <w:t> </w:t>
      </w:r>
      <w:r>
        <w:rPr/>
        <w:t>tha</w:t>
      </w:r>
      <w:r>
        <w:rPr/>
        <w:t>t</w:t>
      </w:r>
      <w:r>
        <w:rPr/>
        <w:t> reflect their steady but less dominant role. Broccoli and Onions, by contrast, show the smalle</w:t>
      </w:r>
      <w:r>
        <w:rPr/>
        <w:t>st</w:t>
      </w:r>
      <w:r>
        <w:rPr/>
        <w:t> bars, underscoring their relatively minor contributions to the overall supply despite </w:t>
      </w:r>
      <w:r>
        <w:rPr/>
        <w:t>their</w:t>
      </w:r>
      <w:r>
        <w:rPr/>
        <w:t> consistent production patterns.</w:t>
      </w:r>
    </w:p>
    <w:p>
      <w:pPr>
        <w:pStyle w:val="BodyText"/>
        <w:spacing w:line="259" w:lineRule="auto" w:before="158"/>
        <w:ind w:right="1153"/>
      </w:pPr>
      <w:r>
        <w:rPr/>
        <w:t>Overall,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bar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visually</w:t>
      </w:r>
      <w:r>
        <w:rPr>
          <w:spacing w:val="-3"/>
        </w:rPr>
        <w:t> </w:t>
      </w:r>
      <w:r>
        <w:rPr/>
        <w:t>confirms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findings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descriptive</w:t>
      </w:r>
      <w:r>
        <w:rPr>
          <w:spacing w:val="-4"/>
        </w:rPr>
        <w:t> </w:t>
      </w:r>
      <w:r>
        <w:rPr/>
        <w:t>statistics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corre</w:t>
      </w:r>
      <w:r>
        <w:rPr/>
        <w:t>lation</w:t>
      </w:r>
      <w:r>
        <w:rPr/>
        <w:t> analysis: Corn, Green Beans, and Green Peas are the crops that most strongly influence tota</w:t>
      </w:r>
      <w:r>
        <w:rPr/>
        <w:t>l</w:t>
      </w:r>
      <w:r>
        <w:rPr/>
        <w:t> vegetable production, while Broccoli and Onions provide stability but contribute less to</w:t>
      </w:r>
    </w:p>
    <w:p>
      <w:pPr>
        <w:pStyle w:val="BodyText"/>
        <w:spacing w:after="0" w:line="259" w:lineRule="auto"/>
        <w:sectPr>
          <w:pgSz w:w="12240" w:h="15840"/>
          <w:pgMar w:top="1360" w:bottom="280" w:left="1440" w:right="360"/>
        </w:sectPr>
      </w:pPr>
    </w:p>
    <w:p>
      <w:pPr>
        <w:pStyle w:val="BodyText"/>
        <w:spacing w:line="259" w:lineRule="auto" w:before="79"/>
        <w:ind w:right="1062"/>
      </w:pPr>
      <w:r>
        <w:rPr/>
        <w:t>aggregate</w:t>
      </w:r>
      <w:r>
        <w:rPr>
          <w:spacing w:val="-5"/>
        </w:rPr>
        <w:t> </w:t>
      </w:r>
      <w:r>
        <w:rPr/>
        <w:t>volume.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visualization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particularly</w:t>
      </w:r>
      <w:r>
        <w:rPr>
          <w:spacing w:val="-4"/>
        </w:rPr>
        <w:t> </w:t>
      </w:r>
      <w:r>
        <w:rPr/>
        <w:t>useful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prioritizing</w:t>
      </w:r>
      <w:r>
        <w:rPr>
          <w:spacing w:val="-4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allocation</w:t>
      </w:r>
      <w:r>
        <w:rPr>
          <w:spacing w:val="-4"/>
        </w:rPr>
        <w:t> </w:t>
      </w:r>
      <w:r>
        <w:rPr/>
        <w:t>a</w:t>
      </w:r>
      <w:r>
        <w:rPr/>
        <w:t>nd</w:t>
      </w:r>
      <w:r>
        <w:rPr/>
        <w:t> identifying which crops should be the focus of production strategies.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Heading1"/>
      </w:pPr>
      <w:r>
        <w:rPr/>
        <w:t>Discussion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Recommendation</w:t>
      </w:r>
    </w:p>
    <w:p>
      <w:pPr>
        <w:pStyle w:val="BodyText"/>
        <w:spacing w:line="259" w:lineRule="auto" w:before="186"/>
        <w:ind w:right="1153"/>
      </w:pPr>
      <w:r>
        <w:rPr/>
        <w:t>The</w:t>
      </w:r>
      <w:r>
        <w:rPr>
          <w:spacing w:val="-5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trends</w:t>
      </w:r>
      <w:r>
        <w:rPr>
          <w:spacing w:val="-3"/>
        </w:rPr>
        <w:t> </w:t>
      </w:r>
      <w:r>
        <w:rPr/>
        <w:t>reveals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clear</w:t>
      </w:r>
      <w:r>
        <w:rPr>
          <w:spacing w:val="-3"/>
        </w:rPr>
        <w:t> </w:t>
      </w:r>
      <w:r>
        <w:rPr/>
        <w:t>hierarchy</w:t>
      </w:r>
      <w:r>
        <w:rPr>
          <w:spacing w:val="-3"/>
        </w:rPr>
        <w:t> </w:t>
      </w:r>
      <w:r>
        <w:rPr/>
        <w:t>among</w:t>
      </w:r>
      <w:r>
        <w:rPr>
          <w:spacing w:val="-3"/>
        </w:rPr>
        <w:t> </w:t>
      </w:r>
      <w:r>
        <w:rPr/>
        <w:t>crops,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Corn</w:t>
      </w:r>
      <w:r>
        <w:rPr/>
        <w:t> emerging as the dominant driver of total vegetable output. Descriptive statistics establishe</w:t>
      </w:r>
      <w:r>
        <w:rPr/>
        <w:t>d</w:t>
      </w:r>
      <w:r>
        <w:rPr/>
        <w:t> Corn’s</w:t>
      </w:r>
      <w:r>
        <w:rPr>
          <w:spacing w:val="-4"/>
        </w:rPr>
        <w:t> </w:t>
      </w:r>
      <w:r>
        <w:rPr/>
        <w:t>high</w:t>
      </w:r>
      <w:r>
        <w:rPr>
          <w:spacing w:val="-3"/>
        </w:rPr>
        <w:t> </w:t>
      </w:r>
      <w:r>
        <w:rPr/>
        <w:t>mean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wide</w:t>
      </w:r>
      <w:r>
        <w:rPr>
          <w:spacing w:val="-4"/>
        </w:rPr>
        <w:t> </w:t>
      </w:r>
      <w:r>
        <w:rPr/>
        <w:t>variability,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Broccoli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Onions</w:t>
      </w:r>
      <w:r>
        <w:rPr>
          <w:spacing w:val="-4"/>
        </w:rPr>
        <w:t> </w:t>
      </w:r>
      <w:r>
        <w:rPr/>
        <w:t>showed</w:t>
      </w:r>
      <w:r>
        <w:rPr>
          <w:spacing w:val="-1"/>
        </w:rPr>
        <w:t> </w:t>
      </w:r>
      <w:r>
        <w:rPr/>
        <w:t>compact</w:t>
      </w:r>
      <w:r>
        <w:rPr>
          <w:spacing w:val="-3"/>
        </w:rPr>
        <w:t> </w:t>
      </w:r>
      <w:r>
        <w:rPr/>
        <w:t>ranges</w:t>
      </w:r>
      <w:r>
        <w:rPr>
          <w:spacing w:val="-4"/>
        </w:rPr>
        <w:t> </w:t>
      </w:r>
      <w:r>
        <w:rPr/>
        <w:t>a</w:t>
      </w:r>
      <w:r>
        <w:rPr/>
        <w:t>nd</w:t>
      </w:r>
      <w:r>
        <w:rPr/>
        <w:t> predictable</w:t>
      </w:r>
      <w:r>
        <w:rPr>
          <w:spacing w:val="-4"/>
        </w:rPr>
        <w:t> </w:t>
      </w:r>
      <w:r>
        <w:rPr/>
        <w:t>production.</w:t>
      </w:r>
      <w:r>
        <w:rPr>
          <w:spacing w:val="-4"/>
        </w:rPr>
        <w:t> </w:t>
      </w:r>
      <w:r>
        <w:rPr/>
        <w:t>These</w:t>
      </w:r>
      <w:r>
        <w:rPr>
          <w:spacing w:val="-5"/>
        </w:rPr>
        <w:t> </w:t>
      </w:r>
      <w:r>
        <w:rPr/>
        <w:t>findings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reinforced</w:t>
      </w:r>
      <w:r>
        <w:rPr>
          <w:spacing w:val="-4"/>
        </w:rPr>
        <w:t> </w:t>
      </w:r>
      <w:r>
        <w:rPr/>
        <w:t>by</w:t>
      </w:r>
      <w:r>
        <w:rPr>
          <w:spacing w:val="-1"/>
        </w:rPr>
        <w:t> </w:t>
      </w:r>
      <w:r>
        <w:rPr/>
        <w:t>correlation</w:t>
      </w:r>
      <w:r>
        <w:rPr>
          <w:spacing w:val="-4"/>
        </w:rPr>
        <w:t> </w:t>
      </w:r>
      <w:r>
        <w:rPr/>
        <w:t>analysis,</w:t>
      </w:r>
      <w:r>
        <w:rPr>
          <w:spacing w:val="-4"/>
        </w:rPr>
        <w:t> </w:t>
      </w:r>
      <w:r>
        <w:rPr/>
        <w:t>where</w:t>
      </w:r>
      <w:r>
        <w:rPr>
          <w:spacing w:val="-6"/>
        </w:rPr>
        <w:t> </w:t>
      </w:r>
      <w:r>
        <w:rPr/>
        <w:t>Corn</w:t>
      </w:r>
      <w:r>
        <w:rPr>
          <w:spacing w:val="-4"/>
        </w:rPr>
        <w:t> </w:t>
      </w:r>
      <w:r>
        <w:rPr/>
        <w:t>a</w:t>
      </w:r>
      <w:r>
        <w:rPr/>
        <w:t>nd</w:t>
      </w:r>
      <w:r>
        <w:rPr/>
        <w:t> Green Beans displayed the strongest associations with total output, while Broccoli and </w:t>
      </w:r>
      <w:r>
        <w:rPr/>
        <w:t>Onions</w:t>
      </w:r>
      <w:r>
        <w:rPr/>
        <w:t> contributed little to aggregate fluctuations. This statistical foundation set the stage for visua</w:t>
      </w:r>
      <w:r>
        <w:rPr/>
        <w:t>l</w:t>
      </w:r>
      <w:r>
        <w:rPr/>
        <w:t> exploration, which confirmed the patterns through line plots, histograms, boxplots, a</w:t>
      </w:r>
      <w:r>
        <w:rPr/>
        <w:t>nd</w:t>
      </w:r>
      <w:r>
        <w:rPr/>
        <w:t> </w:t>
      </w:r>
      <w:r>
        <w:rPr>
          <w:spacing w:val="-2"/>
        </w:rPr>
        <w:t>heatmaps.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line="259" w:lineRule="auto"/>
        <w:ind w:right="1153"/>
      </w:pPr>
      <w:r>
        <w:rPr/>
        <w:t>Visualizations provided tangible evidence of these dynamics. Line plots highlighted Corn’</w:t>
      </w:r>
      <w:r>
        <w:rPr/>
        <w:t>s</w:t>
      </w:r>
      <w:r>
        <w:rPr/>
        <w:t> cyclical peaks aligning with aggregate production, while histograms revealed its </w:t>
      </w:r>
      <w:r>
        <w:rPr/>
        <w:t>wide</w:t>
      </w:r>
      <w:r>
        <w:rPr/>
        <w:t> distribution and frequent extremes. Boxplots emphasized the spread and outliers in Corn a</w:t>
      </w:r>
      <w:r>
        <w:rPr/>
        <w:t>nd</w:t>
      </w:r>
      <w:r>
        <w:rPr/>
        <w:t> Green Peas, contrasting with the stability of Broccoli and Onions. The heatmap fur</w:t>
      </w:r>
      <w:r>
        <w:rPr/>
        <w:t>ther</w:t>
      </w:r>
      <w:r>
        <w:rPr/>
        <w:t> confirmed strong correlations between Corn, Green Beans, and total output, while weaker </w:t>
      </w:r>
      <w:r>
        <w:rPr/>
        <w:t>or</w:t>
      </w:r>
      <w:r>
        <w:rPr/>
        <w:t> negative correlations among other crops underscored their secondary roles. Together, </w:t>
      </w:r>
      <w:r>
        <w:rPr/>
        <w:t>these</w:t>
      </w:r>
      <w:r>
        <w:rPr/>
        <w:t> visual</w:t>
      </w:r>
      <w:r>
        <w:rPr>
          <w:spacing w:val="-3"/>
        </w:rPr>
        <w:t> </w:t>
      </w:r>
      <w:r>
        <w:rPr/>
        <w:t>tools</w:t>
      </w:r>
      <w:r>
        <w:rPr>
          <w:spacing w:val="-3"/>
        </w:rPr>
        <w:t> </w:t>
      </w:r>
      <w:r>
        <w:rPr/>
        <w:t>strengthened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argument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Corn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Green</w:t>
      </w:r>
      <w:r>
        <w:rPr>
          <w:spacing w:val="-3"/>
        </w:rPr>
        <w:t> </w:t>
      </w:r>
      <w:r>
        <w:rPr/>
        <w:t>Beans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central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volatility</w:t>
      </w:r>
      <w:r>
        <w:rPr>
          <w:spacing w:val="-3"/>
        </w:rPr>
        <w:t> </w:t>
      </w:r>
      <w:r>
        <w:rPr/>
        <w:t>a</w:t>
      </w:r>
      <w:r>
        <w:rPr/>
        <w:t>nd</w:t>
      </w:r>
      <w:r>
        <w:rPr/>
        <w:t> growth, while Broccoli and Onions act as stabilizers.</w:t>
      </w:r>
    </w:p>
    <w:p>
      <w:pPr>
        <w:pStyle w:val="BodyText"/>
        <w:spacing w:line="259" w:lineRule="auto" w:before="158"/>
        <w:ind w:right="1153"/>
      </w:pPr>
      <w:r>
        <w:rPr/>
        <w:t>From these insights, a dual dynamic emerges: high‑impact crops drive variability, while </w:t>
      </w:r>
      <w:r>
        <w:rPr/>
        <w:t>stable</w:t>
      </w:r>
      <w:r>
        <w:rPr/>
        <w:t> crops</w:t>
      </w:r>
      <w:r>
        <w:rPr>
          <w:spacing w:val="-4"/>
        </w:rPr>
        <w:t> </w:t>
      </w:r>
      <w:r>
        <w:rPr/>
        <w:t>provide</w:t>
      </w:r>
      <w:r>
        <w:rPr>
          <w:spacing w:val="-3"/>
        </w:rPr>
        <w:t> </w:t>
      </w:r>
      <w:r>
        <w:rPr/>
        <w:t>consistency.</w:t>
      </w:r>
      <w:r>
        <w:rPr>
          <w:spacing w:val="-3"/>
        </w:rPr>
        <w:t> </w:t>
      </w:r>
      <w:r>
        <w:rPr/>
        <w:t>Corn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Green</w:t>
      </w:r>
      <w:r>
        <w:rPr>
          <w:spacing w:val="-4"/>
        </w:rPr>
        <w:t> </w:t>
      </w:r>
      <w:r>
        <w:rPr/>
        <w:t>Beans,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strong</w:t>
      </w:r>
      <w:r>
        <w:rPr>
          <w:spacing w:val="-4"/>
        </w:rPr>
        <w:t> </w:t>
      </w:r>
      <w:r>
        <w:rPr/>
        <w:t>correlations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large</w:t>
      </w:r>
      <w:r>
        <w:rPr>
          <w:spacing w:val="-5"/>
        </w:rPr>
        <w:t> </w:t>
      </w:r>
      <w:r>
        <w:rPr/>
        <w:t>tota</w:t>
      </w:r>
      <w:r>
        <w:rPr/>
        <w:t>ls,</w:t>
      </w:r>
      <w:r>
        <w:rPr/>
        <w:t> are essential for maximizing production but also introduce risk through volatility. Broccoli a</w:t>
      </w:r>
      <w:r>
        <w:rPr/>
        <w:t>nd</w:t>
      </w:r>
      <w:r>
        <w:rPr/>
        <w:t> Onions, though smaller contributors, offer predictability that can anchor supply </w:t>
      </w:r>
      <w:r>
        <w:rPr/>
        <w:t>during</w:t>
      </w:r>
      <w:r>
        <w:rPr/>
        <w:t> fluctuations. Carrots and Green Peas occupy a</w:t>
      </w:r>
      <w:r>
        <w:rPr>
          <w:spacing w:val="-1"/>
        </w:rPr>
        <w:t> </w:t>
      </w:r>
      <w:r>
        <w:rPr/>
        <w:t>middle ground, providing moderate c</w:t>
      </w:r>
      <w:r>
        <w:rPr/>
        <w:t>ontributions</w:t>
      </w:r>
      <w:r>
        <w:rPr/>
        <w:t> and opportunities for diversification. This balance between drivers and stabilizers is critical </w:t>
      </w:r>
      <w:r>
        <w:rPr/>
        <w:t>for</w:t>
      </w:r>
      <w:r>
        <w:rPr/>
        <w:t> managing agricultural systems effectively.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line="259" w:lineRule="auto"/>
        <w:ind w:right="1153"/>
      </w:pPr>
      <w:r>
        <w:rPr/>
        <w:t>Based on this evidence, several recommendations follow. First, resource allocation </w:t>
      </w:r>
      <w:r>
        <w:rPr/>
        <w:t>should</w:t>
      </w:r>
      <w:r>
        <w:rPr/>
        <w:t> prioritize Corn and Green Beans, ensuring sufficient inputs to sustain their dominant </w:t>
      </w:r>
      <w:r>
        <w:rPr/>
        <w:t>role.</w:t>
      </w:r>
      <w:r>
        <w:rPr/>
        <w:t> Second,</w:t>
      </w:r>
      <w:r>
        <w:rPr>
          <w:spacing w:val="-4"/>
        </w:rPr>
        <w:t> </w:t>
      </w:r>
      <w:r>
        <w:rPr/>
        <w:t>volatility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strategies—such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storage</w:t>
      </w:r>
      <w:r>
        <w:rPr>
          <w:spacing w:val="-5"/>
        </w:rPr>
        <w:t> </w:t>
      </w:r>
      <w:r>
        <w:rPr/>
        <w:t>facilities,</w:t>
      </w:r>
      <w:r>
        <w:rPr>
          <w:spacing w:val="-4"/>
        </w:rPr>
        <w:t> </w:t>
      </w:r>
      <w:r>
        <w:rPr/>
        <w:t>crop</w:t>
      </w:r>
      <w:r>
        <w:rPr>
          <w:spacing w:val="-4"/>
        </w:rPr>
        <w:t> </w:t>
      </w:r>
      <w:r>
        <w:rPr/>
        <w:t>insurance,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su</w:t>
      </w:r>
      <w:r>
        <w:rPr/>
        <w:t>pply</w:t>
      </w:r>
      <w:r>
        <w:rPr/>
        <w:t> chain flexibility—should be applied to Corn and Green Peas to mitigate risks from seasona</w:t>
      </w:r>
      <w:r>
        <w:rPr/>
        <w:t>l</w:t>
      </w:r>
      <w:r>
        <w:rPr/>
        <w:t> peaks. Third, expanding Broccoli and Onion cultivation can provide a reliable baseline</w:t>
      </w:r>
      <w:r>
        <w:rPr/>
        <w:t>,</w:t>
      </w:r>
      <w:r>
        <w:rPr/>
        <w:t> offsetting variability in other crops. Fourth, diversification across Carrots and Green Peas ca</w:t>
      </w:r>
      <w:r>
        <w:rPr/>
        <w:t>n</w:t>
      </w:r>
      <w:r>
        <w:rPr/>
        <w:t> reduce dependence on Corn alone, spreading risk more evenly. Finally, predictive ana</w:t>
      </w:r>
      <w:r>
        <w:rPr/>
        <w:t>lytics</w:t>
      </w:r>
      <w:r>
        <w:rPr/>
        <w:t> should be integrated to anticipate cyclical patterns and guide proactive resource planning.</w:t>
      </w:r>
    </w:p>
    <w:p>
      <w:pPr>
        <w:pStyle w:val="BodyText"/>
        <w:spacing w:after="0" w:line="259" w:lineRule="auto"/>
        <w:sectPr>
          <w:pgSz w:w="12240" w:h="15840"/>
          <w:pgMar w:top="1360" w:bottom="280" w:left="1440" w:right="360"/>
        </w:sectPr>
      </w:pPr>
    </w:p>
    <w:p>
      <w:pPr>
        <w:pStyle w:val="BodyText"/>
        <w:spacing w:line="259" w:lineRule="auto" w:before="78"/>
        <w:ind w:right="1117"/>
      </w:pPr>
      <w:r>
        <w:rPr/>
        <w:t>In</w:t>
      </w:r>
      <w:r>
        <w:rPr>
          <w:spacing w:val="-2"/>
        </w:rPr>
        <w:t> </w:t>
      </w:r>
      <w:r>
        <w:rPr/>
        <w:t>conclusion,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logical</w:t>
      </w:r>
      <w:r>
        <w:rPr>
          <w:spacing w:val="-2"/>
        </w:rPr>
        <w:t> </w:t>
      </w:r>
      <w:r>
        <w:rPr/>
        <w:t>flow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statistics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correlations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visualizations</w:t>
      </w:r>
      <w:r>
        <w:rPr>
          <w:spacing w:val="-4"/>
        </w:rPr>
        <w:t> </w:t>
      </w:r>
      <w:r>
        <w:rPr/>
        <w:t>supports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cohere</w:t>
      </w:r>
      <w:r>
        <w:rPr/>
        <w:t>nt</w:t>
      </w:r>
      <w:r>
        <w:rPr/>
        <w:t> interpretation of agricultural dynamics. Corn and Green Beans are the engines of growth </w:t>
      </w:r>
      <w:r>
        <w:rPr/>
        <w:t>but</w:t>
      </w:r>
      <w:r>
        <w:rPr/>
        <w:t> require careful management, while Broccoli and Onions provide stability. Carrots and Gree</w:t>
      </w:r>
      <w:r>
        <w:rPr/>
        <w:t>n</w:t>
      </w:r>
      <w:r>
        <w:rPr/>
        <w:t> Peas offer diversification opportunities that balance risk and output. By combining evidenc</w:t>
      </w:r>
      <w:r>
        <w:rPr/>
        <w:t>e</w:t>
      </w:r>
      <w:r>
        <w:rPr/>
        <w:t> from tables and plots, the analysis delivers actionable recommendations: prioritize high‑impac</w:t>
      </w:r>
      <w:r>
        <w:rPr/>
        <w:t>t</w:t>
      </w:r>
      <w:r>
        <w:rPr/>
        <w:t> crops, manage volatility, leverage stability, diversify strategically, and employ forecasting </w:t>
      </w:r>
      <w:r>
        <w:rPr/>
        <w:t>tools.</w:t>
      </w:r>
      <w:r>
        <w:rPr/>
        <w:t> These strategies together ensure both productivity and resilience in agricultural produc</w:t>
      </w:r>
      <w:r>
        <w:rPr/>
        <w:t>tion</w:t>
      </w:r>
      <w:r>
        <w:rPr/>
        <w:t> </w:t>
      </w:r>
      <w:r>
        <w:rPr>
          <w:spacing w:val="-2"/>
        </w:rPr>
        <w:t>systems.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2"/>
        <w:spacing w:before="1"/>
      </w:pPr>
      <w:r>
        <w:rPr/>
        <w:t>Code</w:t>
      </w:r>
      <w:r>
        <w:rPr>
          <w:spacing w:val="-2"/>
        </w:rPr>
        <w:t> </w:t>
      </w:r>
      <w:r>
        <w:rPr/>
        <w:t>(R</w:t>
      </w:r>
      <w:r>
        <w:rPr>
          <w:spacing w:val="-2"/>
        </w:rPr>
        <w:t> SOFTWARE):</w:t>
      </w:r>
    </w:p>
    <w:p>
      <w:pPr>
        <w:pStyle w:val="BodyText"/>
        <w:rPr>
          <w:b/>
        </w:rPr>
      </w:pPr>
    </w:p>
    <w:p>
      <w:pPr>
        <w:pStyle w:val="BodyText"/>
        <w:spacing w:before="86"/>
        <w:rPr>
          <w:b/>
        </w:rPr>
      </w:pPr>
    </w:p>
    <w:p>
      <w:pPr>
        <w:pStyle w:val="BodyText"/>
        <w:spacing w:line="398" w:lineRule="auto" w:before="1"/>
        <w:ind w:right="5951"/>
      </w:pPr>
      <w:r>
        <w:rPr/>
        <w:t>Install required package</w:t>
      </w:r>
      <w:r>
        <w:rPr/>
        <w:t>s</w:t>
      </w:r>
      <w:r>
        <w:rPr/>
        <w:t> </w:t>
      </w:r>
      <w:r>
        <w:rPr>
          <w:spacing w:val="-2"/>
        </w:rPr>
        <w:t>install.packages("rmarkd</w:t>
      </w:r>
      <w:r>
        <w:rPr>
          <w:spacing w:val="-2"/>
        </w:rPr>
        <w:t>own")</w:t>
      </w:r>
      <w:r>
        <w:rPr>
          <w:spacing w:val="-2"/>
        </w:rPr>
        <w:t> install.packages("knitr")</w:t>
      </w:r>
    </w:p>
    <w:p>
      <w:pPr>
        <w:pStyle w:val="BodyText"/>
        <w:spacing w:before="180"/>
      </w:pPr>
    </w:p>
    <w:p>
      <w:pPr>
        <w:pStyle w:val="BodyText"/>
        <w:spacing w:line="398" w:lineRule="auto"/>
        <w:ind w:right="8492"/>
      </w:pPr>
      <w:r>
        <w:rPr/>
        <w:t>Load librarie</w:t>
      </w:r>
      <w:r>
        <w:rPr/>
        <w:t>s</w:t>
      </w:r>
      <w:r>
        <w:rPr/>
        <w:t> </w:t>
      </w:r>
      <w:r>
        <w:rPr>
          <w:spacing w:val="-2"/>
        </w:rPr>
        <w:t>library(tidyve</w:t>
      </w:r>
      <w:r>
        <w:rPr>
          <w:spacing w:val="-2"/>
        </w:rPr>
        <w:t>rse)</w:t>
      </w:r>
      <w:r>
        <w:rPr>
          <w:spacing w:val="-2"/>
        </w:rPr>
        <w:t> library(psyc</w:t>
      </w:r>
      <w:r>
        <w:rPr>
          <w:spacing w:val="-2"/>
        </w:rPr>
        <w:t>h)</w:t>
      </w:r>
      <w:r>
        <w:rPr>
          <w:spacing w:val="-2"/>
        </w:rPr>
        <w:t> library(GGa</w:t>
      </w:r>
      <w:r>
        <w:rPr>
          <w:spacing w:val="-2"/>
        </w:rPr>
        <w:t>lly)</w:t>
      </w:r>
      <w:r>
        <w:rPr>
          <w:spacing w:val="-2"/>
        </w:rPr>
        <w:t> library(gridExtra</w:t>
      </w:r>
      <w:r>
        <w:rPr>
          <w:spacing w:val="-2"/>
        </w:rPr>
        <w:t>)</w:t>
      </w:r>
      <w:r>
        <w:rPr>
          <w:spacing w:val="-2"/>
        </w:rPr>
        <w:t> library(readxl)</w:t>
      </w:r>
    </w:p>
    <w:p>
      <w:pPr>
        <w:pStyle w:val="BodyText"/>
        <w:spacing w:before="182"/>
      </w:pPr>
    </w:p>
    <w:p>
      <w:pPr>
        <w:pStyle w:val="BodyText"/>
        <w:spacing w:before="1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dataset</w:t>
      </w:r>
    </w:p>
    <w:p>
      <w:pPr>
        <w:pStyle w:val="BodyText"/>
        <w:spacing w:before="180"/>
      </w:pPr>
      <w:r>
        <w:rPr/>
        <w:t>agri</w:t>
      </w:r>
      <w:r>
        <w:rPr>
          <w:spacing w:val="-2"/>
        </w:rPr>
        <w:t> </w:t>
      </w:r>
      <w:r>
        <w:rPr/>
        <w:t>&lt;-</w:t>
      </w:r>
      <w:r>
        <w:rPr>
          <w:spacing w:val="-2"/>
        </w:rPr>
        <w:t> </w:t>
      </w:r>
      <w:r>
        <w:rPr/>
        <w:t>read_excel("Eight_Databases (1).xlsx",</w:t>
      </w:r>
      <w:r>
        <w:rPr>
          <w:spacing w:val="-1"/>
        </w:rPr>
        <w:t> </w:t>
      </w:r>
      <w:r>
        <w:rPr/>
        <w:t>sheet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"Agricultural")</w:t>
      </w:r>
    </w:p>
    <w:p>
      <w:pPr>
        <w:pStyle w:val="BodyText"/>
        <w:spacing w:after="0"/>
        <w:sectPr>
          <w:pgSz w:w="12240" w:h="15840"/>
          <w:pgMar w:top="1820" w:bottom="280" w:left="1440" w:right="360"/>
        </w:sectPr>
      </w:pPr>
    </w:p>
    <w:p>
      <w:pPr>
        <w:pStyle w:val="BodyText"/>
        <w:spacing w:line="398" w:lineRule="auto" w:before="79"/>
        <w:ind w:right="8492" w:firstLine="60"/>
      </w:pPr>
      <w:r>
        <w:rPr/>
        <w:t>Inspect </w:t>
      </w:r>
      <w:r>
        <w:rPr/>
        <w:t>data</w:t>
      </w:r>
      <w:r>
        <w:rPr/>
        <w:t> </w:t>
      </w:r>
      <w:r>
        <w:rPr>
          <w:spacing w:val="-2"/>
        </w:rPr>
        <w:t>str(a</w:t>
      </w:r>
      <w:r>
        <w:rPr>
          <w:spacing w:val="-2"/>
        </w:rPr>
        <w:t>gri)</w:t>
      </w:r>
      <w:r>
        <w:rPr>
          <w:spacing w:val="-2"/>
        </w:rPr>
        <w:t> summary(a</w:t>
      </w:r>
      <w:r>
        <w:rPr>
          <w:spacing w:val="-2"/>
        </w:rPr>
        <w:t>gri)</w:t>
      </w:r>
      <w:r>
        <w:rPr>
          <w:spacing w:val="-2"/>
        </w:rPr>
        <w:t> describe(agri)</w:t>
      </w:r>
    </w:p>
    <w:p>
      <w:pPr>
        <w:pStyle w:val="BodyText"/>
        <w:spacing w:before="181"/>
      </w:pPr>
    </w:p>
    <w:p>
      <w:pPr>
        <w:pStyle w:val="BodyText"/>
      </w:pPr>
      <w:r>
        <w:rPr/>
        <w:t>Correlation</w:t>
      </w:r>
      <w:r>
        <w:rPr>
          <w:spacing w:val="-3"/>
        </w:rPr>
        <w:t> </w:t>
      </w:r>
      <w:r>
        <w:rPr>
          <w:spacing w:val="-2"/>
        </w:rPr>
        <w:t>matrix</w:t>
      </w:r>
    </w:p>
    <w:p>
      <w:pPr>
        <w:pStyle w:val="BodyText"/>
        <w:spacing w:line="396" w:lineRule="auto" w:before="183"/>
        <w:ind w:right="5951"/>
      </w:pPr>
      <w:r>
        <w:rPr/>
        <w:t>cor_matrix</w:t>
      </w:r>
      <w:r>
        <w:rPr>
          <w:spacing w:val="-10"/>
        </w:rPr>
        <w:t> </w:t>
      </w:r>
      <w:r>
        <w:rPr/>
        <w:t>&lt;-</w:t>
      </w:r>
      <w:r>
        <w:rPr>
          <w:spacing w:val="-9"/>
        </w:rPr>
        <w:t> </w:t>
      </w:r>
      <w:r>
        <w:rPr/>
        <w:t>cor(agri</w:t>
      </w:r>
      <w:r>
        <w:rPr>
          <w:spacing w:val="-10"/>
        </w:rPr>
        <w:t> </w:t>
      </w:r>
      <w:r>
        <w:rPr/>
        <w:t>%&gt;%</w:t>
      </w:r>
      <w:r>
        <w:rPr>
          <w:spacing w:val="-11"/>
        </w:rPr>
        <w:t> </w:t>
      </w:r>
      <w:r>
        <w:rPr/>
        <w:t>select(-</w:t>
      </w:r>
      <w:r>
        <w:rPr/>
        <w:t>Month)</w:t>
      </w:r>
      <w:r>
        <w:rPr/>
        <w:t>)</w:t>
      </w:r>
      <w:r>
        <w:rPr/>
        <w:t> round(cor_matrix, 2)</w:t>
      </w:r>
    </w:p>
    <w:p>
      <w:pPr>
        <w:pStyle w:val="BodyText"/>
        <w:spacing w:before="186"/>
      </w:pPr>
    </w:p>
    <w:p>
      <w:pPr>
        <w:pStyle w:val="BodyText"/>
        <w:spacing w:line="398" w:lineRule="auto" w:before="1"/>
        <w:ind w:right="8087"/>
      </w:pPr>
      <w:r>
        <w:rPr/>
        <w:t># Reshape da</w:t>
      </w:r>
      <w:r>
        <w:rPr/>
        <w:t>ta</w:t>
      </w:r>
      <w:r>
        <w:rPr/>
        <w:t> agri_long</w:t>
      </w:r>
      <w:r>
        <w:rPr>
          <w:spacing w:val="-14"/>
        </w:rPr>
        <w:t> </w:t>
      </w:r>
      <w:r>
        <w:rPr/>
        <w:t>&lt;-</w:t>
      </w:r>
      <w:r>
        <w:rPr>
          <w:spacing w:val="-15"/>
        </w:rPr>
        <w:t> </w:t>
      </w:r>
      <w:r>
        <w:rPr/>
        <w:t>agri</w:t>
      </w:r>
      <w:r>
        <w:rPr>
          <w:spacing w:val="-14"/>
        </w:rPr>
        <w:t> </w:t>
      </w:r>
      <w:r>
        <w:rPr/>
        <w:t>%&gt;%</w:t>
      </w:r>
    </w:p>
    <w:p>
      <w:pPr>
        <w:pStyle w:val="BodyText"/>
        <w:spacing w:line="274" w:lineRule="exact"/>
        <w:ind w:left="120"/>
      </w:pPr>
      <w:r>
        <w:rPr/>
        <w:t>pivot_longer(cols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-Month,</w:t>
      </w:r>
      <w:r>
        <w:rPr>
          <w:spacing w:val="-1"/>
        </w:rPr>
        <w:t> </w:t>
      </w:r>
      <w:r>
        <w:rPr/>
        <w:t>names_to =</w:t>
      </w:r>
      <w:r>
        <w:rPr>
          <w:spacing w:val="-1"/>
        </w:rPr>
        <w:t> </w:t>
      </w:r>
      <w:r>
        <w:rPr/>
        <w:t>"Crop",</w:t>
      </w:r>
      <w:r>
        <w:rPr>
          <w:spacing w:val="-1"/>
        </w:rPr>
        <w:t> </w:t>
      </w:r>
      <w:r>
        <w:rPr/>
        <w:t>values_to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"Production")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</w:pPr>
      <w:r>
        <w:rPr/>
        <w:t>Line</w:t>
      </w:r>
      <w:r>
        <w:rPr>
          <w:spacing w:val="-1"/>
        </w:rPr>
        <w:t> </w:t>
      </w:r>
      <w:r>
        <w:rPr>
          <w:spacing w:val="-4"/>
        </w:rPr>
        <w:t>plot</w:t>
      </w:r>
    </w:p>
    <w:p>
      <w:pPr>
        <w:pStyle w:val="BodyText"/>
        <w:spacing w:line="396" w:lineRule="auto" w:before="183"/>
        <w:ind w:left="120" w:right="3372" w:hanging="120"/>
      </w:pPr>
      <w:r>
        <w:rPr/>
        <w:t>ggplot(agri_long,</w:t>
      </w:r>
      <w:r>
        <w:rPr>
          <w:spacing w:val="-4"/>
        </w:rPr>
        <w:t> </w:t>
      </w:r>
      <w:r>
        <w:rPr/>
        <w:t>aes(x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Month,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Production,</w:t>
      </w:r>
      <w:r>
        <w:rPr>
          <w:spacing w:val="-4"/>
        </w:rPr>
        <w:t> </w:t>
      </w:r>
      <w:r>
        <w:rPr/>
        <w:t>color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Crop))</w:t>
      </w:r>
      <w:r>
        <w:rPr>
          <w:spacing w:val="-4"/>
        </w:rPr>
        <w:t> </w:t>
      </w:r>
      <w:r>
        <w:rPr/>
        <w:t>+</w:t>
      </w:r>
      <w:r>
        <w:rPr/>
        <w:t> geom_line(linewidth = 1.2) +</w:t>
      </w:r>
    </w:p>
    <w:p>
      <w:pPr>
        <w:pStyle w:val="BodyText"/>
        <w:spacing w:line="398" w:lineRule="auto" w:before="4"/>
        <w:ind w:left="420" w:right="5951" w:hanging="300"/>
      </w:pPr>
      <w:r>
        <w:rPr/>
        <w:t>labs(title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"Agricultural</w:t>
      </w:r>
      <w:r>
        <w:rPr>
          <w:spacing w:val="-10"/>
        </w:rPr>
        <w:t> </w:t>
      </w:r>
      <w:r>
        <w:rPr/>
        <w:t>Production</w:t>
      </w:r>
      <w:r>
        <w:rPr>
          <w:spacing w:val="-10"/>
        </w:rPr>
        <w:t> </w:t>
      </w:r>
      <w:r>
        <w:rPr/>
        <w:t>Trends"</w:t>
      </w:r>
      <w:r>
        <w:rPr/>
        <w:t>,</w:t>
      </w:r>
      <w:r>
        <w:rPr/>
        <w:t> x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"Month", y =</w:t>
      </w:r>
      <w:r>
        <w:rPr>
          <w:spacing w:val="-1"/>
        </w:rPr>
        <w:t> </w:t>
      </w:r>
      <w:r>
        <w:rPr/>
        <w:t>"Production Volume")</w:t>
      </w:r>
      <w:r>
        <w:rPr>
          <w:spacing w:val="-1"/>
        </w:rPr>
        <w:t> </w:t>
      </w:r>
      <w:r>
        <w:rPr>
          <w:spacing w:val="-10"/>
        </w:rPr>
        <w:t>+</w:t>
      </w:r>
    </w:p>
    <w:p>
      <w:pPr>
        <w:pStyle w:val="BodyText"/>
        <w:ind w:left="120"/>
      </w:pPr>
      <w:r>
        <w:rPr>
          <w:spacing w:val="-2"/>
        </w:rPr>
        <w:t>theme_minimal()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</w:pPr>
      <w:r>
        <w:rPr>
          <w:spacing w:val="-2"/>
        </w:rPr>
        <w:t>Histogram</w:t>
      </w:r>
    </w:p>
    <w:p>
      <w:pPr>
        <w:pStyle w:val="BodyText"/>
        <w:spacing w:line="398" w:lineRule="auto" w:before="182"/>
        <w:ind w:left="120" w:right="4465" w:hanging="120"/>
      </w:pPr>
      <w:r>
        <w:rPr/>
        <w:t>ggplot(agri_long,</w:t>
      </w:r>
      <w:r>
        <w:rPr>
          <w:spacing w:val="-6"/>
        </w:rPr>
        <w:t> </w:t>
      </w:r>
      <w:r>
        <w:rPr/>
        <w:t>aes(x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Production,</w:t>
      </w:r>
      <w:r>
        <w:rPr>
          <w:spacing w:val="-6"/>
        </w:rPr>
        <w:t> </w:t>
      </w:r>
      <w:r>
        <w:rPr/>
        <w:t>fill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Crop))</w:t>
      </w:r>
      <w:r>
        <w:rPr>
          <w:spacing w:val="-5"/>
        </w:rPr>
        <w:t> </w:t>
      </w:r>
      <w:r>
        <w:rPr/>
        <w:t>+</w:t>
      </w:r>
      <w:r>
        <w:rPr/>
        <w:t> geom_histogram(bins = 30, alpha = 0.6) </w:t>
      </w:r>
      <w:r>
        <w:rPr/>
        <w:t>+</w:t>
      </w:r>
      <w:r>
        <w:rPr/>
        <w:t> facet_wrap(~Crop, scales = "free") +</w:t>
      </w:r>
    </w:p>
    <w:p>
      <w:pPr>
        <w:pStyle w:val="BodyText"/>
        <w:spacing w:line="398" w:lineRule="auto"/>
        <w:ind w:left="120" w:right="4465"/>
      </w:pPr>
      <w:r>
        <w:rPr/>
        <w:t>labs(title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"Distribution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Crop</w:t>
      </w:r>
      <w:r>
        <w:rPr>
          <w:spacing w:val="-6"/>
        </w:rPr>
        <w:t> </w:t>
      </w:r>
      <w:r>
        <w:rPr/>
        <w:t>Production")</w:t>
      </w:r>
      <w:r>
        <w:rPr>
          <w:spacing w:val="-6"/>
        </w:rPr>
        <w:t> </w:t>
      </w:r>
      <w:r>
        <w:rPr/>
        <w:t>+</w:t>
      </w:r>
      <w:r>
        <w:rPr/>
        <w:t> </w:t>
      </w:r>
      <w:r>
        <w:rPr>
          <w:spacing w:val="-2"/>
        </w:rPr>
        <w:t>theme_minimal()</w:t>
      </w:r>
    </w:p>
    <w:p>
      <w:pPr>
        <w:pStyle w:val="BodyText"/>
        <w:spacing w:before="182"/>
      </w:pPr>
    </w:p>
    <w:p>
      <w:pPr>
        <w:pStyle w:val="BodyText"/>
      </w:pPr>
      <w:r>
        <w:rPr>
          <w:spacing w:val="-2"/>
        </w:rPr>
        <w:t>Boxplot</w:t>
      </w:r>
    </w:p>
    <w:p>
      <w:pPr>
        <w:pStyle w:val="BodyText"/>
        <w:spacing w:after="0"/>
        <w:sectPr>
          <w:pgSz w:w="12240" w:h="15840"/>
          <w:pgMar w:top="1360" w:bottom="280" w:left="1440" w:right="360"/>
        </w:sectPr>
      </w:pPr>
    </w:p>
    <w:p>
      <w:pPr>
        <w:pStyle w:val="BodyText"/>
        <w:spacing w:line="398" w:lineRule="auto" w:before="79"/>
        <w:ind w:left="120" w:right="3372" w:hanging="120"/>
      </w:pPr>
      <w:r>
        <w:rPr/>
        <w:t>ggplot(agri_long,</w:t>
      </w:r>
      <w:r>
        <w:rPr>
          <w:spacing w:val="-4"/>
        </w:rPr>
        <w:t> </w:t>
      </w:r>
      <w:r>
        <w:rPr/>
        <w:t>aes(x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Crop,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Production,</w:t>
      </w:r>
      <w:r>
        <w:rPr>
          <w:spacing w:val="-4"/>
        </w:rPr>
        <w:t> </w:t>
      </w:r>
      <w:r>
        <w:rPr/>
        <w:t>fill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Crop))</w:t>
      </w:r>
      <w:r>
        <w:rPr>
          <w:spacing w:val="-4"/>
        </w:rPr>
        <w:t> </w:t>
      </w:r>
      <w:r>
        <w:rPr/>
        <w:t>+</w:t>
      </w:r>
      <w:r>
        <w:rPr/>
        <w:t> geom_boxplot() +</w:t>
      </w:r>
    </w:p>
    <w:p>
      <w:pPr>
        <w:pStyle w:val="BodyText"/>
        <w:spacing w:line="396" w:lineRule="auto" w:before="1"/>
        <w:ind w:left="120" w:right="3372"/>
      </w:pPr>
      <w:r>
        <w:rPr/>
        <w:t>labs(title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"Spread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Outliers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Crop</w:t>
      </w:r>
      <w:r>
        <w:rPr>
          <w:spacing w:val="-5"/>
        </w:rPr>
        <w:t> </w:t>
      </w:r>
      <w:r>
        <w:rPr/>
        <w:t>Production")</w:t>
      </w:r>
      <w:r>
        <w:rPr>
          <w:spacing w:val="-5"/>
        </w:rPr>
        <w:t> </w:t>
      </w:r>
      <w:r>
        <w:rPr/>
        <w:t>+</w:t>
      </w:r>
      <w:r>
        <w:rPr/>
        <w:t> </w:t>
      </w:r>
      <w:r>
        <w:rPr>
          <w:spacing w:val="-2"/>
        </w:rPr>
        <w:t>theme_minimal()</w:t>
      </w:r>
    </w:p>
    <w:p>
      <w:pPr>
        <w:pStyle w:val="BodyText"/>
        <w:spacing w:before="186"/>
      </w:pPr>
    </w:p>
    <w:p>
      <w:pPr>
        <w:pStyle w:val="BodyText"/>
      </w:pPr>
      <w:r>
        <w:rPr/>
        <w:t>#</w:t>
      </w:r>
      <w:r>
        <w:rPr>
          <w:spacing w:val="-2"/>
        </w:rPr>
        <w:t> </w:t>
      </w:r>
      <w:r>
        <w:rPr/>
        <w:t>Correlation</w:t>
      </w:r>
      <w:r>
        <w:rPr>
          <w:spacing w:val="-1"/>
        </w:rPr>
        <w:t> </w:t>
      </w:r>
      <w:r>
        <w:rPr>
          <w:spacing w:val="-4"/>
        </w:rPr>
        <w:t>plot</w:t>
      </w:r>
    </w:p>
    <w:p>
      <w:pPr>
        <w:pStyle w:val="BodyText"/>
        <w:spacing w:line="396" w:lineRule="auto" w:before="182"/>
        <w:ind w:left="120" w:right="3372" w:hanging="120"/>
      </w:pPr>
      <w:r>
        <w:rPr/>
        <w:t>ggcorr(agri</w:t>
      </w:r>
      <w:r>
        <w:rPr>
          <w:spacing w:val="-3"/>
        </w:rPr>
        <w:t> </w:t>
      </w:r>
      <w:r>
        <w:rPr/>
        <w:t>%&gt;%</w:t>
      </w:r>
      <w:r>
        <w:rPr>
          <w:spacing w:val="-4"/>
        </w:rPr>
        <w:t> </w:t>
      </w:r>
      <w:r>
        <w:rPr/>
        <w:t>select(-Month),</w:t>
      </w:r>
      <w:r>
        <w:rPr>
          <w:spacing w:val="-3"/>
        </w:rPr>
        <w:t> </w:t>
      </w:r>
      <w:r>
        <w:rPr/>
        <w:t>label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TRUE,</w:t>
      </w:r>
      <w:r>
        <w:rPr>
          <w:spacing w:val="-3"/>
        </w:rPr>
        <w:t> </w:t>
      </w:r>
      <w:r>
        <w:rPr/>
        <w:t>hjust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0.9,</w:t>
      </w:r>
      <w:r>
        <w:rPr>
          <w:spacing w:val="-3"/>
        </w:rPr>
        <w:t> </w:t>
      </w:r>
      <w:r>
        <w:rPr/>
        <w:t>size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3)</w:t>
      </w:r>
      <w:r>
        <w:rPr>
          <w:spacing w:val="-2"/>
        </w:rPr>
        <w:t> </w:t>
      </w:r>
      <w:r>
        <w:rPr/>
        <w:t>+</w:t>
      </w:r>
      <w:r>
        <w:rPr/>
        <w:t> labs(title = "Correlation Between Crop Productions")</w:t>
      </w:r>
    </w:p>
    <w:p>
      <w:pPr>
        <w:pStyle w:val="BodyText"/>
        <w:spacing w:before="187"/>
      </w:pPr>
    </w:p>
    <w:p>
      <w:pPr>
        <w:pStyle w:val="BodyText"/>
        <w:spacing w:line="398" w:lineRule="auto"/>
        <w:ind w:right="8920"/>
      </w:pPr>
      <w:r>
        <w:rPr/>
        <w:t># Bar cha</w:t>
      </w:r>
      <w:r>
        <w:rPr/>
        <w:t>rt</w:t>
      </w:r>
      <w:r>
        <w:rPr/>
        <w:t> agri_long</w:t>
      </w:r>
      <w:r>
        <w:rPr>
          <w:spacing w:val="-15"/>
        </w:rPr>
        <w:t> </w:t>
      </w:r>
      <w:r>
        <w:rPr/>
        <w:t>%&gt;%</w:t>
      </w:r>
    </w:p>
    <w:p>
      <w:pPr>
        <w:pStyle w:val="BodyText"/>
        <w:spacing w:line="274" w:lineRule="exact"/>
        <w:ind w:left="120"/>
      </w:pPr>
      <w:r>
        <w:rPr/>
        <w:t>group_by(Crop)</w:t>
      </w:r>
      <w:r>
        <w:rPr>
          <w:spacing w:val="-2"/>
        </w:rPr>
        <w:t> </w:t>
      </w:r>
      <w:r>
        <w:rPr>
          <w:spacing w:val="-5"/>
        </w:rPr>
        <w:t>%&gt;%</w:t>
      </w:r>
    </w:p>
    <w:p>
      <w:pPr>
        <w:pStyle w:val="BodyText"/>
        <w:spacing w:before="182"/>
        <w:ind w:left="120"/>
      </w:pPr>
      <w:r>
        <w:rPr/>
        <w:t>summarise(Total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sum(Production))</w:t>
      </w:r>
      <w:r>
        <w:rPr>
          <w:spacing w:val="-2"/>
        </w:rPr>
        <w:t> </w:t>
      </w:r>
      <w:r>
        <w:rPr>
          <w:spacing w:val="-5"/>
        </w:rPr>
        <w:t>%&gt;%</w:t>
      </w:r>
    </w:p>
    <w:p>
      <w:pPr>
        <w:pStyle w:val="BodyText"/>
        <w:spacing w:line="398" w:lineRule="auto" w:before="183"/>
        <w:ind w:left="120" w:right="3372"/>
      </w:pPr>
      <w:r>
        <w:rPr/>
        <w:t>ggplot(aes(x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reorder(Crop,</w:t>
      </w:r>
      <w:r>
        <w:rPr>
          <w:spacing w:val="-4"/>
        </w:rPr>
        <w:t> </w:t>
      </w:r>
      <w:r>
        <w:rPr/>
        <w:t>-Total),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Total,</w:t>
      </w:r>
      <w:r>
        <w:rPr>
          <w:spacing w:val="-3"/>
        </w:rPr>
        <w:t> </w:t>
      </w:r>
      <w:r>
        <w:rPr/>
        <w:t>fill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Crop))</w:t>
      </w:r>
      <w:r>
        <w:rPr>
          <w:spacing w:val="-4"/>
        </w:rPr>
        <w:t> </w:t>
      </w:r>
      <w:r>
        <w:rPr/>
        <w:t>+</w:t>
      </w:r>
      <w:r>
        <w:rPr/>
        <w:t> geom_bar(stat = "identity") +</w:t>
      </w:r>
    </w:p>
    <w:p>
      <w:pPr>
        <w:pStyle w:val="BodyText"/>
        <w:spacing w:line="398" w:lineRule="auto"/>
        <w:ind w:left="420" w:right="5780" w:hanging="300"/>
      </w:pPr>
      <w:r>
        <w:rPr/>
        <w:t>labs(title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"Total</w:t>
      </w:r>
      <w:r>
        <w:rPr>
          <w:spacing w:val="-7"/>
        </w:rPr>
        <w:t> </w:t>
      </w:r>
      <w:r>
        <w:rPr/>
        <w:t>Contribution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Crop"</w:t>
      </w:r>
      <w:r>
        <w:rPr/>
        <w:t>,</w:t>
      </w:r>
      <w:r>
        <w:rPr/>
        <w:t> x = "Crop", y = "Total Production") +</w:t>
      </w:r>
    </w:p>
    <w:p>
      <w:pPr>
        <w:pStyle w:val="BodyText"/>
        <w:ind w:left="120"/>
      </w:pPr>
      <w:r>
        <w:rPr>
          <w:spacing w:val="-2"/>
        </w:rPr>
        <w:t>theme_minimal()</w:t>
      </w:r>
    </w:p>
    <w:sectPr>
      <w:pgSz w:w="12240" w:h="15840"/>
      <w:pgMar w:top="136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3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 Nyamekye</dc:creator>
  <dcterms:created xsi:type="dcterms:W3CDTF">2026-04-20T14:23:15Z</dcterms:created>
  <dcterms:modified xsi:type="dcterms:W3CDTF">2026-04-20T14:23:15Z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2026-04-20T00:00:00Z</vt:filetime>
  </property>
  <property fmtid="{D5CDD505-2E9C-101B-9397-08002B2CF9AE}" pid="5" name="Producer">
    <vt:lpwstr>3-Heights(TM) PDF Security Shell 4.8.25.2 (http://www.pdf-tools.com)</vt:lpwstr>
  </property>
</Properties>
</file>