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E9F2" w14:textId="0A8F460D" w:rsidR="00BE682A" w:rsidRPr="00BE682A" w:rsidRDefault="005E6ED0" w:rsidP="0023308F">
      <w:pPr>
        <w:pStyle w:val="ChapterNumber"/>
      </w:pPr>
      <w:r>
        <w:t>2</w:t>
      </w:r>
    </w:p>
    <w:p w14:paraId="51B29FB0" w14:textId="129850B1" w:rsidR="00BE682A" w:rsidRDefault="005E6ED0" w:rsidP="007F3F4D">
      <w:pPr>
        <w:pStyle w:val="ChapterTitle"/>
      </w:pPr>
      <w:r w:rsidRPr="005E6ED0">
        <w:t>Everything Starts with a Connection</w:t>
      </w:r>
    </w:p>
    <w:p w14:paraId="4AE827E3" w14:textId="47886E48" w:rsidR="00A804FC" w:rsidRDefault="00D6231B" w:rsidP="00A804FC">
      <w:pPr>
        <w:pStyle w:val="BodyText"/>
      </w:pPr>
      <w:r w:rsidRPr="00D6231B">
        <w:t>Most of what you do in Azure Data Studio</w:t>
      </w:r>
      <w:r w:rsidR="005258AE">
        <w:t xml:space="preserve">, </w:t>
      </w:r>
      <w:r w:rsidR="0069055D">
        <w:t xml:space="preserve">like </w:t>
      </w:r>
      <w:r w:rsidR="005258AE">
        <w:t>any data engineering tool,</w:t>
      </w:r>
      <w:r w:rsidRPr="00D6231B">
        <w:t xml:space="preserve"> will </w:t>
      </w:r>
      <w:r w:rsidR="0069055D">
        <w:t>begin</w:t>
      </w:r>
      <w:r w:rsidRPr="00D6231B">
        <w:t xml:space="preserve"> with a connection. ADS has some very helpful features </w:t>
      </w:r>
      <w:r w:rsidR="0069055D">
        <w:t>for</w:t>
      </w:r>
      <w:r w:rsidRPr="00D6231B">
        <w:t xml:space="preserve"> managing </w:t>
      </w:r>
      <w:r w:rsidR="005258AE">
        <w:t xml:space="preserve">these </w:t>
      </w:r>
      <w:r w:rsidRPr="00D6231B">
        <w:t>connections,</w:t>
      </w:r>
      <w:r w:rsidR="0069055D">
        <w:t xml:space="preserve"> whether your data is on premise, in the cloud, in a container, or </w:t>
      </w:r>
      <w:r w:rsidR="00BD48C0">
        <w:t xml:space="preserve">even </w:t>
      </w:r>
      <w:r w:rsidR="0069055D">
        <w:t>located in a file system</w:t>
      </w:r>
      <w:r w:rsidR="005258AE">
        <w:t>.</w:t>
      </w:r>
    </w:p>
    <w:p w14:paraId="0F8718BB" w14:textId="4308FAC1" w:rsidR="00A804FC" w:rsidRDefault="00D6231B" w:rsidP="00A804FC">
      <w:pPr>
        <w:pStyle w:val="Heading1"/>
      </w:pPr>
      <w:r w:rsidRPr="00D6231B">
        <w:t>Creating, Using, and Managing Connections</w:t>
      </w:r>
    </w:p>
    <w:p w14:paraId="0708D895" w14:textId="5344CAF7" w:rsidR="00D6231B" w:rsidRDefault="00212A4D" w:rsidP="00D6231B">
      <w:pPr>
        <w:pStyle w:val="BodyText"/>
      </w:pPr>
      <w:r>
        <w:t xml:space="preserve">Since there is no better way to learn than by doing, let’s go ahead and </w:t>
      </w:r>
      <w:r w:rsidR="00C82E2E">
        <w:t>open</w:t>
      </w:r>
      <w:r>
        <w:t xml:space="preserve"> </w:t>
      </w:r>
      <w:r w:rsidR="001F0B38">
        <w:t>Azure Data Studio</w:t>
      </w:r>
      <w:r>
        <w:t>.</w:t>
      </w:r>
      <w:r w:rsidR="00C82E2E">
        <w:t xml:space="preserve"> Figure 2-1 shows the Welcome page designed to assist you in getting started with ADS.</w:t>
      </w:r>
    </w:p>
    <w:p w14:paraId="6B8ABDF4" w14:textId="39C777CC" w:rsidR="00C82E2E" w:rsidRPr="007C14B2" w:rsidRDefault="00C82E2E" w:rsidP="00C82E2E">
      <w:pPr>
        <w:pStyle w:val="Figure"/>
      </w:pPr>
      <w:r>
        <w:rPr>
          <w:noProof/>
        </w:rPr>
        <w:lastRenderedPageBreak/>
        <w:drawing>
          <wp:inline distT="0" distB="0" distL="0" distR="0" wp14:anchorId="344BA0A8" wp14:editId="409C03D4">
            <wp:extent cx="5029200" cy="355092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02-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8A74" w14:textId="51F450B8" w:rsidR="009E1736" w:rsidRDefault="009E1736" w:rsidP="009E1736">
      <w:pPr>
        <w:pStyle w:val="Caption"/>
      </w:pPr>
      <w:r>
        <w:t xml:space="preserve">Figure 2-1. </w:t>
      </w:r>
      <w:r w:rsidR="00C82E2E">
        <w:t>Azure Data Studio Welcome Screen</w:t>
      </w:r>
    </w:p>
    <w:p w14:paraId="7A9A8F23" w14:textId="3A9F0A13" w:rsidR="009E1736" w:rsidRDefault="00C0312E" w:rsidP="009E1736">
      <w:pPr>
        <w:pStyle w:val="BodyText"/>
      </w:pPr>
      <w:r>
        <w:t xml:space="preserve">The opening screen places you automatically in the context of </w:t>
      </w:r>
      <w:r w:rsidRPr="00C0312E">
        <w:rPr>
          <w:rStyle w:val="Emphasis"/>
        </w:rPr>
        <w:t>Connections</w:t>
      </w:r>
      <w:r w:rsidR="00FF1381">
        <w:t xml:space="preserve"> which is exactly where we want to start. </w:t>
      </w:r>
      <w:r w:rsidR="00C027C2">
        <w:t>Notice that t</w:t>
      </w:r>
      <w:r w:rsidR="00FF1381">
        <w:t>he icons stacked vertically on the left side of the application</w:t>
      </w:r>
      <w:r w:rsidR="00726BBE">
        <w:t xml:space="preserve"> (the ‘Activity Bar’)</w:t>
      </w:r>
      <w:r w:rsidR="00FF1381">
        <w:t xml:space="preserve"> provide you access to other ADS </w:t>
      </w:r>
      <w:r w:rsidR="00C027C2">
        <w:t>functionality</w:t>
      </w:r>
      <w:r w:rsidR="00FF1381">
        <w:t>. A closer examination of these icons</w:t>
      </w:r>
      <w:r w:rsidR="00726BBE">
        <w:t>, as shown in figure 2</w:t>
      </w:r>
      <w:r w:rsidR="00147E43">
        <w:t>-</w:t>
      </w:r>
      <w:r w:rsidR="00726BBE">
        <w:t xml:space="preserve">2, </w:t>
      </w:r>
      <w:r w:rsidR="00FF1381">
        <w:t>reveals that one</w:t>
      </w:r>
      <w:r w:rsidR="00726BBE">
        <w:t xml:space="preserve"> of the icons</w:t>
      </w:r>
      <w:r w:rsidR="00FF1381">
        <w:t xml:space="preserve"> is </w:t>
      </w:r>
      <w:r w:rsidR="00C027C2">
        <w:t>a little brighter</w:t>
      </w:r>
      <w:r w:rsidR="00FF1381">
        <w:t xml:space="preserve"> than the others</w:t>
      </w:r>
      <w:r w:rsidR="00C027C2">
        <w:t>. This indicates</w:t>
      </w:r>
      <w:r w:rsidR="00FF1381">
        <w:t xml:space="preserve"> the </w:t>
      </w:r>
      <w:r w:rsidR="00FF1381" w:rsidRPr="00726BBE">
        <w:rPr>
          <w:rStyle w:val="Emphasis"/>
        </w:rPr>
        <w:t>current</w:t>
      </w:r>
      <w:r w:rsidR="00FF1381">
        <w:t xml:space="preserve"> </w:t>
      </w:r>
      <w:r w:rsidR="005434FA">
        <w:t xml:space="preserve">ADS </w:t>
      </w:r>
      <w:r w:rsidR="00FF1381">
        <w:t>context</w:t>
      </w:r>
      <w:r w:rsidR="00C027C2">
        <w:t xml:space="preserve">, </w:t>
      </w:r>
      <w:r w:rsidR="00726BBE">
        <w:t>which</w:t>
      </w:r>
      <w:r w:rsidR="00687690">
        <w:t xml:space="preserve"> </w:t>
      </w:r>
      <w:r w:rsidR="005434FA">
        <w:t>also</w:t>
      </w:r>
      <w:r w:rsidR="00726BBE">
        <w:t xml:space="preserve"> determines the contents of the</w:t>
      </w:r>
      <w:r w:rsidR="00C027C2">
        <w:t xml:space="preserve"> detailed navigation</w:t>
      </w:r>
      <w:r w:rsidR="00726BBE">
        <w:t xml:space="preserve"> (</w:t>
      </w:r>
      <w:r w:rsidR="005434FA">
        <w:t xml:space="preserve">called </w:t>
      </w:r>
      <w:r w:rsidR="00726BBE">
        <w:t>the ‘Side Bar’)</w:t>
      </w:r>
      <w:r w:rsidR="00C027C2">
        <w:t xml:space="preserve"> </w:t>
      </w:r>
      <w:r w:rsidR="005434FA">
        <w:t xml:space="preserve">that is </w:t>
      </w:r>
      <w:r w:rsidR="00687690">
        <w:t>displayed</w:t>
      </w:r>
      <w:r w:rsidR="00C027C2">
        <w:t xml:space="preserve"> in the pane immediately to the right of the </w:t>
      </w:r>
      <w:r w:rsidR="00726BBE">
        <w:t>Activity Bar.</w:t>
      </w:r>
    </w:p>
    <w:p w14:paraId="0CE6F10B" w14:textId="0324AE58" w:rsidR="00C0312E" w:rsidRDefault="00C0312E" w:rsidP="00C0312E">
      <w:pPr>
        <w:pStyle w:val="Figure"/>
      </w:pPr>
      <w:r>
        <w:rPr>
          <w:noProof/>
        </w:rPr>
        <w:drawing>
          <wp:inline distT="0" distB="0" distL="0" distR="0" wp14:anchorId="5B2C48E9" wp14:editId="1E8583F9">
            <wp:extent cx="3304762" cy="1695238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02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300" w14:textId="69EB8142" w:rsidR="00C0312E" w:rsidRDefault="00C0312E" w:rsidP="00C0312E">
      <w:pPr>
        <w:pStyle w:val="Caption"/>
      </w:pPr>
      <w:r>
        <w:lastRenderedPageBreak/>
        <w:t>Figure 2-2. Connection Access</w:t>
      </w:r>
    </w:p>
    <w:p w14:paraId="2C41F81D" w14:textId="37E2A661" w:rsidR="005434FA" w:rsidRDefault="00687690" w:rsidP="00687690">
      <w:pPr>
        <w:pStyle w:val="BodyText"/>
      </w:pPr>
      <w:r>
        <w:t xml:space="preserve">The </w:t>
      </w:r>
      <w:r w:rsidR="005434FA">
        <w:t>‘S</w:t>
      </w:r>
      <w:r>
        <w:t xml:space="preserve">ide </w:t>
      </w:r>
      <w:r w:rsidR="005434FA">
        <w:t>B</w:t>
      </w:r>
      <w:r>
        <w:t>ar</w:t>
      </w:r>
      <w:r w:rsidR="005434FA">
        <w:t>’</w:t>
      </w:r>
      <w:r>
        <w:t xml:space="preserve"> for </w:t>
      </w:r>
      <w:r w:rsidRPr="00687690">
        <w:rPr>
          <w:rStyle w:val="Emphasis"/>
        </w:rPr>
        <w:t>Connections</w:t>
      </w:r>
      <w:r>
        <w:t xml:space="preserve"> provides high level </w:t>
      </w:r>
      <w:r w:rsidR="00A054C5">
        <w:t>groupings</w:t>
      </w:r>
      <w:r>
        <w:t xml:space="preserve"> (</w:t>
      </w:r>
      <w:r w:rsidR="005434FA">
        <w:t xml:space="preserve">e.g., </w:t>
      </w:r>
      <w:r>
        <w:t xml:space="preserve">Servers, Azure, etc.) which can be expanded to list </w:t>
      </w:r>
      <w:r w:rsidR="00A054C5">
        <w:t xml:space="preserve">individual </w:t>
      </w:r>
      <w:r w:rsidR="005434FA">
        <w:t>connections</w:t>
      </w:r>
      <w:r>
        <w:t xml:space="preserve"> </w:t>
      </w:r>
      <w:r w:rsidR="005434FA">
        <w:t>and/or</w:t>
      </w:r>
      <w:r>
        <w:t xml:space="preserve"> </w:t>
      </w:r>
      <w:r w:rsidR="00A054C5">
        <w:t>‘</w:t>
      </w:r>
      <w:r w:rsidR="00F94E55">
        <w:t>sub</w:t>
      </w:r>
      <w:r w:rsidR="00A054C5">
        <w:t>’</w:t>
      </w:r>
      <w:r>
        <w:t xml:space="preserve"> grouping</w:t>
      </w:r>
      <w:r w:rsidR="005434FA">
        <w:t xml:space="preserve"> of connections</w:t>
      </w:r>
      <w:r w:rsidR="00A054C5">
        <w:t xml:space="preserve">. </w:t>
      </w:r>
    </w:p>
    <w:p w14:paraId="6CDA1BBD" w14:textId="3610A6FA" w:rsidR="00F94E55" w:rsidRDefault="00A054C5" w:rsidP="00687690">
      <w:pPr>
        <w:pStyle w:val="BodyText"/>
      </w:pPr>
      <w:r>
        <w:t xml:space="preserve">If you do not see the “Central Management Servers” group, you’ll need to add this Microsoft </w:t>
      </w:r>
      <w:r w:rsidRPr="00E44868">
        <w:rPr>
          <w:rStyle w:val="Emphasis"/>
        </w:rPr>
        <w:t>extension</w:t>
      </w:r>
      <w:r>
        <w:t xml:space="preserve"> </w:t>
      </w:r>
      <w:r w:rsidR="005434FA">
        <w:t>for this feature. S</w:t>
      </w:r>
      <w:r>
        <w:t xml:space="preserve">teps </w:t>
      </w:r>
      <w:r w:rsidR="00E44868">
        <w:t xml:space="preserve">for </w:t>
      </w:r>
      <w:r w:rsidR="005434FA">
        <w:t xml:space="preserve">installing </w:t>
      </w:r>
      <w:r w:rsidR="00E44868">
        <w:t xml:space="preserve">this </w:t>
      </w:r>
      <w:r>
        <w:t>are included in the last section of this chapter.</w:t>
      </w:r>
    </w:p>
    <w:p w14:paraId="4828FB9D" w14:textId="14161AC4" w:rsidR="00E44868" w:rsidRDefault="00344960" w:rsidP="00344960">
      <w:pPr>
        <w:pStyle w:val="Heading2"/>
      </w:pPr>
      <w:r>
        <w:t>Connecting to SQL Server</w:t>
      </w:r>
    </w:p>
    <w:p w14:paraId="2F0D8DD2" w14:textId="62DDABD7" w:rsidR="00344960" w:rsidRDefault="00344960" w:rsidP="00344960">
      <w:pPr>
        <w:pStyle w:val="BodyText"/>
      </w:pPr>
      <w:r>
        <w:t xml:space="preserve">For our first connection, let’s connect to an </w:t>
      </w:r>
      <w:r w:rsidR="00633879">
        <w:t>‘</w:t>
      </w:r>
      <w:r>
        <w:t>on-premise</w:t>
      </w:r>
      <w:r w:rsidR="00633879">
        <w:t>’</w:t>
      </w:r>
      <w:r>
        <w:t xml:space="preserve"> version of SQL Server. </w:t>
      </w:r>
      <w:r w:rsidR="00147E43">
        <w:t>To start, click on ‘New connection’ in the ‘Welcome’ page as outlined in figure 2-3:</w:t>
      </w:r>
    </w:p>
    <w:p w14:paraId="6A0A1DE4" w14:textId="463785BC" w:rsidR="00147E43" w:rsidRDefault="00147E43" w:rsidP="007B1E8D">
      <w:pPr>
        <w:pStyle w:val="Figure"/>
      </w:pPr>
      <w:r>
        <w:rPr>
          <w:noProof/>
        </w:rPr>
        <w:drawing>
          <wp:inline distT="0" distB="0" distL="0" distR="0" wp14:anchorId="205B1522" wp14:editId="7BDA2C67">
            <wp:extent cx="4359910" cy="1799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55F0" w14:textId="30D9E3BA" w:rsidR="00147E43" w:rsidRDefault="00147E43" w:rsidP="00147E43">
      <w:pPr>
        <w:pStyle w:val="Caption"/>
      </w:pPr>
      <w:r>
        <w:t>Figure 2-3. New connection from Welcome page</w:t>
      </w:r>
    </w:p>
    <w:p w14:paraId="320232E2" w14:textId="39020394" w:rsidR="00147E43" w:rsidRDefault="00633879" w:rsidP="00147E43">
      <w:pPr>
        <w:pStyle w:val="BodyText"/>
      </w:pPr>
      <w:r>
        <w:t>You could also</w:t>
      </w:r>
      <w:r w:rsidR="00147E43">
        <w:t xml:space="preserve">, </w:t>
      </w:r>
      <w:r w:rsidR="00147E43" w:rsidRPr="007B1E8D">
        <w:rPr>
          <w:rStyle w:val="Emphasis"/>
        </w:rPr>
        <w:t>open</w:t>
      </w:r>
      <w:r w:rsidR="00147E43">
        <w:t xml:space="preserve"> the ‘Servers’ container</w:t>
      </w:r>
      <w:r>
        <w:t xml:space="preserve"> located</w:t>
      </w:r>
      <w:r w:rsidR="00147E43">
        <w:t xml:space="preserve"> in the ‘Side Bar’, and click on the ‘Add connection’ mini icon as shown in figure 2-4:</w:t>
      </w:r>
    </w:p>
    <w:p w14:paraId="70CA4000" w14:textId="09F60DBC" w:rsidR="00147E43" w:rsidRDefault="007B1E8D" w:rsidP="007B1E8D">
      <w:pPr>
        <w:pStyle w:val="Figure"/>
      </w:pPr>
      <w:r>
        <w:rPr>
          <w:noProof/>
        </w:rPr>
        <w:drawing>
          <wp:inline distT="0" distB="0" distL="0" distR="0" wp14:anchorId="1DBFB1CF" wp14:editId="385CA540">
            <wp:extent cx="2903855" cy="826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9682" w14:textId="5F53F8D1" w:rsidR="007B1E8D" w:rsidRDefault="007B1E8D" w:rsidP="007B1E8D">
      <w:pPr>
        <w:pStyle w:val="Caption"/>
      </w:pPr>
      <w:r>
        <w:t>Figure 2-4. New connection from the ‘Servers’ container</w:t>
      </w:r>
    </w:p>
    <w:p w14:paraId="337D5AC5" w14:textId="6DBECC66" w:rsidR="00DE29AF" w:rsidRDefault="00383B85" w:rsidP="00DE29AF">
      <w:pPr>
        <w:pStyle w:val="BodyText"/>
      </w:pPr>
      <w:r>
        <w:t>In either case, t</w:t>
      </w:r>
      <w:r w:rsidR="00DE29AF">
        <w:t>he form shown in figure 2-5 will appear on the right side</w:t>
      </w:r>
      <w:r>
        <w:t xml:space="preserve"> of the ADS application</w:t>
      </w:r>
      <w:r w:rsidR="00DE29AF">
        <w:t>, allowing you to provide the specifics for your connection</w:t>
      </w:r>
      <w:r w:rsidR="00E33002">
        <w:t>. I</w:t>
      </w:r>
      <w:r>
        <w:t>f</w:t>
      </w:r>
      <w:r w:rsidR="00E33002">
        <w:t xml:space="preserve"> </w:t>
      </w:r>
      <w:r w:rsidR="00E33002">
        <w:lastRenderedPageBreak/>
        <w:t xml:space="preserve">you would like to connect using your ‘Windows’ credentials, the only required field </w:t>
      </w:r>
      <w:r>
        <w:t>on this form</w:t>
      </w:r>
      <w:r w:rsidR="00E33002">
        <w:t xml:space="preserve"> is the </w:t>
      </w:r>
      <w:r>
        <w:t>‘</w:t>
      </w:r>
      <w:r w:rsidR="00E33002">
        <w:t>Server</w:t>
      </w:r>
      <w:r>
        <w:t>’</w:t>
      </w:r>
      <w:r w:rsidR="00E33002">
        <w:t xml:space="preserve"> name </w:t>
      </w:r>
      <w:r>
        <w:t>of your</w:t>
      </w:r>
      <w:r w:rsidR="00E33002">
        <w:t xml:space="preserve"> SQL Server (instance)</w:t>
      </w:r>
      <w:r w:rsidR="000C5DED">
        <w:t xml:space="preserve">. Also, if your SQL Server is running on the same computer as Azure Data Studio, you </w:t>
      </w:r>
      <w:r>
        <w:t>could</w:t>
      </w:r>
      <w:r w:rsidR="000C5DED">
        <w:t xml:space="preserve"> reference it as</w:t>
      </w:r>
      <w:r>
        <w:t xml:space="preserve"> simply</w:t>
      </w:r>
      <w:r w:rsidR="000C5DED">
        <w:t xml:space="preserve"> ‘localhost’</w:t>
      </w:r>
      <w:r w:rsidR="00351FD5">
        <w:t>:</w:t>
      </w:r>
    </w:p>
    <w:p w14:paraId="6C3F785A" w14:textId="67B61881" w:rsidR="00DE29AF" w:rsidRDefault="00386F26" w:rsidP="00E33002">
      <w:pPr>
        <w:pStyle w:val="Figure"/>
      </w:pPr>
      <w:r>
        <w:rPr>
          <w:noProof/>
        </w:rPr>
        <w:drawing>
          <wp:inline distT="0" distB="0" distL="0" distR="0" wp14:anchorId="12707196" wp14:editId="5FB96DCC">
            <wp:extent cx="5025390" cy="37598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A5A" w14:textId="41245C7F" w:rsidR="00E33002" w:rsidRDefault="00E33002" w:rsidP="00E33002">
      <w:pPr>
        <w:pStyle w:val="Caption"/>
      </w:pPr>
      <w:r>
        <w:t>Figure 2-5. New connection form</w:t>
      </w:r>
    </w:p>
    <w:p w14:paraId="2AFD56E5" w14:textId="0D9CBA99" w:rsidR="00E33002" w:rsidRDefault="006C1807" w:rsidP="00E33002">
      <w:pPr>
        <w:pStyle w:val="BodyText"/>
      </w:pPr>
      <w:r>
        <w:t>Concerning ‘Authentication type’, i</w:t>
      </w:r>
      <w:r w:rsidR="009E6E99">
        <w:t>n the event you are connecting to an instance of SQL on Linux</w:t>
      </w:r>
      <w:r>
        <w:t>,</w:t>
      </w:r>
      <w:r w:rsidR="009E6E99">
        <w:t xml:space="preserve"> you </w:t>
      </w:r>
      <w:r>
        <w:t>may</w:t>
      </w:r>
      <w:r w:rsidR="009E6E99">
        <w:t xml:space="preserve"> need to use </w:t>
      </w:r>
      <w:r>
        <w:t>‘</w:t>
      </w:r>
      <w:r w:rsidR="009E6E99">
        <w:t>SQL Login</w:t>
      </w:r>
      <w:r>
        <w:t>’. Similarly</w:t>
      </w:r>
      <w:r w:rsidR="009E6E99">
        <w:t>, if you are connecting to a</w:t>
      </w:r>
      <w:r>
        <w:t xml:space="preserve"> database</w:t>
      </w:r>
      <w:r w:rsidR="009E6E99">
        <w:t xml:space="preserve"> in Azure, you may want to use </w:t>
      </w:r>
      <w:r>
        <w:t>‘</w:t>
      </w:r>
      <w:r w:rsidR="009E6E99">
        <w:t>Azure Active Directory</w:t>
      </w:r>
      <w:r>
        <w:t>’. The</w:t>
      </w:r>
      <w:r w:rsidR="00437D79">
        <w:t xml:space="preserve"> choice of</w:t>
      </w:r>
      <w:r>
        <w:t xml:space="preserve"> ‘</w:t>
      </w:r>
      <w:r w:rsidR="00437D79">
        <w:t>A</w:t>
      </w:r>
      <w:r>
        <w:t>uthentication</w:t>
      </w:r>
      <w:r>
        <w:t xml:space="preserve"> types’ </w:t>
      </w:r>
      <w:r w:rsidR="009E6E99">
        <w:t xml:space="preserve">are </w:t>
      </w:r>
      <w:r>
        <w:t>highlighted</w:t>
      </w:r>
      <w:r w:rsidR="009E6E99">
        <w:t xml:space="preserve"> in figure 2-6:</w:t>
      </w:r>
    </w:p>
    <w:p w14:paraId="7799A1B2" w14:textId="32E2835B" w:rsidR="009E6E99" w:rsidRDefault="009E6E99" w:rsidP="00DB3D6C">
      <w:pPr>
        <w:pStyle w:val="Figure"/>
      </w:pPr>
      <w:r>
        <w:rPr>
          <w:noProof/>
        </w:rPr>
        <w:lastRenderedPageBreak/>
        <w:drawing>
          <wp:inline distT="0" distB="0" distL="0" distR="0" wp14:anchorId="0B2F03F4" wp14:editId="7BB11A19">
            <wp:extent cx="5025390" cy="3635375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77B3" w14:textId="6CA426BC" w:rsidR="009E6E99" w:rsidRDefault="009E6E99" w:rsidP="009E6E99">
      <w:pPr>
        <w:pStyle w:val="Caption"/>
      </w:pPr>
      <w:r>
        <w:t>Figure 2-6. New connection form</w:t>
      </w:r>
    </w:p>
    <w:p w14:paraId="36D5FB2C" w14:textId="472F2553" w:rsidR="009E6E99" w:rsidRDefault="00F677DE" w:rsidP="00E33002">
      <w:pPr>
        <w:pStyle w:val="BodyText"/>
      </w:pPr>
      <w:r>
        <w:t xml:space="preserve">The ‘Database’ option allows you to connect </w:t>
      </w:r>
      <w:r w:rsidRPr="008777F8">
        <w:rPr>
          <w:rStyle w:val="Emphasis"/>
        </w:rPr>
        <w:t>directly</w:t>
      </w:r>
      <w:r>
        <w:t xml:space="preserve"> to a database on your target server. Leaving this field as ‘&lt;default&gt;’ will connect you at the ‘</w:t>
      </w:r>
      <w:r w:rsidR="00A10713">
        <w:t>S</w:t>
      </w:r>
      <w:r>
        <w:t xml:space="preserve">erver’ level, </w:t>
      </w:r>
      <w:r w:rsidR="008777F8">
        <w:t xml:space="preserve">which when used will </w:t>
      </w:r>
      <w:r>
        <w:t xml:space="preserve">provide a </w:t>
      </w:r>
      <w:r w:rsidR="008777F8">
        <w:t>‘</w:t>
      </w:r>
      <w:r>
        <w:t>drill down</w:t>
      </w:r>
      <w:r w:rsidR="008777F8">
        <w:t>’</w:t>
      </w:r>
      <w:r>
        <w:t xml:space="preserve"> option to </w:t>
      </w:r>
      <w:r w:rsidR="008777F8">
        <w:t xml:space="preserve">get to </w:t>
      </w:r>
      <w:r>
        <w:t xml:space="preserve">the contained databases. </w:t>
      </w:r>
      <w:r w:rsidR="008777F8">
        <w:t>Note that</w:t>
      </w:r>
      <w:r w:rsidR="00A10713">
        <w:t xml:space="preserve"> i</w:t>
      </w:r>
      <w:r>
        <w:t xml:space="preserve">f you </w:t>
      </w:r>
      <w:r w:rsidRPr="008777F8">
        <w:rPr>
          <w:rStyle w:val="Emphasis"/>
        </w:rPr>
        <w:t>do</w:t>
      </w:r>
      <w:r>
        <w:t xml:space="preserve"> specify a database name</w:t>
      </w:r>
      <w:r w:rsidR="00A10713">
        <w:t xml:space="preserve"> </w:t>
      </w:r>
      <w:r w:rsidR="008777F8">
        <w:t>on</w:t>
      </w:r>
      <w:r w:rsidR="00A10713">
        <w:t xml:space="preserve"> this form,</w:t>
      </w:r>
      <w:r>
        <w:t xml:space="preserve"> </w:t>
      </w:r>
      <w:r w:rsidR="00A10713">
        <w:t>there is no</w:t>
      </w:r>
      <w:r>
        <w:t xml:space="preserve"> ability to ‘drill-up’ to the hosting SQL Server</w:t>
      </w:r>
      <w:r w:rsidR="00A10713">
        <w:t xml:space="preserve"> when using that connection</w:t>
      </w:r>
      <w:r>
        <w:t>.</w:t>
      </w:r>
      <w:r w:rsidR="00A10713">
        <w:t xml:space="preserve"> Because of this, if you have many databases, you may want to have direct ‘database’ connections for your most frequented databases, and a general ‘server’ connection for the remaining databases.</w:t>
      </w:r>
    </w:p>
    <w:p w14:paraId="5F3CD278" w14:textId="1FED0D89" w:rsidR="000E1B97" w:rsidRDefault="00A10713" w:rsidP="00E33002">
      <w:pPr>
        <w:pStyle w:val="BodyText"/>
      </w:pPr>
      <w:r>
        <w:t xml:space="preserve">If you have </w:t>
      </w:r>
      <w:r w:rsidR="008777F8">
        <w:t xml:space="preserve">a </w:t>
      </w:r>
      <w:r w:rsidR="000E1B97" w:rsidRPr="008777F8">
        <w:rPr>
          <w:rStyle w:val="Emphasis"/>
        </w:rPr>
        <w:t>friendly</w:t>
      </w:r>
      <w:r w:rsidR="000E1B97">
        <w:t xml:space="preserve"> </w:t>
      </w:r>
      <w:r>
        <w:t>name for a given server (or database) you can use the optional ‘Name’ field</w:t>
      </w:r>
      <w:r w:rsidR="00097BFC">
        <w:t xml:space="preserve"> located at the</w:t>
      </w:r>
      <w:r w:rsidR="008777F8">
        <w:t xml:space="preserve"> very</w:t>
      </w:r>
      <w:r w:rsidR="00097BFC">
        <w:t xml:space="preserve"> bottom of the </w:t>
      </w:r>
      <w:r w:rsidR="008777F8">
        <w:t>C</w:t>
      </w:r>
      <w:r w:rsidR="00097BFC">
        <w:t>onnection form</w:t>
      </w:r>
      <w:r w:rsidR="000E1B97">
        <w:t xml:space="preserve">. This ‘Name’ field could also be used to clarify the connection </w:t>
      </w:r>
      <w:r w:rsidR="000E1B97" w:rsidRPr="000E1B97">
        <w:rPr>
          <w:rStyle w:val="Emphasis"/>
        </w:rPr>
        <w:t>context</w:t>
      </w:r>
      <w:r w:rsidR="000E1B97">
        <w:t xml:space="preserve">. For example, if using </w:t>
      </w:r>
      <w:r w:rsidR="00595BC9">
        <w:t>a ‘</w:t>
      </w:r>
      <w:r w:rsidR="000E1B97">
        <w:t>SQL Login</w:t>
      </w:r>
      <w:r w:rsidR="00595BC9">
        <w:t>’ with perhaps limited access, you could append</w:t>
      </w:r>
      <w:r w:rsidR="000E1B97">
        <w:t xml:space="preserve"> </w:t>
      </w:r>
      <w:r w:rsidR="00595BC9">
        <w:t>a short descriptive tag such as</w:t>
      </w:r>
      <w:r w:rsidR="000E1B97">
        <w:t xml:space="preserve"> ‘Read Only</w:t>
      </w:r>
      <w:r w:rsidR="00595BC9">
        <w:t xml:space="preserve">’ to the </w:t>
      </w:r>
      <w:r w:rsidR="008777F8">
        <w:t xml:space="preserve">‘friendly’ </w:t>
      </w:r>
      <w:r w:rsidR="00595BC9">
        <w:t>connection name.</w:t>
      </w:r>
    </w:p>
    <w:p w14:paraId="2B9D26D2" w14:textId="3914C363" w:rsidR="008777F8" w:rsidRDefault="008777F8" w:rsidP="00E33002">
      <w:pPr>
        <w:pStyle w:val="BodyText"/>
      </w:pPr>
      <w:r>
        <w:t xml:space="preserve">We will cover </w:t>
      </w:r>
      <w:r w:rsidRPr="008777F8">
        <w:rPr>
          <w:rStyle w:val="Emphasis"/>
        </w:rPr>
        <w:t>grouping</w:t>
      </w:r>
      <w:r>
        <w:t xml:space="preserve"> connection names in </w:t>
      </w:r>
      <w:r w:rsidR="00744ED4">
        <w:t>a</w:t>
      </w:r>
      <w:r>
        <w:t xml:space="preserve"> following </w:t>
      </w:r>
      <w:r w:rsidR="00744ED4">
        <w:t>section but</w:t>
      </w:r>
      <w:r>
        <w:t xml:space="preserve"> suffice to mention at this point</w:t>
      </w:r>
      <w:r w:rsidR="00744ED4">
        <w:t>;</w:t>
      </w:r>
      <w:r>
        <w:t xml:space="preserve"> your connections may appear under a ‘group’ heading, </w:t>
      </w:r>
      <w:r w:rsidR="00744ED4">
        <w:lastRenderedPageBreak/>
        <w:t xml:space="preserve">which by itself may </w:t>
      </w:r>
      <w:r>
        <w:t>provid</w:t>
      </w:r>
      <w:r w:rsidR="00744ED4">
        <w:t>e</w:t>
      </w:r>
      <w:r>
        <w:t xml:space="preserve"> </w:t>
      </w:r>
      <w:r w:rsidR="00744ED4">
        <w:t>additional</w:t>
      </w:r>
      <w:r>
        <w:t xml:space="preserve"> </w:t>
      </w:r>
      <w:r w:rsidR="00744ED4">
        <w:t>naming ‘</w:t>
      </w:r>
      <w:r>
        <w:t>context</w:t>
      </w:r>
      <w:r w:rsidR="00744ED4">
        <w:t>’</w:t>
      </w:r>
      <w:r>
        <w:t xml:space="preserve"> to </w:t>
      </w:r>
      <w:r w:rsidR="00744ED4">
        <w:t>your connection names.</w:t>
      </w:r>
    </w:p>
    <w:p w14:paraId="224DCFB2" w14:textId="1674749B" w:rsidR="0012410F" w:rsidRDefault="0012410F" w:rsidP="0012410F">
      <w:pPr>
        <w:pStyle w:val="Heading2"/>
      </w:pPr>
      <w:r>
        <w:t>Connecting to Azure</w:t>
      </w:r>
      <w:r w:rsidR="007A5F61">
        <w:t xml:space="preserve"> SQL Database</w:t>
      </w:r>
    </w:p>
    <w:p w14:paraId="050A5448" w14:textId="2CCFFDEA" w:rsidR="0012410F" w:rsidRDefault="007A5F61" w:rsidP="0012410F">
      <w:pPr>
        <w:pStyle w:val="BodyText"/>
      </w:pPr>
      <w:r>
        <w:t xml:space="preserve">Connecting to your database in Azure can </w:t>
      </w:r>
      <w:r w:rsidR="00287442">
        <w:t xml:space="preserve">be </w:t>
      </w:r>
      <w:r>
        <w:t xml:space="preserve">achieved in much the same way as connecting to an </w:t>
      </w:r>
      <w:r w:rsidR="00287442">
        <w:t>‘</w:t>
      </w:r>
      <w:r>
        <w:t>on-premise</w:t>
      </w:r>
      <w:r w:rsidR="00287442">
        <w:t>’</w:t>
      </w:r>
      <w:r>
        <w:t xml:space="preserve"> instance of SQL Server. Figure 2-7 shows an example of connecting to an Azure SQL Database</w:t>
      </w:r>
      <w:r w:rsidR="00A70EE7">
        <w:t>:</w:t>
      </w:r>
    </w:p>
    <w:p w14:paraId="0B864BB8" w14:textId="7ADA6DFC" w:rsidR="00A70EE7" w:rsidRDefault="00A70EE7" w:rsidP="00B44FC1">
      <w:pPr>
        <w:pStyle w:val="Figure"/>
      </w:pPr>
      <w:r>
        <w:rPr>
          <w:noProof/>
        </w:rPr>
        <w:drawing>
          <wp:inline distT="0" distB="0" distL="0" distR="0" wp14:anchorId="037D5B05" wp14:editId="204E6737">
            <wp:extent cx="4769485" cy="3738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C156" w14:textId="4D392CF9" w:rsidR="00A70EE7" w:rsidRDefault="00A70EE7" w:rsidP="00A70EE7">
      <w:pPr>
        <w:pStyle w:val="Caption"/>
      </w:pPr>
      <w:r>
        <w:t>Figure 2-7. Connecting to Azure SQL Database</w:t>
      </w:r>
    </w:p>
    <w:p w14:paraId="257F3AE7" w14:textId="3935B295" w:rsidR="00A70EE7" w:rsidRDefault="00287442" w:rsidP="00A70EE7">
      <w:pPr>
        <w:pStyle w:val="BodyText"/>
      </w:pPr>
      <w:r>
        <w:t>For Azure, you will want to s</w:t>
      </w:r>
      <w:r w:rsidR="00B56F04">
        <w:t xml:space="preserve">pecify </w:t>
      </w:r>
      <w:r w:rsidR="00A70EE7">
        <w:t xml:space="preserve">the ‘Server’ </w:t>
      </w:r>
      <w:r w:rsidR="00B56F04">
        <w:t>using</w:t>
      </w:r>
      <w:r w:rsidR="00A70EE7">
        <w:t xml:space="preserve"> the fully qualified Azure URI </w:t>
      </w:r>
      <w:r w:rsidR="00B56F04">
        <w:t xml:space="preserve">which </w:t>
      </w:r>
      <w:r>
        <w:t xml:space="preserve">uniquely </w:t>
      </w:r>
      <w:r w:rsidR="00B56F04">
        <w:t>points</w:t>
      </w:r>
      <w:r w:rsidR="00A70EE7">
        <w:t xml:space="preserve"> your database</w:t>
      </w:r>
      <w:r w:rsidR="00B56F04">
        <w:rPr>
          <w:rStyle w:val="FootnoteReference"/>
        </w:rPr>
        <w:footnoteReference w:id="1"/>
      </w:r>
      <w:r w:rsidR="00A70EE7">
        <w:t xml:space="preserve">. </w:t>
      </w:r>
      <w:r w:rsidR="006D65DA">
        <w:t xml:space="preserve">Next provide an ‘Authentication type’ which </w:t>
      </w:r>
      <w:r>
        <w:t xml:space="preserve">in this case </w:t>
      </w:r>
      <w:r w:rsidR="006D65DA">
        <w:t>would be either ‘SQL Login’, or more preferably ‘Azure Active Directory’.</w:t>
      </w:r>
    </w:p>
    <w:p w14:paraId="4821A8FB" w14:textId="32DE4674" w:rsidR="005545BC" w:rsidRDefault="005545BC" w:rsidP="005545BC">
      <w:pPr>
        <w:pStyle w:val="Heading3"/>
      </w:pPr>
      <w:r>
        <w:lastRenderedPageBreak/>
        <w:t>Azure Container</w:t>
      </w:r>
      <w:r w:rsidR="00F56B00">
        <w:t xml:space="preserve"> in ADS</w:t>
      </w:r>
    </w:p>
    <w:p w14:paraId="1068378C" w14:textId="2088EE54" w:rsidR="006D65DA" w:rsidRDefault="006D65DA" w:rsidP="00A70EE7">
      <w:pPr>
        <w:pStyle w:val="BodyText"/>
      </w:pPr>
      <w:r>
        <w:t xml:space="preserve">You can also use the ‘Azure’ container found in ADS ‘Side Bar’ </w:t>
      </w:r>
      <w:r w:rsidR="00680927">
        <w:t>to browse all your Azure based</w:t>
      </w:r>
      <w:r>
        <w:t xml:space="preserve"> </w:t>
      </w:r>
      <w:r w:rsidR="00F56B00">
        <w:t>Servers and Databases</w:t>
      </w:r>
      <w:r>
        <w:t xml:space="preserve"> as displayed in figure 2-8:</w:t>
      </w:r>
    </w:p>
    <w:p w14:paraId="77628AFD" w14:textId="6B293D94" w:rsidR="00B44FC1" w:rsidRDefault="00680927" w:rsidP="00B44FC1">
      <w:pPr>
        <w:pStyle w:val="Figure"/>
      </w:pPr>
      <w:r>
        <w:rPr>
          <w:noProof/>
        </w:rPr>
        <w:drawing>
          <wp:inline distT="0" distB="0" distL="0" distR="0" wp14:anchorId="68611F68" wp14:editId="056E1506">
            <wp:extent cx="2765425" cy="2275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ADE0" w14:textId="76C55894" w:rsidR="00B44FC1" w:rsidRDefault="00B44FC1" w:rsidP="00B44FC1">
      <w:pPr>
        <w:pStyle w:val="Caption"/>
      </w:pPr>
      <w:r>
        <w:t>Figure 2-</w:t>
      </w:r>
      <w:r w:rsidR="005545BC">
        <w:t>8</w:t>
      </w:r>
      <w:r>
        <w:t xml:space="preserve">. Azure </w:t>
      </w:r>
      <w:r w:rsidR="005545BC">
        <w:t>Connections</w:t>
      </w:r>
    </w:p>
    <w:p w14:paraId="7203E609" w14:textId="1587F32D" w:rsidR="00B44FC1" w:rsidRPr="00A70EE7" w:rsidRDefault="00680927" w:rsidP="00A70EE7">
      <w:pPr>
        <w:pStyle w:val="BodyText"/>
      </w:pPr>
      <w:r>
        <w:t xml:space="preserve">To take advantage of this </w:t>
      </w:r>
      <w:r w:rsidR="005545BC">
        <w:t xml:space="preserve">‘Azure </w:t>
      </w:r>
      <w:r>
        <w:t>database</w:t>
      </w:r>
      <w:r w:rsidR="005545BC">
        <w:t xml:space="preserve"> browsing’ feature </w:t>
      </w:r>
      <w:r>
        <w:t>be sure that you</w:t>
      </w:r>
      <w:r w:rsidR="005545BC">
        <w:t xml:space="preserve"> have </w:t>
      </w:r>
      <w:r w:rsidR="005545BC" w:rsidRPr="000F650E">
        <w:rPr>
          <w:rStyle w:val="Emphasis"/>
        </w:rPr>
        <w:t>authenticated</w:t>
      </w:r>
      <w:r w:rsidR="005545BC">
        <w:t xml:space="preserve"> with Azure Active Directory </w:t>
      </w:r>
      <w:r w:rsidR="000F650E">
        <w:t>for</w:t>
      </w:r>
      <w:r w:rsidR="005545BC">
        <w:t xml:space="preserve"> your current ‘desktop’ session.</w:t>
      </w:r>
    </w:p>
    <w:p w14:paraId="1E25ABB8" w14:textId="4B74EA2A" w:rsidR="0012410F" w:rsidRDefault="0012410F" w:rsidP="0012410F">
      <w:pPr>
        <w:pStyle w:val="Heading2"/>
      </w:pPr>
      <w:r>
        <w:t>Connecting to PostgreSQL</w:t>
      </w:r>
    </w:p>
    <w:p w14:paraId="4E9AC393" w14:textId="461F7E42" w:rsidR="0012410F" w:rsidRDefault="00C70835" w:rsidP="00E33002">
      <w:pPr>
        <w:pStyle w:val="BodyText"/>
      </w:pPr>
      <w:r>
        <w:t xml:space="preserve">Connecting to PostgreSQL is very similar to connecting with SQL Server (whether on-prem, or in the cloud). </w:t>
      </w:r>
      <w:r w:rsidR="00561199">
        <w:t xml:space="preserve">Be sure to first install the </w:t>
      </w:r>
      <w:r>
        <w:t>PostgreSQL</w:t>
      </w:r>
      <w:r w:rsidR="00561199">
        <w:t xml:space="preserve"> extension from Microsoft. This </w:t>
      </w:r>
      <w:r w:rsidR="000F650E">
        <w:t xml:space="preserve">extension </w:t>
      </w:r>
      <w:r w:rsidR="00561199">
        <w:t>can be found by entering ‘</w:t>
      </w:r>
      <w:proofErr w:type="spellStart"/>
      <w:r w:rsidR="00561199">
        <w:t>postgres</w:t>
      </w:r>
      <w:proofErr w:type="spellEnd"/>
      <w:r w:rsidR="00561199">
        <w:t xml:space="preserve">’ in the </w:t>
      </w:r>
      <w:r w:rsidR="000F650E">
        <w:t>‘</w:t>
      </w:r>
      <w:r w:rsidR="00561199">
        <w:t>Extensions Marketplace</w:t>
      </w:r>
      <w:r w:rsidR="000F650E">
        <w:t>’</w:t>
      </w:r>
      <w:r w:rsidR="00561199">
        <w:t xml:space="preserve"> control as shown in figure 2-9:</w:t>
      </w:r>
    </w:p>
    <w:p w14:paraId="0FDAF94B" w14:textId="28A5BE31" w:rsidR="00561199" w:rsidRDefault="00561199" w:rsidP="00561199">
      <w:pPr>
        <w:pStyle w:val="Figure"/>
      </w:pPr>
      <w:r>
        <w:rPr>
          <w:noProof/>
        </w:rPr>
        <w:lastRenderedPageBreak/>
        <w:drawing>
          <wp:inline distT="0" distB="0" distL="0" distR="0" wp14:anchorId="4C2C57B7" wp14:editId="18C29ABD">
            <wp:extent cx="2838450" cy="3848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D7B0" w14:textId="666EF236" w:rsidR="00561199" w:rsidRDefault="00561199" w:rsidP="00561199">
      <w:pPr>
        <w:pStyle w:val="Caption"/>
      </w:pPr>
      <w:r>
        <w:t>Figure 2-9. The PostgreSQL Extension</w:t>
      </w:r>
    </w:p>
    <w:p w14:paraId="797E1F5C" w14:textId="730A8EEE" w:rsidR="00561199" w:rsidRDefault="00561005" w:rsidP="00E33002">
      <w:pPr>
        <w:pStyle w:val="BodyText"/>
      </w:pPr>
      <w:r>
        <w:t xml:space="preserve">A sample connection </w:t>
      </w:r>
      <w:r>
        <w:t>definition for PostgreSQL</w:t>
      </w:r>
      <w:r>
        <w:t xml:space="preserve"> is illustrated in f</w:t>
      </w:r>
      <w:r w:rsidR="00953F04">
        <w:t>igure 2-10.</w:t>
      </w:r>
    </w:p>
    <w:p w14:paraId="79AB6CC2" w14:textId="24D1C10B" w:rsidR="00953F04" w:rsidRDefault="00953F04" w:rsidP="00F13A42">
      <w:pPr>
        <w:pStyle w:val="Figure"/>
      </w:pPr>
      <w:r>
        <w:rPr>
          <w:noProof/>
        </w:rPr>
        <w:lastRenderedPageBreak/>
        <w:drawing>
          <wp:inline distT="0" distB="0" distL="0" distR="0" wp14:anchorId="53CCA3E6" wp14:editId="124EEECA">
            <wp:extent cx="5025390" cy="408178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2491" w14:textId="771A424F" w:rsidR="00960D58" w:rsidRDefault="00960D58" w:rsidP="00960D58">
      <w:pPr>
        <w:pStyle w:val="Caption"/>
      </w:pPr>
      <w:r>
        <w:t>Figure 2-10. Sample PostgreSQL Connection</w:t>
      </w:r>
    </w:p>
    <w:p w14:paraId="456EC8A9" w14:textId="2A04224D" w:rsidR="004E1CFB" w:rsidRPr="004E1CFB" w:rsidRDefault="004E1CFB" w:rsidP="004E1CFB">
      <w:pPr>
        <w:pStyle w:val="BodyText"/>
      </w:pPr>
      <w:r>
        <w:t xml:space="preserve">You will want to use the ‘Connection type’ of ‘PostgreSQL’. </w:t>
      </w:r>
      <w:r>
        <w:t>Note that</w:t>
      </w:r>
      <w:r>
        <w:t xml:space="preserve"> this connection type</w:t>
      </w:r>
      <w:r>
        <w:t xml:space="preserve"> (directly to PostgreSQL)</w:t>
      </w:r>
      <w:r>
        <w:t xml:space="preserve"> only allows for ‘User name/Password’ authentication.</w:t>
      </w:r>
      <w:r>
        <w:t xml:space="preserve"> You could alternatively ‘browse’ your PostgreSQL servers and databases via the previously mentioned ‘Azure container’ in ADS.</w:t>
      </w:r>
    </w:p>
    <w:p w14:paraId="73C82EA1" w14:textId="51988FA3" w:rsidR="00A804FC" w:rsidRDefault="00D6231B" w:rsidP="00A804FC">
      <w:pPr>
        <w:pStyle w:val="Heading1"/>
      </w:pPr>
      <w:r w:rsidRPr="00D6231B">
        <w:t>Grouping and Color Coding your Connections</w:t>
      </w:r>
    </w:p>
    <w:p w14:paraId="42C74A9C" w14:textId="74E66FAA" w:rsidR="00F94E55" w:rsidRDefault="006E11E0" w:rsidP="00F94E55">
      <w:pPr>
        <w:pStyle w:val="BodyText"/>
      </w:pPr>
      <w:r>
        <w:t xml:space="preserve">Azure Data Studio allows you to organize </w:t>
      </w:r>
      <w:r w:rsidR="00337B76">
        <w:t>your connections into groups which can optionally</w:t>
      </w:r>
      <w:r w:rsidR="0057696E">
        <w:t xml:space="preserve"> be</w:t>
      </w:r>
      <w:r w:rsidR="00337B76">
        <w:t xml:space="preserve"> ‘color code</w:t>
      </w:r>
      <w:r w:rsidR="0057696E">
        <w:t>d</w:t>
      </w:r>
      <w:r w:rsidR="00337B76">
        <w:t>’</w:t>
      </w:r>
      <w:r w:rsidR="0057696E">
        <w:t>,</w:t>
      </w:r>
      <w:r w:rsidR="00337B76">
        <w:t xml:space="preserve"> both </w:t>
      </w:r>
      <w:r w:rsidR="0057696E">
        <w:t>on</w:t>
      </w:r>
      <w:r w:rsidR="00337B76">
        <w:t xml:space="preserve"> the ‘Side Bar’, and </w:t>
      </w:r>
      <w:r w:rsidR="0057696E">
        <w:t>at the top of</w:t>
      </w:r>
      <w:r w:rsidR="00337B76">
        <w:t xml:space="preserve"> the tabbed SQL editor windows. You </w:t>
      </w:r>
      <w:r w:rsidR="0057696E">
        <w:t xml:space="preserve">have complete flexibility with grouping your </w:t>
      </w:r>
      <w:r w:rsidR="00337B76">
        <w:t>connections</w:t>
      </w:r>
      <w:r w:rsidR="0057696E">
        <w:t xml:space="preserve">, which might be based </w:t>
      </w:r>
      <w:r w:rsidR="00337B76">
        <w:t>on</w:t>
      </w:r>
      <w:r w:rsidR="00CF1356">
        <w:t>:</w:t>
      </w:r>
    </w:p>
    <w:p w14:paraId="42CE1B16" w14:textId="7576767A" w:rsidR="00337B76" w:rsidRDefault="00337B76" w:rsidP="00337B76">
      <w:pPr>
        <w:pStyle w:val="Bullet"/>
      </w:pPr>
      <w:r>
        <w:t>Server Names</w:t>
      </w:r>
    </w:p>
    <w:p w14:paraId="5CAC2480" w14:textId="20DA696F" w:rsidR="00337B76" w:rsidRDefault="00337B76" w:rsidP="00337B76">
      <w:pPr>
        <w:pStyle w:val="Bullet"/>
      </w:pPr>
      <w:r>
        <w:lastRenderedPageBreak/>
        <w:t>Functional Names (e.g., Dev/Test/Prod)</w:t>
      </w:r>
    </w:p>
    <w:p w14:paraId="56FD65CB" w14:textId="60C09AD5" w:rsidR="00337B76" w:rsidRDefault="00337B76" w:rsidP="00337B76">
      <w:pPr>
        <w:pStyle w:val="Bullet"/>
      </w:pPr>
      <w:r>
        <w:t>Physical Locations</w:t>
      </w:r>
    </w:p>
    <w:p w14:paraId="5800D69D" w14:textId="1B0C0D47" w:rsidR="00337B76" w:rsidRDefault="00337B76" w:rsidP="00337B76">
      <w:pPr>
        <w:pStyle w:val="Bullet"/>
      </w:pPr>
      <w:r>
        <w:t>Roles (e.g., Admin/Execute/Read Only)</w:t>
      </w:r>
    </w:p>
    <w:p w14:paraId="563A4F98" w14:textId="1EF91A73" w:rsidR="00337B76" w:rsidRDefault="00337B76" w:rsidP="00F13A42">
      <w:pPr>
        <w:pStyle w:val="BodyText"/>
      </w:pPr>
      <w:r>
        <w:t>Or any other grouping that facilitates your ‘connection’ navigation.</w:t>
      </w:r>
    </w:p>
    <w:p w14:paraId="55786D8A" w14:textId="4756C23F" w:rsidR="00337B76" w:rsidRDefault="00960D58" w:rsidP="00F13A42">
      <w:pPr>
        <w:pStyle w:val="BodyText"/>
      </w:pPr>
      <w:r>
        <w:t xml:space="preserve">As an example, figure </w:t>
      </w:r>
      <w:r w:rsidR="00BF2800">
        <w:t>2-11 demonstrates grouping and color coding based on development environments:</w:t>
      </w:r>
    </w:p>
    <w:p w14:paraId="171D3227" w14:textId="072B3460" w:rsidR="00BF2800" w:rsidRDefault="00BF2800" w:rsidP="00F13A42">
      <w:pPr>
        <w:pStyle w:val="Figure"/>
      </w:pPr>
      <w:r>
        <w:rPr>
          <w:noProof/>
        </w:rPr>
        <w:drawing>
          <wp:inline distT="0" distB="0" distL="0" distR="0" wp14:anchorId="181978B3" wp14:editId="2C8FADED">
            <wp:extent cx="3269615" cy="37160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BF4C" w14:textId="75F5952C" w:rsidR="00BF2800" w:rsidRDefault="00BF2800" w:rsidP="00BF2800">
      <w:pPr>
        <w:pStyle w:val="Caption"/>
      </w:pPr>
      <w:r>
        <w:t>Figure 2-11. Sample Connection Groupings</w:t>
      </w:r>
    </w:p>
    <w:p w14:paraId="1C54BA65" w14:textId="2C40F4CB" w:rsidR="002E261E" w:rsidRDefault="00F13A42" w:rsidP="00F13A42">
      <w:pPr>
        <w:pStyle w:val="BodyText"/>
      </w:pPr>
      <w:r>
        <w:t>To create your own groupings, you can use the same “Connections Details’ form which we used in the last section (see</w:t>
      </w:r>
      <w:r w:rsidR="00F902D6">
        <w:t xml:space="preserve"> the</w:t>
      </w:r>
      <w:r>
        <w:t xml:space="preserve"> ‘Server group’ field near the bottom of th</w:t>
      </w:r>
      <w:r w:rsidR="00F902D6">
        <w:t>is</w:t>
      </w:r>
      <w:r>
        <w:t xml:space="preserve"> form), or you can alternatively use the ‘Side Bar’ controls. </w:t>
      </w:r>
      <w:r w:rsidR="002E261E">
        <w:t>To do this, notice the 3 mini icons that appear to the right of the ‘SERVERS’ label whenever you mouse over the connections ‘Side Bar’ as shown in figure 2-12:</w:t>
      </w:r>
    </w:p>
    <w:p w14:paraId="1F84F5B5" w14:textId="553F69F4" w:rsidR="00BF2800" w:rsidRDefault="002E261E" w:rsidP="002E261E">
      <w:pPr>
        <w:pStyle w:val="Figure"/>
      </w:pPr>
      <w:r>
        <w:rPr>
          <w:noProof/>
        </w:rPr>
        <w:lastRenderedPageBreak/>
        <w:drawing>
          <wp:inline distT="0" distB="0" distL="0" distR="0" wp14:anchorId="4B98ED55" wp14:editId="7946B0A9">
            <wp:extent cx="3364865" cy="144843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56A5" w14:textId="59487B9C" w:rsidR="002E261E" w:rsidRDefault="002E261E" w:rsidP="002E261E">
      <w:pPr>
        <w:pStyle w:val="Caption"/>
      </w:pPr>
      <w:r>
        <w:t>Figure 2-12. Sample Connection Groupings</w:t>
      </w:r>
    </w:p>
    <w:p w14:paraId="7CD0A01C" w14:textId="7C3E7E25" w:rsidR="002E261E" w:rsidRDefault="002E261E" w:rsidP="00F13A42">
      <w:pPr>
        <w:pStyle w:val="BodyText"/>
      </w:pPr>
      <w:r>
        <w:t xml:space="preserve">The </w:t>
      </w:r>
      <w:r w:rsidRPr="00AF2571">
        <w:rPr>
          <w:rStyle w:val="Emphasis"/>
        </w:rPr>
        <w:t>center</w:t>
      </w:r>
      <w:r>
        <w:t xml:space="preserve"> icon provides access to the ‘Add server group’ form which is</w:t>
      </w:r>
      <w:r w:rsidR="00F902D6">
        <w:t xml:space="preserve"> illustrated</w:t>
      </w:r>
      <w:r>
        <w:t xml:space="preserve"> in figure 2-13:</w:t>
      </w:r>
    </w:p>
    <w:p w14:paraId="475C634C" w14:textId="4E03036A" w:rsidR="002E261E" w:rsidRDefault="00931F8F" w:rsidP="00931F8F">
      <w:pPr>
        <w:pStyle w:val="Figure"/>
      </w:pPr>
      <w:r>
        <w:rPr>
          <w:noProof/>
        </w:rPr>
        <w:drawing>
          <wp:inline distT="0" distB="0" distL="0" distR="0" wp14:anchorId="3D9999CE" wp14:editId="05CABEB6">
            <wp:extent cx="4813300" cy="2582545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E606" w14:textId="38EAE048" w:rsidR="002E261E" w:rsidRDefault="002E261E" w:rsidP="002E261E">
      <w:pPr>
        <w:pStyle w:val="Caption"/>
      </w:pPr>
      <w:r>
        <w:t>Figure 2-13. Sample Connection Groupings</w:t>
      </w:r>
    </w:p>
    <w:p w14:paraId="6D1D65FC" w14:textId="00ACA973" w:rsidR="00F902D6" w:rsidRDefault="009A0CD1" w:rsidP="00F13A42">
      <w:pPr>
        <w:pStyle w:val="BodyText"/>
      </w:pPr>
      <w:r>
        <w:t xml:space="preserve">Once </w:t>
      </w:r>
      <w:r w:rsidR="00F902D6">
        <w:t xml:space="preserve">‘Server </w:t>
      </w:r>
      <w:r>
        <w:t>group</w:t>
      </w:r>
      <w:r w:rsidR="00F902D6">
        <w:t xml:space="preserve"> names’</w:t>
      </w:r>
      <w:r>
        <w:t xml:space="preserve"> have been created, you can freely </w:t>
      </w:r>
      <w:r w:rsidRPr="00F902D6">
        <w:rPr>
          <w:rStyle w:val="Emphasis"/>
        </w:rPr>
        <w:t>drag and drop</w:t>
      </w:r>
      <w:r>
        <w:t xml:space="preserve"> ‘connections’ into the group of your choice</w:t>
      </w:r>
      <w:r w:rsidR="00AF2571">
        <w:t>,</w:t>
      </w:r>
      <w:r>
        <w:t xml:space="preserve"> using the connections</w:t>
      </w:r>
      <w:r w:rsidR="00AF2571">
        <w:t xml:space="preserve"> displayed in</w:t>
      </w:r>
      <w:r>
        <w:t xml:space="preserve"> ‘Side Bar’.</w:t>
      </w:r>
    </w:p>
    <w:p w14:paraId="3F6E444B" w14:textId="29DC3B23" w:rsidR="00F902D6" w:rsidRDefault="00F902D6" w:rsidP="00F902D6">
      <w:pPr>
        <w:pStyle w:val="Heading2"/>
      </w:pPr>
      <w:r>
        <w:t>Color Coding Groups</w:t>
      </w:r>
    </w:p>
    <w:p w14:paraId="02D3801C" w14:textId="6260FFBB" w:rsidR="005F0F3C" w:rsidRDefault="00F902D6" w:rsidP="00F13A42">
      <w:pPr>
        <w:pStyle w:val="BodyText"/>
      </w:pPr>
      <w:r>
        <w:t xml:space="preserve">The bottom of figure 2-13 renders the palette of colors you can select for your groups. A selected group color </w:t>
      </w:r>
      <w:r w:rsidR="00AC4521">
        <w:t xml:space="preserve">is </w:t>
      </w:r>
      <w:r>
        <w:t>not only used in the connections ‘Side Bar</w:t>
      </w:r>
      <w:r w:rsidR="00AC4521">
        <w:t>’ but can also</w:t>
      </w:r>
      <w:r w:rsidR="00AF2571">
        <w:t xml:space="preserve"> </w:t>
      </w:r>
      <w:r w:rsidR="00AC4521">
        <w:t xml:space="preserve">be </w:t>
      </w:r>
      <w:r w:rsidR="00AF2571">
        <w:t>extended to</w:t>
      </w:r>
      <w:r w:rsidR="00AC4521">
        <w:t xml:space="preserve"> the</w:t>
      </w:r>
      <w:r w:rsidR="00AC4521">
        <w:t xml:space="preserve"> tabbed SQL editor windows</w:t>
      </w:r>
      <w:r w:rsidR="00AC4521">
        <w:t xml:space="preserve">. </w:t>
      </w:r>
      <w:r w:rsidR="00AF2571">
        <w:t>For</w:t>
      </w:r>
      <w:r w:rsidR="00AC4521">
        <w:t xml:space="preserve"> this option, click on the ‘Manage’ (gear) Icon located at the bottom of the ‘Activity Bar</w:t>
      </w:r>
      <w:r w:rsidR="005F0F3C">
        <w:t xml:space="preserve">’, choose </w:t>
      </w:r>
      <w:r w:rsidR="005F0F3C">
        <w:lastRenderedPageBreak/>
        <w:t>‘Settings’, and finally select a ‘</w:t>
      </w:r>
      <w:proofErr w:type="spellStart"/>
      <w:r w:rsidR="005F0F3C" w:rsidRPr="00AF2571">
        <w:rPr>
          <w:rStyle w:val="Emphasis"/>
        </w:rPr>
        <w:t>Sql</w:t>
      </w:r>
      <w:proofErr w:type="spellEnd"/>
      <w:r w:rsidR="005F0F3C" w:rsidRPr="00AF2571">
        <w:rPr>
          <w:rStyle w:val="Emphasis"/>
        </w:rPr>
        <w:t>: Tab Color Mode</w:t>
      </w:r>
      <w:r w:rsidR="005F0F3C">
        <w:t>’ (</w:t>
      </w:r>
      <w:r w:rsidR="00AF2571">
        <w:t>i.e., change to</w:t>
      </w:r>
      <w:r w:rsidR="005F0F3C">
        <w:t xml:space="preserve"> border, or fill) as shown in figure 2-14: </w:t>
      </w:r>
    </w:p>
    <w:p w14:paraId="4ED3AE9E" w14:textId="36149DEC" w:rsidR="005F0F3C" w:rsidRDefault="005F0F3C" w:rsidP="005F0F3C">
      <w:pPr>
        <w:pStyle w:val="Figure"/>
      </w:pPr>
      <w:r>
        <w:rPr>
          <w:noProof/>
        </w:rPr>
        <w:drawing>
          <wp:inline distT="0" distB="0" distL="0" distR="0" wp14:anchorId="63CC02D6" wp14:editId="19410276">
            <wp:extent cx="5025390" cy="303593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7780" w14:textId="3FEFCED8" w:rsidR="005F0F3C" w:rsidRDefault="005F0F3C" w:rsidP="005F0F3C">
      <w:pPr>
        <w:pStyle w:val="Caption"/>
      </w:pPr>
      <w:r>
        <w:t>Figure 2-1</w:t>
      </w:r>
      <w:r>
        <w:t>4</w:t>
      </w:r>
      <w:r>
        <w:t>. Sample Connection Groupings</w:t>
      </w:r>
    </w:p>
    <w:p w14:paraId="029965E1" w14:textId="45CC699D" w:rsidR="005F0F3C" w:rsidRDefault="005F0F3C" w:rsidP="00F13A42">
      <w:pPr>
        <w:pStyle w:val="BodyText"/>
      </w:pPr>
      <w:r>
        <w:t>Once the color mode is set, you</w:t>
      </w:r>
      <w:r w:rsidR="00672337">
        <w:t>r</w:t>
      </w:r>
      <w:r>
        <w:t xml:space="preserve"> query editor windows will reflect its group </w:t>
      </w:r>
      <w:r w:rsidR="00672337">
        <w:t>‘</w:t>
      </w:r>
      <w:r>
        <w:t>color coding</w:t>
      </w:r>
      <w:r w:rsidR="00672337">
        <w:t>’</w:t>
      </w:r>
      <w:r>
        <w:t xml:space="preserve"> as </w:t>
      </w:r>
      <w:r w:rsidR="00672337">
        <w:t>exhibited</w:t>
      </w:r>
      <w:r>
        <w:t xml:space="preserve"> in figure 2-15.</w:t>
      </w:r>
    </w:p>
    <w:p w14:paraId="1EA55BDC" w14:textId="07EA39FB" w:rsidR="005F0F3C" w:rsidRDefault="00287D85" w:rsidP="008E661E">
      <w:pPr>
        <w:pStyle w:val="Figure"/>
      </w:pPr>
      <w:r>
        <w:rPr>
          <w:noProof/>
        </w:rPr>
        <w:drawing>
          <wp:inline distT="0" distB="0" distL="0" distR="0" wp14:anchorId="786C8E9D" wp14:editId="1B0FD72D">
            <wp:extent cx="5025390" cy="2984500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80EF" w14:textId="616EEE49" w:rsidR="008E661E" w:rsidRDefault="008E661E" w:rsidP="008E661E">
      <w:pPr>
        <w:pStyle w:val="Caption"/>
      </w:pPr>
      <w:r>
        <w:lastRenderedPageBreak/>
        <w:t>Figure 2-1</w:t>
      </w:r>
      <w:r>
        <w:t>5</w:t>
      </w:r>
      <w:r>
        <w:t xml:space="preserve">. </w:t>
      </w:r>
      <w:r>
        <w:t xml:space="preserve">Color Coded </w:t>
      </w:r>
      <w:r>
        <w:t xml:space="preserve">SQL </w:t>
      </w:r>
      <w:r>
        <w:t>E</w:t>
      </w:r>
      <w:r>
        <w:t xml:space="preserve">ditor </w:t>
      </w:r>
      <w:r>
        <w:t>W</w:t>
      </w:r>
      <w:r>
        <w:t>indows</w:t>
      </w:r>
    </w:p>
    <w:p w14:paraId="6EE0EE72" w14:textId="1CC256E6" w:rsidR="002E261E" w:rsidRPr="00687690" w:rsidRDefault="00287D85" w:rsidP="00F13A42">
      <w:pPr>
        <w:pStyle w:val="BodyText"/>
      </w:pPr>
      <w:r>
        <w:t xml:space="preserve">To help you get started with creating and organizing connections, we have </w:t>
      </w:r>
      <w:r w:rsidR="00D06BF7">
        <w:t xml:space="preserve">created </w:t>
      </w:r>
      <w:r>
        <w:t xml:space="preserve">an associated </w:t>
      </w:r>
      <w:r w:rsidR="00D06BF7">
        <w:t xml:space="preserve">YouTube </w:t>
      </w:r>
      <w:r>
        <w:t xml:space="preserve">video </w:t>
      </w:r>
      <w:r w:rsidR="00D06BF7">
        <w:t xml:space="preserve">located </w:t>
      </w:r>
      <w:r>
        <w:t xml:space="preserve">at: </w:t>
      </w:r>
      <w:hyperlink r:id="rId23" w:history="1">
        <w:r w:rsidRPr="00CE5695">
          <w:rPr>
            <w:rStyle w:val="Hyperlink"/>
          </w:rPr>
          <w:t>https://youtu.be/lJRg4SzmEU8</w:t>
        </w:r>
      </w:hyperlink>
      <w:r w:rsidRPr="00287D85">
        <w:t>.</w:t>
      </w:r>
      <w:r>
        <w:t xml:space="preserve"> </w:t>
      </w:r>
      <w:r w:rsidR="006132C9">
        <w:t>For targeted viewing, t</w:t>
      </w:r>
      <w:r>
        <w:t>he ‘grouping’ of connections starts at</w:t>
      </w:r>
      <w:r w:rsidR="006132C9">
        <w:t xml:space="preserve"> minute</w:t>
      </w:r>
      <w:r>
        <w:t xml:space="preserve"> 03:35, and</w:t>
      </w:r>
      <w:r w:rsidR="006132C9">
        <w:t xml:space="preserve"> the</w:t>
      </w:r>
      <w:r>
        <w:t xml:space="preserve"> ‘color coding’ begins at 04:45.</w:t>
      </w:r>
    </w:p>
    <w:p w14:paraId="4ABD342D" w14:textId="67E66CAC" w:rsidR="00A804FC" w:rsidRDefault="00D6231B" w:rsidP="00A804FC">
      <w:pPr>
        <w:pStyle w:val="Heading1"/>
      </w:pPr>
      <w:r w:rsidRPr="00D6231B">
        <w:t>Central Management Servers Extension</w:t>
      </w:r>
    </w:p>
    <w:p w14:paraId="47347C55" w14:textId="5A1A1D08" w:rsidR="00D04D4E" w:rsidRDefault="00200534" w:rsidP="00D6231B">
      <w:pPr>
        <w:pStyle w:val="BodyText"/>
      </w:pPr>
      <w:r>
        <w:t>Azure Data Studio has an extension called ‘Central Management Servers’</w:t>
      </w:r>
      <w:r w:rsidR="00AE297A">
        <w:t xml:space="preserve"> which </w:t>
      </w:r>
      <w:r w:rsidR="008E661E">
        <w:t>may</w:t>
      </w:r>
      <w:r w:rsidR="00AE297A">
        <w:t xml:space="preserve"> also be used to group </w:t>
      </w:r>
      <w:r w:rsidR="00AE297A" w:rsidRPr="00057C3B">
        <w:rPr>
          <w:rStyle w:val="Emphasis"/>
        </w:rPr>
        <w:t>server level</w:t>
      </w:r>
      <w:r w:rsidR="00AE297A">
        <w:t xml:space="preserve"> connections.</w:t>
      </w:r>
      <w:r w:rsidR="00057C3B">
        <w:t xml:space="preserve"> </w:t>
      </w:r>
      <w:r w:rsidR="00AE297A">
        <w:t xml:space="preserve">This </w:t>
      </w:r>
      <w:r w:rsidR="00AE297A">
        <w:t xml:space="preserve">extension </w:t>
      </w:r>
      <w:r w:rsidR="00EB73D1">
        <w:t>is</w:t>
      </w:r>
      <w:r w:rsidR="00AE297A">
        <w:t xml:space="preserve"> </w:t>
      </w:r>
      <w:r w:rsidR="008E661E">
        <w:t>found</w:t>
      </w:r>
      <w:r w:rsidR="00AE297A">
        <w:t xml:space="preserve"> by </w:t>
      </w:r>
      <w:r w:rsidR="008E661E">
        <w:t>typing</w:t>
      </w:r>
      <w:r w:rsidR="00AE297A">
        <w:t xml:space="preserve"> ‘</w:t>
      </w:r>
      <w:r w:rsidR="008E661E">
        <w:t>central</w:t>
      </w:r>
      <w:r w:rsidR="00AE297A">
        <w:t>’ in the Extensions Marketplace control as shown in figure 2-</w:t>
      </w:r>
      <w:r w:rsidR="008E661E">
        <w:t>16</w:t>
      </w:r>
      <w:r w:rsidR="00AE297A">
        <w:t>:</w:t>
      </w:r>
    </w:p>
    <w:p w14:paraId="4809F537" w14:textId="2D4F509E" w:rsidR="008E661E" w:rsidRDefault="008E661E" w:rsidP="008E661E">
      <w:pPr>
        <w:pStyle w:val="Figure"/>
      </w:pPr>
      <w:r>
        <w:rPr>
          <w:noProof/>
        </w:rPr>
        <w:drawing>
          <wp:inline distT="0" distB="0" distL="0" distR="0" wp14:anchorId="64F7E9BA" wp14:editId="021CA5DC">
            <wp:extent cx="5025390" cy="294068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B2B7" w14:textId="781AF8BD" w:rsidR="00BF4E06" w:rsidRDefault="00BF4E06" w:rsidP="00BF4E06">
      <w:pPr>
        <w:pStyle w:val="Caption"/>
      </w:pPr>
      <w:r>
        <w:t>Figure 2-1</w:t>
      </w:r>
      <w:r>
        <w:t>6</w:t>
      </w:r>
      <w:r>
        <w:t xml:space="preserve">. </w:t>
      </w:r>
      <w:r>
        <w:t>Installing the ‘</w:t>
      </w:r>
      <w:r>
        <w:t>Central Management Servers</w:t>
      </w:r>
      <w:r>
        <w:t>’ Extension</w:t>
      </w:r>
    </w:p>
    <w:p w14:paraId="5537C5FD" w14:textId="6B38045C" w:rsidR="00BF4E06" w:rsidRDefault="00BF4E06" w:rsidP="00BF4E06">
      <w:pPr>
        <w:pStyle w:val="BodyText"/>
      </w:pPr>
      <w:r>
        <w:t xml:space="preserve">What sets this feature apart from standard connection groupings in ADS is the ability to </w:t>
      </w:r>
      <w:r w:rsidRPr="00CC7F3E">
        <w:rPr>
          <w:rStyle w:val="Emphasis"/>
        </w:rPr>
        <w:t>execute a single command</w:t>
      </w:r>
      <w:r>
        <w:t xml:space="preserve"> on a ‘server group’.</w:t>
      </w:r>
      <w:r>
        <w:t xml:space="preserve"> </w:t>
      </w:r>
      <w:r>
        <w:t xml:space="preserve">For example, if you wanted to execute the SQL command: </w:t>
      </w:r>
      <w:r w:rsidRPr="00057C3B">
        <w:rPr>
          <w:rStyle w:val="CodeInline"/>
        </w:rPr>
        <w:t>SELECT @@VERSION</w:t>
      </w:r>
      <w:r w:rsidRPr="00057C3B">
        <w:t xml:space="preserve"> on</w:t>
      </w:r>
      <w:r>
        <w:t xml:space="preserve"> multiple servers, </w:t>
      </w:r>
      <w:r>
        <w:t xml:space="preserve">you could run </w:t>
      </w:r>
      <w:r w:rsidR="00CC7F3E">
        <w:t>this</w:t>
      </w:r>
      <w:r>
        <w:t xml:space="preserve"> </w:t>
      </w:r>
      <w:r>
        <w:t>query against a</w:t>
      </w:r>
      <w:r w:rsidR="00CC7F3E">
        <w:t>n entire</w:t>
      </w:r>
      <w:r>
        <w:t xml:space="preserve"> ‘Server Group’</w:t>
      </w:r>
      <w:r>
        <w:t xml:space="preserve">. Figure 2-17 demonstrates this capability when running </w:t>
      </w:r>
      <w:r w:rsidR="00CC7F3E">
        <w:t>a</w:t>
      </w:r>
      <w:r>
        <w:t xml:space="preserve"> query </w:t>
      </w:r>
      <w:r w:rsidR="00CC7F3E">
        <w:t>against</w:t>
      </w:r>
      <w:r>
        <w:t xml:space="preserve"> the ‘</w:t>
      </w:r>
      <w:proofErr w:type="spellStart"/>
      <w:r>
        <w:t>OnPremise</w:t>
      </w:r>
      <w:proofErr w:type="spellEnd"/>
      <w:r>
        <w:t>’ server group:</w:t>
      </w:r>
    </w:p>
    <w:p w14:paraId="2BA92C59" w14:textId="6260D7E4" w:rsidR="00BF4E06" w:rsidRDefault="00855E52" w:rsidP="00C16CFD">
      <w:pPr>
        <w:pStyle w:val="Figure"/>
      </w:pPr>
      <w:r>
        <w:rPr>
          <w:noProof/>
        </w:rPr>
        <w:lastRenderedPageBreak/>
        <w:drawing>
          <wp:inline distT="0" distB="0" distL="0" distR="0" wp14:anchorId="56D79F85" wp14:editId="3D5AE06F">
            <wp:extent cx="5025390" cy="2889250"/>
            <wp:effectExtent l="0" t="0" r="381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BE11" w14:textId="699DF8F2" w:rsidR="00C16CFD" w:rsidRDefault="00C16CFD" w:rsidP="00C16CFD">
      <w:pPr>
        <w:pStyle w:val="Caption"/>
      </w:pPr>
      <w:r>
        <w:t>Figure 2-1</w:t>
      </w:r>
      <w:r>
        <w:t>7</w:t>
      </w:r>
      <w:r>
        <w:t xml:space="preserve">. </w:t>
      </w:r>
      <w:r>
        <w:t xml:space="preserve">Querying a </w:t>
      </w:r>
      <w:r>
        <w:t>‘Central Management</w:t>
      </w:r>
      <w:r>
        <w:t>’</w:t>
      </w:r>
      <w:r>
        <w:t xml:space="preserve"> Server </w:t>
      </w:r>
      <w:r>
        <w:t>Group</w:t>
      </w:r>
    </w:p>
    <w:p w14:paraId="6C643C0B" w14:textId="68F8C520" w:rsidR="00356FEB" w:rsidRPr="00356FEB" w:rsidRDefault="00A1054B" w:rsidP="00356FEB">
      <w:pPr>
        <w:pStyle w:val="BodyText"/>
      </w:pPr>
      <w:r>
        <w:t xml:space="preserve">Notice the result set above is from </w:t>
      </w:r>
      <w:r w:rsidRPr="00A1054B">
        <w:rPr>
          <w:rStyle w:val="Emphasis"/>
        </w:rPr>
        <w:t>multiple</w:t>
      </w:r>
      <w:r>
        <w:t xml:space="preserve"> servers. </w:t>
      </w:r>
      <w:r w:rsidR="00CC7F3E">
        <w:t xml:space="preserve">In order to tie rows in the ‘results set’ back to the contributing server, ADS adds the ‘Server Name’ as the first column in the </w:t>
      </w:r>
      <w:r>
        <w:t>returned results</w:t>
      </w:r>
      <w:r w:rsidR="00CC7F3E">
        <w:t xml:space="preserve">. </w:t>
      </w:r>
      <w:r w:rsidR="0072212F">
        <w:t xml:space="preserve">It should be </w:t>
      </w:r>
      <w:r>
        <w:t>mentioned</w:t>
      </w:r>
      <w:r w:rsidR="0072212F">
        <w:t xml:space="preserve"> that at the time of this writing the ‘</w:t>
      </w:r>
      <w:r w:rsidR="0072212F">
        <w:t>Central Management Servers</w:t>
      </w:r>
      <w:r w:rsidR="0072212F">
        <w:t xml:space="preserve">’ extension for ADS is in ‘preview’ mode, and not 100% functional. </w:t>
      </w:r>
      <w:r w:rsidR="00CC7F3E">
        <w:t xml:space="preserve">As an </w:t>
      </w:r>
      <w:r>
        <w:t>temporary</w:t>
      </w:r>
      <w:r w:rsidR="00CC7F3E">
        <w:t xml:space="preserve"> fix, t</w:t>
      </w:r>
      <w:r w:rsidR="0072212F">
        <w:t xml:space="preserve">his feature is </w:t>
      </w:r>
      <w:r w:rsidR="00565EDD">
        <w:t>available and</w:t>
      </w:r>
      <w:r w:rsidR="0072212F">
        <w:t xml:space="preserve"> working in SQL Server Management Studio.</w:t>
      </w:r>
    </w:p>
    <w:p w14:paraId="4E0A8B54" w14:textId="77777777" w:rsidR="00D04D4E" w:rsidRDefault="00D04D4E" w:rsidP="00D04D4E">
      <w:pPr>
        <w:pStyle w:val="Heading2"/>
      </w:pPr>
      <w:r>
        <w:t>Summary</w:t>
      </w:r>
    </w:p>
    <w:p w14:paraId="25A3F071" w14:textId="544F7E69" w:rsidR="00315AF3" w:rsidRDefault="00C73AFD" w:rsidP="00315AF3">
      <w:pPr>
        <w:pStyle w:val="BodyText"/>
      </w:pPr>
      <w:r>
        <w:t>Connections are generally your first step in working with d</w:t>
      </w:r>
      <w:r>
        <w:t>atabases</w:t>
      </w:r>
      <w:r>
        <w:t xml:space="preserve">, and this chapter has covered a variety of options that you have when using </w:t>
      </w:r>
      <w:r>
        <w:t>Azure Data Studio</w:t>
      </w:r>
      <w:r>
        <w:t xml:space="preserve">. You can have connections defined at the database or server level, grouped and color coded, on premise and in the cloud, </w:t>
      </w:r>
      <w:r w:rsidR="006B1C99">
        <w:t xml:space="preserve">and </w:t>
      </w:r>
      <w:r>
        <w:t xml:space="preserve">on SQL Server </w:t>
      </w:r>
      <w:r w:rsidR="00C51F71">
        <w:t>and</w:t>
      </w:r>
      <w:r>
        <w:t xml:space="preserve"> PostgreSQL</w:t>
      </w:r>
      <w:r w:rsidR="006B1C99">
        <w:t xml:space="preserve"> (with more to come)</w:t>
      </w:r>
      <w:r w:rsidR="00C51F71">
        <w:t xml:space="preserve">. You can also ‘browse’ your Azure based Servers and Databases using an Azure authenticated </w:t>
      </w:r>
      <w:r w:rsidR="006B1C99">
        <w:t>u</w:t>
      </w:r>
      <w:r w:rsidR="00C51F71">
        <w:t>ser account.</w:t>
      </w:r>
    </w:p>
    <w:p w14:paraId="68431F12" w14:textId="079AFFF9" w:rsidR="00C51F71" w:rsidRDefault="00C51F71" w:rsidP="00315AF3">
      <w:pPr>
        <w:pStyle w:val="BodyText"/>
      </w:pPr>
      <w:r>
        <w:t xml:space="preserve">We did not cover connecting to ‘Big Data Clusters’ since that is a deep topic which really </w:t>
      </w:r>
      <w:r w:rsidR="00B41F07">
        <w:t>needs</w:t>
      </w:r>
      <w:r>
        <w:t xml:space="preserve"> its own book. We also did not discuss connecting to a database using an ADS supported language, such as </w:t>
      </w:r>
      <w:r>
        <w:t>Python</w:t>
      </w:r>
      <w:r>
        <w:t xml:space="preserve"> or PowerShell. We </w:t>
      </w:r>
      <w:r w:rsidRPr="00B41F07">
        <w:rPr>
          <w:rStyle w:val="Emphasis"/>
        </w:rPr>
        <w:t>will</w:t>
      </w:r>
      <w:r>
        <w:t xml:space="preserve"> cover </w:t>
      </w:r>
      <w:r>
        <w:lastRenderedPageBreak/>
        <w:t>th</w:t>
      </w:r>
      <w:r w:rsidR="00B41F07">
        <w:t>ese</w:t>
      </w:r>
      <w:r>
        <w:t xml:space="preserve"> connectivity</w:t>
      </w:r>
      <w:r w:rsidR="00B41F07">
        <w:t xml:space="preserve"> options</w:t>
      </w:r>
      <w:r>
        <w:t xml:space="preserve"> </w:t>
      </w:r>
      <w:r w:rsidR="00B41F07">
        <w:t>during</w:t>
      </w:r>
      <w:r>
        <w:t xml:space="preserve"> our deep-dives</w:t>
      </w:r>
      <w:r w:rsidR="00B41F07">
        <w:t xml:space="preserve"> covered</w:t>
      </w:r>
      <w:r>
        <w:t xml:space="preserve"> in chapters 14 and 15 </w:t>
      </w:r>
      <w:r w:rsidR="00B41F07">
        <w:t>respectively</w:t>
      </w:r>
      <w:r>
        <w:t>.</w:t>
      </w:r>
      <w:bookmarkStart w:id="0" w:name="_GoBack"/>
      <w:bookmarkEnd w:id="0"/>
    </w:p>
    <w:sectPr w:rsidR="00C51F71" w:rsidSect="00625F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0080" w:h="144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AD53D" w14:textId="77777777" w:rsidR="003309AF" w:rsidRDefault="003309AF" w:rsidP="00BE7597">
      <w:pPr>
        <w:spacing w:after="0" w:line="240" w:lineRule="auto"/>
      </w:pPr>
      <w:r>
        <w:separator/>
      </w:r>
    </w:p>
  </w:endnote>
  <w:endnote w:type="continuationSeparator" w:id="0">
    <w:p w14:paraId="703690CA" w14:textId="77777777" w:rsidR="003309AF" w:rsidRDefault="003309AF" w:rsidP="00BE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26129" w14:textId="77777777" w:rsidR="006E7CE5" w:rsidRDefault="006E7CE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CB2E" w14:textId="77777777" w:rsidR="006E7CE5" w:rsidRDefault="006E7CE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39C0D" w14:textId="77777777" w:rsidR="006E7CE5" w:rsidRDefault="006E7C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4F02" w14:textId="77777777" w:rsidR="003309AF" w:rsidRDefault="003309AF" w:rsidP="00BE7597">
      <w:pPr>
        <w:spacing w:after="0" w:line="240" w:lineRule="auto"/>
      </w:pPr>
      <w:r>
        <w:separator/>
      </w:r>
    </w:p>
  </w:footnote>
  <w:footnote w:type="continuationSeparator" w:id="0">
    <w:p w14:paraId="4C212A66" w14:textId="77777777" w:rsidR="003309AF" w:rsidRDefault="003309AF" w:rsidP="00BE7597">
      <w:pPr>
        <w:spacing w:after="0" w:line="240" w:lineRule="auto"/>
      </w:pPr>
      <w:r>
        <w:continuationSeparator/>
      </w:r>
    </w:p>
  </w:footnote>
  <w:footnote w:id="1">
    <w:p w14:paraId="02FF17F8" w14:textId="4AEC3160" w:rsidR="00B56F04" w:rsidRDefault="00B56F04">
      <w:pPr>
        <w:pStyle w:val="FootnoteText"/>
      </w:pPr>
      <w:r>
        <w:rPr>
          <w:rStyle w:val="FootnoteReference"/>
        </w:rPr>
        <w:footnoteRef/>
      </w:r>
      <w:r>
        <w:t xml:space="preserve"> If you are not sure of </w:t>
      </w:r>
      <w:r w:rsidR="00287442">
        <w:t>your database</w:t>
      </w:r>
      <w:r>
        <w:t xml:space="preserve"> URI, </w:t>
      </w:r>
      <w:r w:rsidR="00287442">
        <w:t>it can be</w:t>
      </w:r>
      <w:r>
        <w:t xml:space="preserve"> look</w:t>
      </w:r>
      <w:r w:rsidR="00287442">
        <w:t>ed-up</w:t>
      </w:r>
      <w:r>
        <w:t xml:space="preserve"> on </w:t>
      </w:r>
      <w:r w:rsidR="00287442">
        <w:t>Microsoft’s</w:t>
      </w:r>
      <w:r>
        <w:t xml:space="preserve"> Azure Portal: </w:t>
      </w:r>
      <w:hyperlink r:id="rId1" w:history="1">
        <w:r>
          <w:rPr>
            <w:rStyle w:val="Hyperlink"/>
          </w:rPr>
          <w:t>https://azure.microsoft.com/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4F3A6" w14:textId="77777777" w:rsidR="006E7CE5" w:rsidRDefault="006E7CE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07DEF" w14:textId="77777777" w:rsidR="006E7CE5" w:rsidRDefault="006E7CE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894BE" w14:textId="77777777" w:rsidR="006E7CE5" w:rsidRDefault="006E7C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96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86E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8C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B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3EC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8B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AA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8E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56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275A7"/>
    <w:multiLevelType w:val="hybridMultilevel"/>
    <w:tmpl w:val="C0B211D0"/>
    <w:lvl w:ilvl="0" w:tplc="DFE882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A4AD2"/>
    <w:multiLevelType w:val="hybridMultilevel"/>
    <w:tmpl w:val="2B605D7C"/>
    <w:lvl w:ilvl="0" w:tplc="EB6A021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14086"/>
    <w:multiLevelType w:val="hybridMultilevel"/>
    <w:tmpl w:val="2370C0E6"/>
    <w:lvl w:ilvl="0" w:tplc="10304370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1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C4"/>
    <w:rsid w:val="000107D4"/>
    <w:rsid w:val="0001261A"/>
    <w:rsid w:val="000218C0"/>
    <w:rsid w:val="0002492A"/>
    <w:rsid w:val="00044A2D"/>
    <w:rsid w:val="0005330F"/>
    <w:rsid w:val="00054859"/>
    <w:rsid w:val="00057C3B"/>
    <w:rsid w:val="0007782F"/>
    <w:rsid w:val="00084BBA"/>
    <w:rsid w:val="00086F97"/>
    <w:rsid w:val="00097417"/>
    <w:rsid w:val="00097BFC"/>
    <w:rsid w:val="000A55AD"/>
    <w:rsid w:val="000C0796"/>
    <w:rsid w:val="000C3DB3"/>
    <w:rsid w:val="000C5DED"/>
    <w:rsid w:val="000D32AA"/>
    <w:rsid w:val="000D4D4E"/>
    <w:rsid w:val="000E0C7E"/>
    <w:rsid w:val="000E1B97"/>
    <w:rsid w:val="000F4537"/>
    <w:rsid w:val="000F650E"/>
    <w:rsid w:val="001104A5"/>
    <w:rsid w:val="0011410E"/>
    <w:rsid w:val="0012410F"/>
    <w:rsid w:val="00130280"/>
    <w:rsid w:val="00132BEF"/>
    <w:rsid w:val="00136F53"/>
    <w:rsid w:val="00146262"/>
    <w:rsid w:val="001464D9"/>
    <w:rsid w:val="00147426"/>
    <w:rsid w:val="00147E43"/>
    <w:rsid w:val="001614FD"/>
    <w:rsid w:val="00162E14"/>
    <w:rsid w:val="001638B9"/>
    <w:rsid w:val="00193BBF"/>
    <w:rsid w:val="001A430F"/>
    <w:rsid w:val="001A54DB"/>
    <w:rsid w:val="001B0633"/>
    <w:rsid w:val="001B38AF"/>
    <w:rsid w:val="001B5868"/>
    <w:rsid w:val="001C4131"/>
    <w:rsid w:val="001C492B"/>
    <w:rsid w:val="001C5D3A"/>
    <w:rsid w:val="001C6899"/>
    <w:rsid w:val="001D11AF"/>
    <w:rsid w:val="001D7457"/>
    <w:rsid w:val="001E674E"/>
    <w:rsid w:val="001F0B38"/>
    <w:rsid w:val="00200534"/>
    <w:rsid w:val="00200C73"/>
    <w:rsid w:val="00202A94"/>
    <w:rsid w:val="00203640"/>
    <w:rsid w:val="00203B50"/>
    <w:rsid w:val="002066B3"/>
    <w:rsid w:val="00206949"/>
    <w:rsid w:val="00212A4D"/>
    <w:rsid w:val="00220255"/>
    <w:rsid w:val="00220DB0"/>
    <w:rsid w:val="00225719"/>
    <w:rsid w:val="00227268"/>
    <w:rsid w:val="00230E92"/>
    <w:rsid w:val="0023308F"/>
    <w:rsid w:val="00233288"/>
    <w:rsid w:val="002333B7"/>
    <w:rsid w:val="002401BA"/>
    <w:rsid w:val="002430EE"/>
    <w:rsid w:val="002466DF"/>
    <w:rsid w:val="00262710"/>
    <w:rsid w:val="0026518E"/>
    <w:rsid w:val="00273ABF"/>
    <w:rsid w:val="00277F8F"/>
    <w:rsid w:val="00282CC1"/>
    <w:rsid w:val="0028306B"/>
    <w:rsid w:val="0028472A"/>
    <w:rsid w:val="00287442"/>
    <w:rsid w:val="00287749"/>
    <w:rsid w:val="00287D85"/>
    <w:rsid w:val="0029346A"/>
    <w:rsid w:val="002B589E"/>
    <w:rsid w:val="002C6B79"/>
    <w:rsid w:val="002D1D42"/>
    <w:rsid w:val="002D5E26"/>
    <w:rsid w:val="002E1058"/>
    <w:rsid w:val="002E261E"/>
    <w:rsid w:val="002E3C54"/>
    <w:rsid w:val="002F0BBF"/>
    <w:rsid w:val="00312D06"/>
    <w:rsid w:val="0031407D"/>
    <w:rsid w:val="00315AF3"/>
    <w:rsid w:val="003179CD"/>
    <w:rsid w:val="00325B79"/>
    <w:rsid w:val="00325F8B"/>
    <w:rsid w:val="00330443"/>
    <w:rsid w:val="003309AF"/>
    <w:rsid w:val="003342EE"/>
    <w:rsid w:val="00336E44"/>
    <w:rsid w:val="00337B76"/>
    <w:rsid w:val="00341D88"/>
    <w:rsid w:val="00344960"/>
    <w:rsid w:val="00351FD5"/>
    <w:rsid w:val="00352CF1"/>
    <w:rsid w:val="00356FEB"/>
    <w:rsid w:val="00363D62"/>
    <w:rsid w:val="003677DC"/>
    <w:rsid w:val="00374034"/>
    <w:rsid w:val="00377C24"/>
    <w:rsid w:val="003831F7"/>
    <w:rsid w:val="00383B85"/>
    <w:rsid w:val="00384E94"/>
    <w:rsid w:val="00386F26"/>
    <w:rsid w:val="003B51A5"/>
    <w:rsid w:val="003C2082"/>
    <w:rsid w:val="003D0126"/>
    <w:rsid w:val="003D751D"/>
    <w:rsid w:val="003F1A78"/>
    <w:rsid w:val="003F40AF"/>
    <w:rsid w:val="003F7B39"/>
    <w:rsid w:val="00410992"/>
    <w:rsid w:val="00413C48"/>
    <w:rsid w:val="00421BE1"/>
    <w:rsid w:val="00424AC9"/>
    <w:rsid w:val="00424CE2"/>
    <w:rsid w:val="00437D79"/>
    <w:rsid w:val="00437EE2"/>
    <w:rsid w:val="00441707"/>
    <w:rsid w:val="00441A33"/>
    <w:rsid w:val="00441EBB"/>
    <w:rsid w:val="00441F7A"/>
    <w:rsid w:val="00451BE4"/>
    <w:rsid w:val="004550C4"/>
    <w:rsid w:val="00456CFE"/>
    <w:rsid w:val="004642A6"/>
    <w:rsid w:val="00470B2F"/>
    <w:rsid w:val="004752B4"/>
    <w:rsid w:val="00475EAB"/>
    <w:rsid w:val="00476805"/>
    <w:rsid w:val="00485011"/>
    <w:rsid w:val="00487E27"/>
    <w:rsid w:val="004A6542"/>
    <w:rsid w:val="004A6AB8"/>
    <w:rsid w:val="004B0325"/>
    <w:rsid w:val="004B7408"/>
    <w:rsid w:val="004D1EF1"/>
    <w:rsid w:val="004D23F0"/>
    <w:rsid w:val="004D30D8"/>
    <w:rsid w:val="004E1744"/>
    <w:rsid w:val="004E1CFB"/>
    <w:rsid w:val="004E374E"/>
    <w:rsid w:val="004F329F"/>
    <w:rsid w:val="004F3D5D"/>
    <w:rsid w:val="004F593B"/>
    <w:rsid w:val="00510785"/>
    <w:rsid w:val="00512961"/>
    <w:rsid w:val="00516F61"/>
    <w:rsid w:val="005258AE"/>
    <w:rsid w:val="0052597D"/>
    <w:rsid w:val="0053181A"/>
    <w:rsid w:val="0054311B"/>
    <w:rsid w:val="005434FA"/>
    <w:rsid w:val="00545F53"/>
    <w:rsid w:val="005460A7"/>
    <w:rsid w:val="00552516"/>
    <w:rsid w:val="005545BC"/>
    <w:rsid w:val="005569DD"/>
    <w:rsid w:val="00557621"/>
    <w:rsid w:val="00557AB8"/>
    <w:rsid w:val="00560422"/>
    <w:rsid w:val="00560424"/>
    <w:rsid w:val="00561005"/>
    <w:rsid w:val="00561199"/>
    <w:rsid w:val="00562E02"/>
    <w:rsid w:val="00565525"/>
    <w:rsid w:val="00565EDD"/>
    <w:rsid w:val="0057696E"/>
    <w:rsid w:val="00591947"/>
    <w:rsid w:val="00595BC9"/>
    <w:rsid w:val="0059667F"/>
    <w:rsid w:val="005B170A"/>
    <w:rsid w:val="005C173B"/>
    <w:rsid w:val="005C2B02"/>
    <w:rsid w:val="005C2FB5"/>
    <w:rsid w:val="005D1882"/>
    <w:rsid w:val="005E50CE"/>
    <w:rsid w:val="005E6ED0"/>
    <w:rsid w:val="005F0B8F"/>
    <w:rsid w:val="005F0F3C"/>
    <w:rsid w:val="005F29B0"/>
    <w:rsid w:val="005F2ABD"/>
    <w:rsid w:val="005F5E9C"/>
    <w:rsid w:val="006030D3"/>
    <w:rsid w:val="00606D3F"/>
    <w:rsid w:val="006071B3"/>
    <w:rsid w:val="006100D9"/>
    <w:rsid w:val="006132C9"/>
    <w:rsid w:val="00614E25"/>
    <w:rsid w:val="00625F1F"/>
    <w:rsid w:val="00625F4B"/>
    <w:rsid w:val="0063135C"/>
    <w:rsid w:val="00632C07"/>
    <w:rsid w:val="00633879"/>
    <w:rsid w:val="00640A38"/>
    <w:rsid w:val="00643447"/>
    <w:rsid w:val="00645C0B"/>
    <w:rsid w:val="006553BC"/>
    <w:rsid w:val="00656AEC"/>
    <w:rsid w:val="00665927"/>
    <w:rsid w:val="00672337"/>
    <w:rsid w:val="00673436"/>
    <w:rsid w:val="00675A5B"/>
    <w:rsid w:val="00680927"/>
    <w:rsid w:val="00680C3A"/>
    <w:rsid w:val="0068557C"/>
    <w:rsid w:val="00687690"/>
    <w:rsid w:val="0069055D"/>
    <w:rsid w:val="006A4810"/>
    <w:rsid w:val="006B1C99"/>
    <w:rsid w:val="006B3FD6"/>
    <w:rsid w:val="006C1807"/>
    <w:rsid w:val="006C2F39"/>
    <w:rsid w:val="006C3B9C"/>
    <w:rsid w:val="006D05BD"/>
    <w:rsid w:val="006D65DA"/>
    <w:rsid w:val="006E11E0"/>
    <w:rsid w:val="006E249A"/>
    <w:rsid w:val="006E7CE5"/>
    <w:rsid w:val="006F3BB9"/>
    <w:rsid w:val="00700A3F"/>
    <w:rsid w:val="007011AF"/>
    <w:rsid w:val="0071667B"/>
    <w:rsid w:val="0072212F"/>
    <w:rsid w:val="00723744"/>
    <w:rsid w:val="00726BBE"/>
    <w:rsid w:val="007270AD"/>
    <w:rsid w:val="00730532"/>
    <w:rsid w:val="00733BC6"/>
    <w:rsid w:val="00744ED4"/>
    <w:rsid w:val="0075023E"/>
    <w:rsid w:val="007538F9"/>
    <w:rsid w:val="007554C9"/>
    <w:rsid w:val="0076288F"/>
    <w:rsid w:val="00766D89"/>
    <w:rsid w:val="00771CF2"/>
    <w:rsid w:val="00794075"/>
    <w:rsid w:val="00796F3B"/>
    <w:rsid w:val="007A2621"/>
    <w:rsid w:val="007A5664"/>
    <w:rsid w:val="007A5F61"/>
    <w:rsid w:val="007B1E8D"/>
    <w:rsid w:val="007B3DA2"/>
    <w:rsid w:val="007C1193"/>
    <w:rsid w:val="007C14B2"/>
    <w:rsid w:val="007C3AEC"/>
    <w:rsid w:val="007D4750"/>
    <w:rsid w:val="007E0F80"/>
    <w:rsid w:val="007F3F4D"/>
    <w:rsid w:val="00805FAC"/>
    <w:rsid w:val="00811EEC"/>
    <w:rsid w:val="00822AF9"/>
    <w:rsid w:val="0082372A"/>
    <w:rsid w:val="00824F6F"/>
    <w:rsid w:val="00826BA2"/>
    <w:rsid w:val="00826DCB"/>
    <w:rsid w:val="008301E7"/>
    <w:rsid w:val="00835772"/>
    <w:rsid w:val="00843B7D"/>
    <w:rsid w:val="008467F3"/>
    <w:rsid w:val="00850AC8"/>
    <w:rsid w:val="00855E52"/>
    <w:rsid w:val="0086148A"/>
    <w:rsid w:val="0087372C"/>
    <w:rsid w:val="008777F8"/>
    <w:rsid w:val="008819E9"/>
    <w:rsid w:val="00892EC7"/>
    <w:rsid w:val="008950E4"/>
    <w:rsid w:val="008A292A"/>
    <w:rsid w:val="008B19F7"/>
    <w:rsid w:val="008B5F05"/>
    <w:rsid w:val="008B7A42"/>
    <w:rsid w:val="008C29F4"/>
    <w:rsid w:val="008C4E64"/>
    <w:rsid w:val="008D2B55"/>
    <w:rsid w:val="008D787A"/>
    <w:rsid w:val="008E661E"/>
    <w:rsid w:val="008F5CB6"/>
    <w:rsid w:val="008F7272"/>
    <w:rsid w:val="00906657"/>
    <w:rsid w:val="009078BE"/>
    <w:rsid w:val="009119C2"/>
    <w:rsid w:val="00931F8F"/>
    <w:rsid w:val="00945F85"/>
    <w:rsid w:val="009474E1"/>
    <w:rsid w:val="00953F04"/>
    <w:rsid w:val="00956AE5"/>
    <w:rsid w:val="0096065E"/>
    <w:rsid w:val="00960D58"/>
    <w:rsid w:val="00963FCC"/>
    <w:rsid w:val="00966C9C"/>
    <w:rsid w:val="00980AA2"/>
    <w:rsid w:val="009924DC"/>
    <w:rsid w:val="00993A4F"/>
    <w:rsid w:val="009A0CD1"/>
    <w:rsid w:val="009A5897"/>
    <w:rsid w:val="009B4F4A"/>
    <w:rsid w:val="009B70D0"/>
    <w:rsid w:val="009C110C"/>
    <w:rsid w:val="009C388B"/>
    <w:rsid w:val="009C7EE0"/>
    <w:rsid w:val="009D7061"/>
    <w:rsid w:val="009E1736"/>
    <w:rsid w:val="009E539D"/>
    <w:rsid w:val="009E61EE"/>
    <w:rsid w:val="009E65C0"/>
    <w:rsid w:val="009E6E99"/>
    <w:rsid w:val="00A014A2"/>
    <w:rsid w:val="00A054C5"/>
    <w:rsid w:val="00A1054B"/>
    <w:rsid w:val="00A10713"/>
    <w:rsid w:val="00A13769"/>
    <w:rsid w:val="00A24E46"/>
    <w:rsid w:val="00A400FB"/>
    <w:rsid w:val="00A4221E"/>
    <w:rsid w:val="00A42DFF"/>
    <w:rsid w:val="00A53FA7"/>
    <w:rsid w:val="00A70EE7"/>
    <w:rsid w:val="00A72348"/>
    <w:rsid w:val="00A771EC"/>
    <w:rsid w:val="00A804FC"/>
    <w:rsid w:val="00A90EB3"/>
    <w:rsid w:val="00A92DFD"/>
    <w:rsid w:val="00AA68C7"/>
    <w:rsid w:val="00AC19C6"/>
    <w:rsid w:val="00AC1BF3"/>
    <w:rsid w:val="00AC4521"/>
    <w:rsid w:val="00AC6F3E"/>
    <w:rsid w:val="00AD0C94"/>
    <w:rsid w:val="00AD2763"/>
    <w:rsid w:val="00AD5241"/>
    <w:rsid w:val="00AD6FBB"/>
    <w:rsid w:val="00AE297A"/>
    <w:rsid w:val="00AF0E58"/>
    <w:rsid w:val="00AF10AD"/>
    <w:rsid w:val="00AF2571"/>
    <w:rsid w:val="00AF5430"/>
    <w:rsid w:val="00B0061B"/>
    <w:rsid w:val="00B0277D"/>
    <w:rsid w:val="00B11044"/>
    <w:rsid w:val="00B1344F"/>
    <w:rsid w:val="00B1525B"/>
    <w:rsid w:val="00B203E8"/>
    <w:rsid w:val="00B204D5"/>
    <w:rsid w:val="00B21D8E"/>
    <w:rsid w:val="00B30AB7"/>
    <w:rsid w:val="00B41F07"/>
    <w:rsid w:val="00B42A04"/>
    <w:rsid w:val="00B44FC1"/>
    <w:rsid w:val="00B56F04"/>
    <w:rsid w:val="00B641D1"/>
    <w:rsid w:val="00B66A7E"/>
    <w:rsid w:val="00B81CF4"/>
    <w:rsid w:val="00B9611C"/>
    <w:rsid w:val="00BA3763"/>
    <w:rsid w:val="00BA5260"/>
    <w:rsid w:val="00BC0478"/>
    <w:rsid w:val="00BD0C42"/>
    <w:rsid w:val="00BD2673"/>
    <w:rsid w:val="00BD48C0"/>
    <w:rsid w:val="00BD6910"/>
    <w:rsid w:val="00BD7A0E"/>
    <w:rsid w:val="00BE205C"/>
    <w:rsid w:val="00BE5D0C"/>
    <w:rsid w:val="00BE682A"/>
    <w:rsid w:val="00BE6E27"/>
    <w:rsid w:val="00BE7597"/>
    <w:rsid w:val="00BF2800"/>
    <w:rsid w:val="00BF4E06"/>
    <w:rsid w:val="00BF61CC"/>
    <w:rsid w:val="00C026B8"/>
    <w:rsid w:val="00C027C2"/>
    <w:rsid w:val="00C0312E"/>
    <w:rsid w:val="00C0346B"/>
    <w:rsid w:val="00C07297"/>
    <w:rsid w:val="00C16CFD"/>
    <w:rsid w:val="00C2154E"/>
    <w:rsid w:val="00C220A2"/>
    <w:rsid w:val="00C22C29"/>
    <w:rsid w:val="00C25AD2"/>
    <w:rsid w:val="00C36311"/>
    <w:rsid w:val="00C42701"/>
    <w:rsid w:val="00C44ACF"/>
    <w:rsid w:val="00C51F71"/>
    <w:rsid w:val="00C70835"/>
    <w:rsid w:val="00C73AFD"/>
    <w:rsid w:val="00C74238"/>
    <w:rsid w:val="00C82E2E"/>
    <w:rsid w:val="00C9077D"/>
    <w:rsid w:val="00CB047C"/>
    <w:rsid w:val="00CB2F8F"/>
    <w:rsid w:val="00CB3CCA"/>
    <w:rsid w:val="00CC0DDF"/>
    <w:rsid w:val="00CC7CCB"/>
    <w:rsid w:val="00CC7F3E"/>
    <w:rsid w:val="00CD3C59"/>
    <w:rsid w:val="00CE3847"/>
    <w:rsid w:val="00CE516B"/>
    <w:rsid w:val="00CF1356"/>
    <w:rsid w:val="00CF4F18"/>
    <w:rsid w:val="00D04D4E"/>
    <w:rsid w:val="00D06BF7"/>
    <w:rsid w:val="00D10665"/>
    <w:rsid w:val="00D22240"/>
    <w:rsid w:val="00D222DA"/>
    <w:rsid w:val="00D25D00"/>
    <w:rsid w:val="00D268FD"/>
    <w:rsid w:val="00D30321"/>
    <w:rsid w:val="00D31268"/>
    <w:rsid w:val="00D328E4"/>
    <w:rsid w:val="00D45528"/>
    <w:rsid w:val="00D464C5"/>
    <w:rsid w:val="00D4782F"/>
    <w:rsid w:val="00D5526A"/>
    <w:rsid w:val="00D6231B"/>
    <w:rsid w:val="00D63B6F"/>
    <w:rsid w:val="00D66D14"/>
    <w:rsid w:val="00D73AF8"/>
    <w:rsid w:val="00D80C12"/>
    <w:rsid w:val="00D82D0A"/>
    <w:rsid w:val="00D85BD5"/>
    <w:rsid w:val="00D918AD"/>
    <w:rsid w:val="00D91A07"/>
    <w:rsid w:val="00DB14BC"/>
    <w:rsid w:val="00DB3D6C"/>
    <w:rsid w:val="00DB6BC9"/>
    <w:rsid w:val="00DC3D74"/>
    <w:rsid w:val="00DC6FE4"/>
    <w:rsid w:val="00DD090D"/>
    <w:rsid w:val="00DD1454"/>
    <w:rsid w:val="00DD1C18"/>
    <w:rsid w:val="00DD22C0"/>
    <w:rsid w:val="00DD3FAF"/>
    <w:rsid w:val="00DD5F45"/>
    <w:rsid w:val="00DE29AF"/>
    <w:rsid w:val="00DE7B2B"/>
    <w:rsid w:val="00DF3749"/>
    <w:rsid w:val="00E00B0D"/>
    <w:rsid w:val="00E022B2"/>
    <w:rsid w:val="00E02DDE"/>
    <w:rsid w:val="00E07483"/>
    <w:rsid w:val="00E145C7"/>
    <w:rsid w:val="00E16D77"/>
    <w:rsid w:val="00E24362"/>
    <w:rsid w:val="00E33002"/>
    <w:rsid w:val="00E40CB0"/>
    <w:rsid w:val="00E41C03"/>
    <w:rsid w:val="00E44868"/>
    <w:rsid w:val="00E45E76"/>
    <w:rsid w:val="00E51D46"/>
    <w:rsid w:val="00E530EC"/>
    <w:rsid w:val="00E541B3"/>
    <w:rsid w:val="00E55773"/>
    <w:rsid w:val="00E60EE0"/>
    <w:rsid w:val="00E62E9B"/>
    <w:rsid w:val="00E73A40"/>
    <w:rsid w:val="00E754E4"/>
    <w:rsid w:val="00E75D48"/>
    <w:rsid w:val="00E903A3"/>
    <w:rsid w:val="00E9277F"/>
    <w:rsid w:val="00E93EC8"/>
    <w:rsid w:val="00E94205"/>
    <w:rsid w:val="00EB240E"/>
    <w:rsid w:val="00EB73D1"/>
    <w:rsid w:val="00EC27A8"/>
    <w:rsid w:val="00ED224D"/>
    <w:rsid w:val="00ED52E9"/>
    <w:rsid w:val="00ED600A"/>
    <w:rsid w:val="00EF0FA4"/>
    <w:rsid w:val="00F10386"/>
    <w:rsid w:val="00F13A42"/>
    <w:rsid w:val="00F2205C"/>
    <w:rsid w:val="00F2522A"/>
    <w:rsid w:val="00F30F1F"/>
    <w:rsid w:val="00F32726"/>
    <w:rsid w:val="00F46C17"/>
    <w:rsid w:val="00F5182D"/>
    <w:rsid w:val="00F52BC8"/>
    <w:rsid w:val="00F52CEE"/>
    <w:rsid w:val="00F56B00"/>
    <w:rsid w:val="00F604D5"/>
    <w:rsid w:val="00F635C0"/>
    <w:rsid w:val="00F677DE"/>
    <w:rsid w:val="00F70C56"/>
    <w:rsid w:val="00F80CE8"/>
    <w:rsid w:val="00F87801"/>
    <w:rsid w:val="00F902D6"/>
    <w:rsid w:val="00F92E0C"/>
    <w:rsid w:val="00F94E55"/>
    <w:rsid w:val="00FA42F8"/>
    <w:rsid w:val="00FA55B7"/>
    <w:rsid w:val="00FA755B"/>
    <w:rsid w:val="00FB1250"/>
    <w:rsid w:val="00FB37B4"/>
    <w:rsid w:val="00FB590C"/>
    <w:rsid w:val="00FB7D19"/>
    <w:rsid w:val="00FD1A07"/>
    <w:rsid w:val="00FD2DC4"/>
    <w:rsid w:val="00FD651D"/>
    <w:rsid w:val="00FE4739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9EECD"/>
  <w15:docId w15:val="{DF9D4AD2-FC14-48C0-87C5-E65D290C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9" w:qFormat="1"/>
    <w:lsdException w:name="Emphasis" w:locked="0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next w:val="BodyText"/>
    <w:uiPriority w:val="99"/>
    <w:unhideWhenUsed/>
    <w:qFormat/>
    <w:rsid w:val="00BD7A0E"/>
    <w:pPr>
      <w:spacing w:after="12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spacing w:after="120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numPr>
        <w:numId w:val="13"/>
      </w:numPr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11044"/>
    <w:pPr>
      <w:spacing w:line="240" w:lineRule="auto"/>
    </w:pPr>
    <w:rPr>
      <w:szCs w:val="20"/>
    </w:r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9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0C079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079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0C07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1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lJRg4SzmEU8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zure.microsof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S\Notebooks\Practical_ADS\ApressTemplate_v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288D-006B-46BA-887A-EEFBAAD9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ApressTemplate_v39.dotx</Template>
  <TotalTime>1754</TotalTime>
  <Pages>15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jmiller</dc:creator>
  <cp:lastModifiedBy>jmiller</cp:lastModifiedBy>
  <cp:revision>139</cp:revision>
  <cp:lastPrinted>2015-01-01T21:40:00Z</cp:lastPrinted>
  <dcterms:created xsi:type="dcterms:W3CDTF">2020-02-29T19:38:00Z</dcterms:created>
  <dcterms:modified xsi:type="dcterms:W3CDTF">2020-03-17T21:09:00Z</dcterms:modified>
</cp:coreProperties>
</file>