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03968569" w:rsidR="0010194B" w:rsidRPr="001D5BF9" w:rsidRDefault="009A01A6" w:rsidP="0010194B">
            <w:pPr>
              <w:spacing w:before="120" w:after="120"/>
              <w:rPr>
                <w:rFonts w:ascii="Arial" w:hAnsi="Arial" w:cs="Arial"/>
              </w:rPr>
            </w:pPr>
            <w:r>
              <w:rPr>
                <w:rFonts w:ascii="Arial" w:hAnsi="Arial" w:cs="Arial"/>
              </w:rPr>
              <w:t>Tuesdays 10:00-11:30</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6A00D5" w:rsidRPr="00A77C43" w14:paraId="3DE1A6F1" w14:textId="77777777" w:rsidTr="00650BF0">
        <w:trPr>
          <w:trHeight w:val="313"/>
        </w:trPr>
        <w:tc>
          <w:tcPr>
            <w:tcW w:w="5589" w:type="dxa"/>
          </w:tcPr>
          <w:p w14:paraId="03788E2E" w14:textId="13995E56" w:rsidR="006A00D5" w:rsidRPr="00E9750D" w:rsidRDefault="006A00D5" w:rsidP="00650BF0">
            <w:pPr>
              <w:rPr>
                <w:rFonts w:ascii="Arial" w:hAnsi="Arial" w:cs="Arial"/>
              </w:rPr>
            </w:pPr>
            <w:r>
              <w:rPr>
                <w:rFonts w:ascii="Arial" w:hAnsi="Arial" w:cs="Arial"/>
              </w:rPr>
              <w:t>Course pre-survey</w:t>
            </w:r>
          </w:p>
        </w:tc>
        <w:tc>
          <w:tcPr>
            <w:tcW w:w="1124" w:type="dxa"/>
          </w:tcPr>
          <w:p w14:paraId="42F334C8" w14:textId="7DC4C974" w:rsidR="006A00D5" w:rsidRPr="00E9750D" w:rsidRDefault="006A00D5" w:rsidP="00650BF0">
            <w:pPr>
              <w:jc w:val="center"/>
              <w:rPr>
                <w:rFonts w:ascii="Arial" w:hAnsi="Arial" w:cs="Arial"/>
              </w:rPr>
            </w:pPr>
            <w:r>
              <w:rPr>
                <w:rFonts w:ascii="Arial" w:hAnsi="Arial" w:cs="Arial"/>
              </w:rPr>
              <w:t>4</w:t>
            </w:r>
          </w:p>
        </w:tc>
        <w:tc>
          <w:tcPr>
            <w:tcW w:w="1759" w:type="dxa"/>
          </w:tcPr>
          <w:p w14:paraId="073CADBC" w14:textId="1426F6AF" w:rsidR="006A00D5" w:rsidRPr="00E9750D" w:rsidRDefault="006A00D5" w:rsidP="00650BF0">
            <w:pPr>
              <w:rPr>
                <w:rFonts w:ascii="Arial" w:hAnsi="Arial" w:cs="Arial"/>
              </w:rPr>
            </w:pPr>
            <w:r>
              <w:rPr>
                <w:rFonts w:ascii="Arial" w:hAnsi="Arial" w:cs="Arial"/>
              </w:rPr>
              <w:t>3/31 5:00 pm</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47C4B4E" w:rsidR="0010194B" w:rsidRPr="00E9750D" w:rsidRDefault="0010194B" w:rsidP="00650BF0">
            <w:pPr>
              <w:rPr>
                <w:rFonts w:ascii="Arial" w:hAnsi="Arial" w:cs="Arial"/>
              </w:rPr>
            </w:pPr>
            <w:r w:rsidRPr="00E9750D">
              <w:rPr>
                <w:rFonts w:ascii="Arial" w:hAnsi="Arial" w:cs="Arial"/>
              </w:rPr>
              <w:t xml:space="preserve">Terms &amp; Definitions log – at least </w:t>
            </w:r>
            <w:r w:rsidR="00310D40">
              <w:rPr>
                <w:rFonts w:ascii="Arial" w:hAnsi="Arial" w:cs="Arial"/>
              </w:rPr>
              <w:t>4</w:t>
            </w:r>
            <w:r w:rsidRPr="00E9750D">
              <w:rPr>
                <w:rFonts w:ascii="Arial" w:hAnsi="Arial" w:cs="Arial"/>
              </w:rPr>
              <w:t>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1FA15DF0" w:rsidR="0010194B" w:rsidRPr="00E9750D" w:rsidRDefault="006A00D5" w:rsidP="00650BF0">
            <w:pPr>
              <w:rPr>
                <w:rFonts w:ascii="Arial" w:hAnsi="Arial" w:cs="Arial"/>
              </w:rPr>
            </w:pPr>
            <w:r>
              <w:rPr>
                <w:rFonts w:ascii="Arial" w:hAnsi="Arial" w:cs="Arial"/>
              </w:rPr>
              <w:t>Course post-survey</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4BD064D6" w:rsidR="0010194B" w:rsidRPr="00E9750D" w:rsidRDefault="0010194B" w:rsidP="00650BF0">
            <w:pPr>
              <w:rPr>
                <w:rFonts w:ascii="Arial" w:hAnsi="Arial" w:cs="Arial"/>
              </w:rPr>
            </w:pPr>
            <w:r w:rsidRPr="00E9750D">
              <w:rPr>
                <w:rFonts w:ascii="Arial" w:hAnsi="Arial" w:cs="Arial"/>
              </w:rPr>
              <w:t xml:space="preserve">Quizzes </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65CE34A0" w:rsidR="00C065E2" w:rsidRDefault="00C065E2" w:rsidP="00466734">
      <w:pPr>
        <w:pStyle w:val="Header"/>
        <w:rPr>
          <w:rFonts w:cs="Arial"/>
          <w:bCs/>
        </w:rPr>
      </w:pPr>
      <w:r>
        <w:rPr>
          <w:rFonts w:cs="Arial"/>
          <w:b/>
        </w:rPr>
        <w:t xml:space="preserve">UO COVID-19 REGULATIONS &amp; PREVENTION </w:t>
      </w:r>
    </w:p>
    <w:p w14:paraId="6775F05A" w14:textId="4CF9832E"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4200A0FA" w14:textId="3F0E28FE" w:rsidR="00466734" w:rsidRDefault="00466734" w:rsidP="00466734">
      <w:pPr>
        <w:pStyle w:val="Header"/>
        <w:rPr>
          <w:rFonts w:cs="Arial"/>
          <w:bCs/>
        </w:rPr>
      </w:pPr>
    </w:p>
    <w:p w14:paraId="0B50568D" w14:textId="32C5C168" w:rsidR="00166894" w:rsidRPr="00166894" w:rsidRDefault="00166894" w:rsidP="00166894">
      <w:pPr>
        <w:pStyle w:val="Header"/>
        <w:rPr>
          <w:rFonts w:cs="Arial"/>
          <w:b/>
        </w:rPr>
      </w:pPr>
      <w:r w:rsidRPr="00166894">
        <w:rPr>
          <w:rFonts w:cs="Arial"/>
          <w:b/>
        </w:rPr>
        <w:lastRenderedPageBreak/>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06D47709" w:rsidR="00166894" w:rsidRDefault="00166894" w:rsidP="00166894">
      <w:pPr>
        <w:pStyle w:val="Header"/>
        <w:rPr>
          <w:rFonts w:cs="Arial"/>
          <w:bCs/>
        </w:rPr>
      </w:pPr>
      <w:r w:rsidRPr="00166894">
        <w:rPr>
          <w:rFonts w:cs="Arial"/>
          <w:bCs/>
        </w:rPr>
        <w:t>regarding COVID (</w:t>
      </w:r>
      <w:hyperlink r:id="rId8" w:history="1">
        <w:r w:rsidRPr="00090A85">
          <w:rPr>
            <w:rStyle w:val="Hyperlink"/>
            <w:rFonts w:cs="Arial"/>
            <w:bCs/>
          </w:rPr>
          <w:t>https://coronavirus.uoregon.edu/covid-19-regulations</w:t>
        </w:r>
      </w:hyperlink>
      <w:r>
        <w:rPr>
          <w:rFonts w:cs="Arial"/>
          <w:bCs/>
        </w:rPr>
        <w:t>).</w:t>
      </w:r>
    </w:p>
    <w:p w14:paraId="1FE744FA" w14:textId="064DE0D9" w:rsidR="00B16E96" w:rsidRDefault="00B16E96" w:rsidP="00166894">
      <w:pPr>
        <w:pStyle w:val="Header"/>
        <w:rPr>
          <w:rFonts w:cs="Arial"/>
          <w:bCs/>
        </w:rPr>
      </w:pPr>
    </w:p>
    <w:p w14:paraId="74B796E2" w14:textId="59D752C4" w:rsidR="00B16E96" w:rsidRDefault="00B16E96" w:rsidP="00166894">
      <w:pPr>
        <w:pStyle w:val="Header"/>
        <w:rPr>
          <w:rFonts w:cs="Arial"/>
          <w:b/>
        </w:rPr>
      </w:pPr>
      <w:r>
        <w:rPr>
          <w:rFonts w:cs="Arial"/>
          <w:b/>
        </w:rPr>
        <w:t>UPDATED FACE COVERING POLICIES AND HEALTH MANAGEMENT PROCEDURES</w:t>
      </w:r>
    </w:p>
    <w:p w14:paraId="7DF34A54" w14:textId="77777777" w:rsidR="00EA500F" w:rsidRDefault="00EA500F" w:rsidP="00166894">
      <w:pPr>
        <w:pStyle w:val="Header"/>
        <w:rPr>
          <w:rFonts w:cs="Arial"/>
          <w:bCs/>
        </w:rPr>
      </w:pPr>
      <w:r>
        <w:rPr>
          <w:rFonts w:cs="Arial"/>
          <w:bCs/>
        </w:rPr>
        <w:t xml:space="preserve">Starting March 19, 2022, face coverings are optional indoors unless otherwise required by, such as in </w:t>
      </w:r>
      <w:hyperlink r:id="rId9" w:anchor="masks-required" w:history="1">
        <w:r w:rsidRPr="00EA500F">
          <w:rPr>
            <w:rStyle w:val="Hyperlink"/>
            <w:rFonts w:cs="Arial"/>
            <w:bCs/>
          </w:rPr>
          <w:t>health care settings</w:t>
        </w:r>
      </w:hyperlink>
      <w:r>
        <w:rPr>
          <w:rFonts w:cs="Arial"/>
          <w:bCs/>
        </w:rPr>
        <w:t>.</w:t>
      </w:r>
    </w:p>
    <w:p w14:paraId="746AFE87" w14:textId="77777777" w:rsidR="00EA500F" w:rsidRDefault="00EA500F" w:rsidP="00166894">
      <w:pPr>
        <w:pStyle w:val="Header"/>
        <w:rPr>
          <w:rFonts w:cs="Arial"/>
          <w:bCs/>
        </w:rPr>
      </w:pPr>
    </w:p>
    <w:p w14:paraId="14552F26" w14:textId="77777777" w:rsidR="00EA500F" w:rsidRDefault="00EA500F" w:rsidP="00166894">
      <w:pPr>
        <w:pStyle w:val="Header"/>
        <w:rPr>
          <w:rFonts w:cs="Arial"/>
          <w:b/>
        </w:rPr>
      </w:pPr>
      <w:r>
        <w:rPr>
          <w:rFonts w:cs="Arial"/>
          <w:b/>
        </w:rPr>
        <w:t>STAYING SAFE IN CLASS</w:t>
      </w:r>
    </w:p>
    <w:p w14:paraId="4678AB13" w14:textId="77777777" w:rsidR="00EA500F" w:rsidRDefault="00EA500F" w:rsidP="00166894">
      <w:pPr>
        <w:pStyle w:val="Header"/>
        <w:rPr>
          <w:rFonts w:cs="Arial"/>
          <w:bCs/>
        </w:rPr>
      </w:pPr>
      <w:r>
        <w:rPr>
          <w:rFonts w:cs="Arial"/>
          <w:bCs/>
        </w:rPr>
        <w:t>As the University of Oregon continues in-person instruction, instructors and students play a key role in keeping our community healthy and safe.</w:t>
      </w:r>
    </w:p>
    <w:p w14:paraId="4565AAC3" w14:textId="77777777" w:rsidR="00EA500F" w:rsidRDefault="00EA500F" w:rsidP="00166894">
      <w:pPr>
        <w:pStyle w:val="Header"/>
        <w:rPr>
          <w:rFonts w:cs="Arial"/>
          <w:bCs/>
        </w:rPr>
      </w:pPr>
    </w:p>
    <w:p w14:paraId="1F8BCD1E" w14:textId="77777777" w:rsidR="00EA500F" w:rsidRDefault="00EA500F" w:rsidP="00166894">
      <w:pPr>
        <w:pStyle w:val="Header"/>
        <w:rPr>
          <w:rFonts w:cs="Arial"/>
          <w:bCs/>
        </w:rPr>
      </w:pPr>
      <w:r>
        <w:rPr>
          <w:rFonts w:cs="Arial"/>
          <w:b/>
        </w:rPr>
        <w:t>PREVENTION:</w:t>
      </w:r>
      <w:r>
        <w:rPr>
          <w:rFonts w:cs="Arial"/>
          <w:bCs/>
        </w:rPr>
        <w:t xml:space="preserve"> To prevent or reduce the spread of COVID-19 in classrooms and on campus, all students and employees must:</w:t>
      </w:r>
    </w:p>
    <w:p w14:paraId="348F019F" w14:textId="0E29FC9F" w:rsidR="00B16E96" w:rsidRDefault="00EA500F" w:rsidP="00EA500F">
      <w:pPr>
        <w:pStyle w:val="Header"/>
        <w:numPr>
          <w:ilvl w:val="0"/>
          <w:numId w:val="4"/>
        </w:numPr>
        <w:rPr>
          <w:rFonts w:cs="Arial"/>
          <w:bCs/>
        </w:rPr>
      </w:pPr>
      <w:r>
        <w:rPr>
          <w:rFonts w:cs="Arial"/>
          <w:bCs/>
        </w:rPr>
        <w:t xml:space="preserve">Comply with </w:t>
      </w:r>
      <w:hyperlink r:id="rId10" w:history="1">
        <w:r w:rsidRPr="00246B90">
          <w:rPr>
            <w:rStyle w:val="Hyperlink"/>
            <w:rFonts w:cs="Arial"/>
            <w:bCs/>
          </w:rPr>
          <w:t>vaccination policy</w:t>
        </w:r>
      </w:hyperlink>
      <w:r>
        <w:rPr>
          <w:rFonts w:cs="Arial"/>
          <w:bCs/>
        </w:rPr>
        <w:t xml:space="preserve"> </w:t>
      </w:r>
    </w:p>
    <w:p w14:paraId="65D62F16" w14:textId="1868A561" w:rsidR="00EA500F" w:rsidRDefault="00246B90" w:rsidP="00EA500F">
      <w:pPr>
        <w:pStyle w:val="Header"/>
        <w:numPr>
          <w:ilvl w:val="0"/>
          <w:numId w:val="4"/>
        </w:numPr>
        <w:rPr>
          <w:rFonts w:cs="Arial"/>
          <w:bCs/>
        </w:rPr>
      </w:pPr>
      <w:hyperlink r:id="rId11" w:anchor="healthy-hand-washing" w:history="1">
        <w:r w:rsidR="00EA500F" w:rsidRPr="00246B90">
          <w:rPr>
            <w:rStyle w:val="Hyperlink"/>
            <w:rFonts w:cs="Arial"/>
            <w:bCs/>
          </w:rPr>
          <w:t>Wash hands</w:t>
        </w:r>
      </w:hyperlink>
      <w:r w:rsidR="00EA500F">
        <w:rPr>
          <w:rFonts w:cs="Arial"/>
          <w:bCs/>
        </w:rPr>
        <w:t xml:space="preserve"> frequently </w:t>
      </w:r>
    </w:p>
    <w:p w14:paraId="12EA4300" w14:textId="31FD88B9" w:rsidR="00EA500F" w:rsidRDefault="00EA500F" w:rsidP="00EA500F">
      <w:pPr>
        <w:pStyle w:val="Header"/>
        <w:numPr>
          <w:ilvl w:val="0"/>
          <w:numId w:val="4"/>
        </w:numPr>
        <w:rPr>
          <w:rFonts w:cs="Arial"/>
          <w:bCs/>
        </w:rPr>
      </w:pPr>
      <w:r>
        <w:rPr>
          <w:rFonts w:cs="Arial"/>
          <w:bCs/>
        </w:rPr>
        <w:t xml:space="preserve">Complete daily </w:t>
      </w:r>
      <w:hyperlink r:id="rId12" w:anchor="health-checks" w:history="1">
        <w:r w:rsidRPr="00246B90">
          <w:rPr>
            <w:rStyle w:val="Hyperlink"/>
            <w:rFonts w:cs="Arial"/>
            <w:bCs/>
          </w:rPr>
          <w:t>self-checks</w:t>
        </w:r>
      </w:hyperlink>
      <w:r>
        <w:rPr>
          <w:rFonts w:cs="Arial"/>
          <w:bCs/>
        </w:rPr>
        <w:t xml:space="preserve"> </w:t>
      </w:r>
    </w:p>
    <w:p w14:paraId="417EEAD7" w14:textId="6C768E64" w:rsidR="00EA500F" w:rsidRDefault="00EA500F" w:rsidP="00EA500F">
      <w:pPr>
        <w:pStyle w:val="Header"/>
        <w:numPr>
          <w:ilvl w:val="0"/>
          <w:numId w:val="4"/>
        </w:numPr>
        <w:rPr>
          <w:rFonts w:cs="Arial"/>
          <w:bCs/>
        </w:rPr>
      </w:pPr>
      <w:r>
        <w:rPr>
          <w:rFonts w:cs="Arial"/>
          <w:bCs/>
        </w:rPr>
        <w:t xml:space="preserve">Students should obtain wipes available outside of classrooms before they enter class and use them to wipe down the table and seat they will use </w:t>
      </w:r>
    </w:p>
    <w:p w14:paraId="1B417E4D" w14:textId="6E15DD7B" w:rsidR="00EA500F" w:rsidRDefault="00EA500F" w:rsidP="00EA500F">
      <w:pPr>
        <w:pStyle w:val="Header"/>
        <w:numPr>
          <w:ilvl w:val="0"/>
          <w:numId w:val="4"/>
        </w:numPr>
        <w:rPr>
          <w:rFonts w:cs="Arial"/>
          <w:bCs/>
        </w:rPr>
      </w:pPr>
      <w:r>
        <w:rPr>
          <w:rFonts w:cs="Arial"/>
          <w:bCs/>
        </w:rPr>
        <w:t xml:space="preserve">Stay home/do not come to campus if feeling </w:t>
      </w:r>
      <w:hyperlink r:id="rId13" w:anchor="if-sick-stay-home" w:history="1">
        <w:r w:rsidRPr="00246B90">
          <w:rPr>
            <w:rStyle w:val="Hyperlink"/>
            <w:rFonts w:cs="Arial"/>
            <w:bCs/>
          </w:rPr>
          <w:t>symptomatic</w:t>
        </w:r>
      </w:hyperlink>
      <w:r>
        <w:rPr>
          <w:rFonts w:cs="Arial"/>
          <w:bCs/>
        </w:rPr>
        <w:t xml:space="preserve"> </w:t>
      </w:r>
    </w:p>
    <w:p w14:paraId="15CDC80F" w14:textId="6ACDEDBB" w:rsidR="00EA500F" w:rsidRDefault="00EA500F" w:rsidP="00EA500F">
      <w:pPr>
        <w:pStyle w:val="Header"/>
        <w:numPr>
          <w:ilvl w:val="0"/>
          <w:numId w:val="4"/>
        </w:numPr>
        <w:rPr>
          <w:rFonts w:cs="Arial"/>
          <w:bCs/>
        </w:rPr>
      </w:pPr>
      <w:r>
        <w:rPr>
          <w:rFonts w:cs="Arial"/>
          <w:bCs/>
        </w:rPr>
        <w:t xml:space="preserve">Individuals with no symptoms </w:t>
      </w:r>
      <w:r w:rsidR="003A529A">
        <w:rPr>
          <w:rFonts w:cs="Arial"/>
          <w:bCs/>
        </w:rPr>
        <w:t>or mild symptoms can get tested at McArthur Court through UO’s Monitoring and Assessment Program. Masks are required at COVID-19 testing sites including in line outside</w:t>
      </w:r>
    </w:p>
    <w:p w14:paraId="7926019C" w14:textId="600B6204" w:rsidR="003A529A" w:rsidRDefault="003A529A" w:rsidP="00EA500F">
      <w:pPr>
        <w:pStyle w:val="Header"/>
        <w:numPr>
          <w:ilvl w:val="0"/>
          <w:numId w:val="4"/>
        </w:numPr>
        <w:rPr>
          <w:rFonts w:cs="Arial"/>
          <w:bCs/>
        </w:rPr>
      </w:pPr>
      <w:r>
        <w:rPr>
          <w:rFonts w:cs="Arial"/>
          <w:bCs/>
        </w:rPr>
        <w:t xml:space="preserve">Visit the </w:t>
      </w:r>
      <w:hyperlink r:id="rId14" w:history="1">
        <w:r w:rsidRPr="00246B90">
          <w:rPr>
            <w:rStyle w:val="Hyperlink"/>
            <w:rFonts w:cs="Arial"/>
            <w:bCs/>
          </w:rPr>
          <w:t>Exposure Scenario</w:t>
        </w:r>
      </w:hyperlink>
      <w:r>
        <w:rPr>
          <w:rFonts w:cs="Arial"/>
          <w:bCs/>
        </w:rPr>
        <w:t xml:space="preserve"> page for information on reporting cases. </w:t>
      </w:r>
    </w:p>
    <w:p w14:paraId="7551AE43" w14:textId="599733F4" w:rsidR="003A529A" w:rsidRDefault="003A529A" w:rsidP="003A529A">
      <w:pPr>
        <w:pStyle w:val="Header"/>
        <w:rPr>
          <w:rFonts w:cs="Arial"/>
          <w:bCs/>
        </w:rPr>
      </w:pPr>
    </w:p>
    <w:p w14:paraId="18B0FBF9" w14:textId="2AFE4B4B" w:rsidR="003A529A" w:rsidRDefault="003A529A" w:rsidP="003A529A">
      <w:pPr>
        <w:pStyle w:val="Header"/>
        <w:rPr>
          <w:rFonts w:cs="Arial"/>
          <w:bCs/>
        </w:rPr>
      </w:pPr>
      <w:r>
        <w:rPr>
          <w:rFonts w:cs="Arial"/>
          <w:b/>
        </w:rPr>
        <w:t xml:space="preserve">SUPPORT: </w:t>
      </w:r>
      <w:r>
        <w:rPr>
          <w:rFonts w:cs="Arial"/>
          <w:bCs/>
        </w:rPr>
        <w:t>The following resources are available to you as a student:</w:t>
      </w:r>
    </w:p>
    <w:p w14:paraId="393BEB83" w14:textId="4E26D541" w:rsidR="003A529A" w:rsidRDefault="00246B90" w:rsidP="003A529A">
      <w:pPr>
        <w:pStyle w:val="Header"/>
        <w:numPr>
          <w:ilvl w:val="0"/>
          <w:numId w:val="15"/>
        </w:numPr>
        <w:rPr>
          <w:rFonts w:cs="Arial"/>
          <w:bCs/>
        </w:rPr>
      </w:pPr>
      <w:hyperlink r:id="rId15" w:history="1">
        <w:r w:rsidR="003A529A" w:rsidRPr="00246B90">
          <w:rPr>
            <w:rStyle w:val="Hyperlink"/>
            <w:rFonts w:cs="Arial"/>
            <w:bCs/>
          </w:rPr>
          <w:t>University Health Services</w:t>
        </w:r>
      </w:hyperlink>
      <w:r w:rsidR="003A529A">
        <w:rPr>
          <w:rFonts w:cs="Arial"/>
          <w:bCs/>
        </w:rPr>
        <w:t xml:space="preserve"> or call (541) 346-2770</w:t>
      </w:r>
    </w:p>
    <w:p w14:paraId="1BECD314" w14:textId="1DA3E25C" w:rsidR="003A529A" w:rsidRDefault="00246B90" w:rsidP="003A529A">
      <w:pPr>
        <w:pStyle w:val="Header"/>
        <w:numPr>
          <w:ilvl w:val="0"/>
          <w:numId w:val="15"/>
        </w:numPr>
        <w:rPr>
          <w:rFonts w:cs="Arial"/>
          <w:bCs/>
        </w:rPr>
      </w:pPr>
      <w:hyperlink r:id="rId16" w:history="1">
        <w:r w:rsidR="003A529A" w:rsidRPr="00246B90">
          <w:rPr>
            <w:rStyle w:val="Hyperlink"/>
            <w:rFonts w:cs="Arial"/>
            <w:bCs/>
          </w:rPr>
          <w:t>University Counseling Center</w:t>
        </w:r>
      </w:hyperlink>
      <w:r w:rsidR="003A529A">
        <w:rPr>
          <w:rFonts w:cs="Arial"/>
          <w:bCs/>
        </w:rPr>
        <w:t xml:space="preserve"> or call (541) 346-3277 or (541) 346-3227 (after hrs.)</w:t>
      </w:r>
    </w:p>
    <w:p w14:paraId="17DEE30B" w14:textId="20B39E87" w:rsidR="003A529A" w:rsidRDefault="00631D0E" w:rsidP="003A529A">
      <w:pPr>
        <w:pStyle w:val="Header"/>
        <w:numPr>
          <w:ilvl w:val="0"/>
          <w:numId w:val="15"/>
        </w:numPr>
        <w:rPr>
          <w:rFonts w:cs="Arial"/>
          <w:bCs/>
        </w:rPr>
      </w:pPr>
      <w:hyperlink r:id="rId17" w:anchor="students" w:history="1">
        <w:r w:rsidR="003A529A" w:rsidRPr="00631D0E">
          <w:rPr>
            <w:rStyle w:val="Hyperlink"/>
            <w:rFonts w:cs="Arial"/>
            <w:bCs/>
          </w:rPr>
          <w:t>MAP Covid-19 Testing</w:t>
        </w:r>
      </w:hyperlink>
      <w:r w:rsidR="003A529A">
        <w:rPr>
          <w:rFonts w:cs="Arial"/>
          <w:bCs/>
        </w:rPr>
        <w:t xml:space="preserve"> </w:t>
      </w:r>
    </w:p>
    <w:p w14:paraId="46999D28" w14:textId="7D443FEF" w:rsidR="003A529A" w:rsidRDefault="00631D0E" w:rsidP="003A529A">
      <w:pPr>
        <w:pStyle w:val="Header"/>
        <w:numPr>
          <w:ilvl w:val="0"/>
          <w:numId w:val="15"/>
        </w:numPr>
        <w:rPr>
          <w:rFonts w:cs="Arial"/>
          <w:bCs/>
        </w:rPr>
      </w:pPr>
      <w:hyperlink r:id="rId18" w:history="1">
        <w:r w:rsidR="003A529A" w:rsidRPr="00631D0E">
          <w:rPr>
            <w:rStyle w:val="Hyperlink"/>
            <w:rFonts w:cs="Arial"/>
            <w:bCs/>
          </w:rPr>
          <w:t>Corona Corps</w:t>
        </w:r>
      </w:hyperlink>
      <w:r w:rsidR="003A529A">
        <w:rPr>
          <w:rFonts w:cs="Arial"/>
          <w:bCs/>
        </w:rPr>
        <w:t xml:space="preserve"> or call (541) 346-3211</w:t>
      </w:r>
    </w:p>
    <w:p w14:paraId="528EC01D" w14:textId="3D80E27C" w:rsidR="003A529A" w:rsidRPr="003A529A" w:rsidRDefault="00631D0E" w:rsidP="003A529A">
      <w:pPr>
        <w:pStyle w:val="Header"/>
        <w:numPr>
          <w:ilvl w:val="0"/>
          <w:numId w:val="15"/>
        </w:numPr>
        <w:rPr>
          <w:rFonts w:cs="Arial"/>
          <w:bCs/>
        </w:rPr>
      </w:pPr>
      <w:r>
        <w:rPr>
          <w:rFonts w:cs="Arial"/>
          <w:bCs/>
        </w:rPr>
        <w:fldChar w:fldCharType="begin"/>
      </w:r>
      <w:r>
        <w:rPr>
          <w:rFonts w:cs="Arial"/>
          <w:bCs/>
        </w:rPr>
        <w:instrText xml:space="preserve"> HYPERLINK "https://dos.uoregon.edu/" </w:instrText>
      </w:r>
      <w:r>
        <w:rPr>
          <w:rFonts w:cs="Arial"/>
          <w:bCs/>
        </w:rPr>
      </w:r>
      <w:r>
        <w:rPr>
          <w:rFonts w:cs="Arial"/>
          <w:bCs/>
        </w:rPr>
        <w:fldChar w:fldCharType="separate"/>
      </w:r>
      <w:r w:rsidR="003A529A" w:rsidRPr="00631D0E">
        <w:rPr>
          <w:rStyle w:val="Hyperlink"/>
          <w:rFonts w:cs="Arial"/>
          <w:bCs/>
        </w:rPr>
        <w:t>Dean of Students</w:t>
      </w:r>
      <w:r>
        <w:rPr>
          <w:rFonts w:cs="Arial"/>
          <w:bCs/>
        </w:rPr>
        <w:fldChar w:fldCharType="end"/>
      </w:r>
      <w:r w:rsidR="003A529A">
        <w:rPr>
          <w:rFonts w:cs="Arial"/>
          <w:bCs/>
        </w:rPr>
        <w:t xml:space="preserve"> or call (541) 346-3216</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926AD3" w:rsidRDefault="00166894" w:rsidP="00166894">
      <w:pPr>
        <w:pStyle w:val="Header"/>
        <w:rPr>
          <w:rFonts w:cs="Arial"/>
        </w:rPr>
      </w:pPr>
      <w:r w:rsidRPr="00926AD3">
        <w:rPr>
          <w:rFonts w:cs="Arial"/>
        </w:rPr>
        <w:t>All lectures will be recorded via Zoom and uploaded directly to the course Canvas site. If</w:t>
      </w:r>
    </w:p>
    <w:p w14:paraId="2ED5DA97" w14:textId="77777777" w:rsidR="00166894" w:rsidRPr="00926AD3" w:rsidRDefault="00166894" w:rsidP="00166894">
      <w:pPr>
        <w:pStyle w:val="Header"/>
        <w:rPr>
          <w:rFonts w:cs="Arial"/>
        </w:rPr>
      </w:pPr>
      <w:r w:rsidRPr="00926AD3">
        <w:rPr>
          <w:rFonts w:cs="Arial"/>
        </w:rPr>
        <w:t>students need to be absent for 2 classes or less due to a COVID related quarantine or illness,</w:t>
      </w:r>
    </w:p>
    <w:p w14:paraId="5D2F9D1C" w14:textId="77777777" w:rsidR="00166894" w:rsidRPr="00926AD3" w:rsidRDefault="00166894" w:rsidP="00166894">
      <w:pPr>
        <w:pStyle w:val="Header"/>
        <w:rPr>
          <w:rFonts w:cs="Arial"/>
        </w:rPr>
      </w:pPr>
      <w:r w:rsidRPr="00926AD3">
        <w:rPr>
          <w:rFonts w:cs="Arial"/>
        </w:rPr>
        <w:t>please make sure to access the recorded lectures. You may set up an appointment to meet</w:t>
      </w:r>
    </w:p>
    <w:p w14:paraId="06AB153D" w14:textId="77777777" w:rsidR="00166894" w:rsidRPr="00926AD3" w:rsidRDefault="00166894" w:rsidP="00166894">
      <w:pPr>
        <w:pStyle w:val="Header"/>
        <w:rPr>
          <w:rFonts w:cs="Arial"/>
        </w:rPr>
      </w:pPr>
      <w:r w:rsidRPr="00926AD3">
        <w:rPr>
          <w:rFonts w:cs="Arial"/>
        </w:rPr>
        <w:t>with me to also go over all material missed. If students need to be absent due to a COVID</w:t>
      </w:r>
    </w:p>
    <w:p w14:paraId="6C5A855F" w14:textId="77777777" w:rsidR="00166894" w:rsidRPr="00926AD3" w:rsidRDefault="00166894" w:rsidP="00166894">
      <w:pPr>
        <w:pStyle w:val="Header"/>
        <w:rPr>
          <w:rFonts w:cs="Arial"/>
        </w:rPr>
      </w:pPr>
      <w:r w:rsidRPr="00926AD3">
        <w:rPr>
          <w:rFonts w:cs="Arial"/>
        </w:rPr>
        <w:t>related quarantine or illness for 3 class sessions or more, please set up an appointment to</w:t>
      </w:r>
    </w:p>
    <w:p w14:paraId="67BB80E6" w14:textId="77777777" w:rsidR="00166894" w:rsidRPr="00926AD3" w:rsidRDefault="00166894" w:rsidP="00166894">
      <w:pPr>
        <w:pStyle w:val="Header"/>
        <w:rPr>
          <w:rFonts w:cs="Arial"/>
        </w:rPr>
      </w:pPr>
      <w:r w:rsidRPr="00926AD3">
        <w:rPr>
          <w:rFonts w:cs="Arial"/>
        </w:rPr>
        <w:lastRenderedPageBreak/>
        <w:t>meet with me to discuss an individualized plan. Depending on student need, assignment and</w:t>
      </w:r>
    </w:p>
    <w:p w14:paraId="1F4CED45" w14:textId="7ECDC779" w:rsidR="00166894" w:rsidRDefault="00166894" w:rsidP="00166894">
      <w:pPr>
        <w:pStyle w:val="Header"/>
        <w:rPr>
          <w:rFonts w:cs="Arial"/>
        </w:rPr>
      </w:pPr>
      <w:r w:rsidRPr="00926AD3">
        <w:rPr>
          <w:rFonts w:cs="Arial"/>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19"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 xml:space="preserve">This course is graded as Pass/No-Pass.  Grading procedures are detailed in this syllabus.  Please contact me immediately with any questions or concerns.  For most of you, this is your </w:t>
      </w:r>
      <w:r>
        <w:rPr>
          <w:rFonts w:ascii="Arial" w:hAnsi="Arial" w:cs="Arial"/>
        </w:rPr>
        <w:lastRenderedPageBreak/>
        <w:t>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20"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works with students to provide an instructor notification letter that outlines accommodations and adjustments to class design 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001027" w:rsidP="00D3609F">
      <w:pPr>
        <w:rPr>
          <w:rFonts w:ascii="Arial" w:hAnsi="Arial" w:cs="Arial"/>
          <w:bCs/>
          <w:color w:val="000000"/>
          <w:u w:val="single"/>
          <w:shd w:val="clear" w:color="auto" w:fill="FFFFFF"/>
        </w:rPr>
      </w:pPr>
      <w:hyperlink r:id="rId21"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lastRenderedPageBreak/>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22"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23"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24"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25"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6"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7"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8"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29"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30"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31"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32"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33"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34"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35"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w:t>
      </w:r>
      <w:r w:rsidRPr="00954CCD">
        <w:rPr>
          <w:rFonts w:ascii="Arial" w:hAnsi="Arial" w:cs="Arial"/>
          <w:color w:val="000000"/>
          <w:shd w:val="clear" w:color="auto" w:fill="FFFFFF"/>
        </w:rPr>
        <w:lastRenderedPageBreak/>
        <w:t>@feedtheflockuo.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6"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lastRenderedPageBreak/>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7"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8"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39">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40"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41">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42"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43"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001027" w:rsidP="0010194B"/>
    <w:sectPr w:rsidR="00115283" w:rsidRPr="00F201DB">
      <w:footerReference w:type="default" r:id="rId44"/>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F161" w14:textId="77777777" w:rsidR="00001027" w:rsidRDefault="00001027" w:rsidP="006854E3">
      <w:r>
        <w:separator/>
      </w:r>
    </w:p>
  </w:endnote>
  <w:endnote w:type="continuationSeparator" w:id="0">
    <w:p w14:paraId="25AF0751" w14:textId="77777777" w:rsidR="00001027" w:rsidRDefault="00001027"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001027">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E189" w14:textId="77777777" w:rsidR="00001027" w:rsidRDefault="00001027" w:rsidP="006854E3">
      <w:r>
        <w:separator/>
      </w:r>
    </w:p>
  </w:footnote>
  <w:footnote w:type="continuationSeparator" w:id="0">
    <w:p w14:paraId="2A8904A2" w14:textId="77777777" w:rsidR="00001027" w:rsidRDefault="00001027"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252A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45F8"/>
    <w:multiLevelType w:val="hybridMultilevel"/>
    <w:tmpl w:val="0F66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10"/>
  </w:num>
  <w:num w:numId="7">
    <w:abstractNumId w:val="11"/>
  </w:num>
  <w:num w:numId="8">
    <w:abstractNumId w:val="6"/>
  </w:num>
  <w:num w:numId="9">
    <w:abstractNumId w:val="5"/>
  </w:num>
  <w:num w:numId="10">
    <w:abstractNumId w:val="14"/>
  </w:num>
  <w:num w:numId="11">
    <w:abstractNumId w:val="0"/>
  </w:num>
  <w:num w:numId="12">
    <w:abstractNumId w:val="9"/>
  </w:num>
  <w:num w:numId="13">
    <w:abstractNumId w:val="12"/>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1027"/>
    <w:rsid w:val="00007F26"/>
    <w:rsid w:val="000422B1"/>
    <w:rsid w:val="00094D25"/>
    <w:rsid w:val="0009722B"/>
    <w:rsid w:val="000D02FB"/>
    <w:rsid w:val="0010194B"/>
    <w:rsid w:val="00127F8C"/>
    <w:rsid w:val="00166894"/>
    <w:rsid w:val="001B09E3"/>
    <w:rsid w:val="00203E4A"/>
    <w:rsid w:val="002074B6"/>
    <w:rsid w:val="00246B90"/>
    <w:rsid w:val="002F14BC"/>
    <w:rsid w:val="00310D40"/>
    <w:rsid w:val="00311FF0"/>
    <w:rsid w:val="00372873"/>
    <w:rsid w:val="003A529A"/>
    <w:rsid w:val="003E529E"/>
    <w:rsid w:val="00401692"/>
    <w:rsid w:val="00466734"/>
    <w:rsid w:val="00617A1D"/>
    <w:rsid w:val="00631D0E"/>
    <w:rsid w:val="006507F7"/>
    <w:rsid w:val="00657E5A"/>
    <w:rsid w:val="006854E3"/>
    <w:rsid w:val="0068663C"/>
    <w:rsid w:val="006A00D5"/>
    <w:rsid w:val="00702999"/>
    <w:rsid w:val="007574DB"/>
    <w:rsid w:val="00767DE5"/>
    <w:rsid w:val="007700A6"/>
    <w:rsid w:val="00773B87"/>
    <w:rsid w:val="00791000"/>
    <w:rsid w:val="007B0B4E"/>
    <w:rsid w:val="007E7A86"/>
    <w:rsid w:val="0086500A"/>
    <w:rsid w:val="008A53ED"/>
    <w:rsid w:val="00926AD3"/>
    <w:rsid w:val="00954CCD"/>
    <w:rsid w:val="009A01A6"/>
    <w:rsid w:val="009D55B1"/>
    <w:rsid w:val="00A14D2E"/>
    <w:rsid w:val="00A567D5"/>
    <w:rsid w:val="00A90F76"/>
    <w:rsid w:val="00AC7BB1"/>
    <w:rsid w:val="00AD7D09"/>
    <w:rsid w:val="00AE1135"/>
    <w:rsid w:val="00AE7F3C"/>
    <w:rsid w:val="00B16E96"/>
    <w:rsid w:val="00B97F14"/>
    <w:rsid w:val="00BA10F7"/>
    <w:rsid w:val="00BA126A"/>
    <w:rsid w:val="00BF029D"/>
    <w:rsid w:val="00C065E2"/>
    <w:rsid w:val="00CA385F"/>
    <w:rsid w:val="00CD648C"/>
    <w:rsid w:val="00D23C72"/>
    <w:rsid w:val="00D3609F"/>
    <w:rsid w:val="00EA500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onavirus.uoregon.edu/prevention" TargetMode="External"/><Relationship Id="rId18" Type="http://schemas.openxmlformats.org/officeDocument/2006/relationships/hyperlink" Target="https://advising.uoregon.edu/" TargetMode="External"/><Relationship Id="rId26" Type="http://schemas.openxmlformats.org/officeDocument/2006/relationships/hyperlink" Target="http://safe.uoregon.edu/" TargetMode="External"/><Relationship Id="rId39" Type="http://schemas.openxmlformats.org/officeDocument/2006/relationships/hyperlink" Target="http://bias.uoregon.edu/whatbrt.htm" TargetMode="External"/><Relationship Id="rId21" Type="http://schemas.openxmlformats.org/officeDocument/2006/relationships/hyperlink" Target="https://studentlife.uoregon.edu/pronouns" TargetMode="External"/><Relationship Id="rId34" Type="http://schemas.openxmlformats.org/officeDocument/2006/relationships/hyperlink" Target="https://blogs.uoregon.edu/basicneeds/food/" TargetMode="External"/><Relationship Id="rId42" Type="http://schemas.openxmlformats.org/officeDocument/2006/relationships/hyperlink" Target="mailto:lduran@uoregon.edu" TargetMode="External"/><Relationship Id="rId7" Type="http://schemas.openxmlformats.org/officeDocument/2006/relationships/hyperlink" Target="https://coronavirus.uoregon.edu/covid-19-regulations" TargetMode="External"/><Relationship Id="rId2" Type="http://schemas.openxmlformats.org/officeDocument/2006/relationships/styles" Target="styles.xml"/><Relationship Id="rId16" Type="http://schemas.openxmlformats.org/officeDocument/2006/relationships/hyperlink" Target="https://counseling.uoregon.edu/" TargetMode="External"/><Relationship Id="rId29" Type="http://schemas.openxmlformats.org/officeDocument/2006/relationships/hyperlink" Target="https://hr.uoregon.edu/policies-leaves/general-information/mandatory-reporting-child-abuse-and-negl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prevention" TargetMode="External"/><Relationship Id="rId24" Type="http://schemas.openxmlformats.org/officeDocument/2006/relationships/hyperlink" Target="https://titleix.uoregon.edu" TargetMode="External"/><Relationship Id="rId32" Type="http://schemas.openxmlformats.org/officeDocument/2006/relationships/hyperlink" Target="https://hr.uoregon.edu/about-hr/campus-notifications/inclement-weather/inclement-weather-immediate-updates" TargetMode="External"/><Relationship Id="rId37" Type="http://schemas.openxmlformats.org/officeDocument/2006/relationships/hyperlink" Target="https://registrar.uoregon.edu/calendars/religious-observances" TargetMode="External"/><Relationship Id="rId40" Type="http://schemas.openxmlformats.org/officeDocument/2006/relationships/hyperlink" Target="http://studentlife.uoregon.edu/suppor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alth.uoregon.edu/" TargetMode="External"/><Relationship Id="rId23" Type="http://schemas.openxmlformats.org/officeDocument/2006/relationships/hyperlink" Target="http://aaeo.uoregon.edu/content/discrimination-harassment" TargetMode="External"/><Relationship Id="rId28" Type="http://schemas.openxmlformats.org/officeDocument/2006/relationships/hyperlink" Target="https://investigations.uoregon.edu/" TargetMode="External"/><Relationship Id="rId36" Type="http://schemas.openxmlformats.org/officeDocument/2006/relationships/hyperlink" Target="mailto:sisterclare@welcometocentral.net" TargetMode="External"/><Relationship Id="rId10" Type="http://schemas.openxmlformats.org/officeDocument/2006/relationships/hyperlink" Target="https://coronavirus.uoregon.edu/vaccine" TargetMode="External"/><Relationship Id="rId19" Type="http://schemas.openxmlformats.org/officeDocument/2006/relationships/hyperlink" Target="https://aec.uoregon.edu/make-appointment-aec" TargetMode="External"/><Relationship Id="rId31" Type="http://schemas.openxmlformats.org/officeDocument/2006/relationships/hyperlink" Target="https://researchguides.uoregon.edu/citing-plagiaris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ronavirus.uoregon.edu/prevention" TargetMode="External"/><Relationship Id="rId14" Type="http://schemas.openxmlformats.org/officeDocument/2006/relationships/hyperlink" Target="https://coronavirus.uoregon.edu/covid-exposure" TargetMode="External"/><Relationship Id="rId22" Type="http://schemas.openxmlformats.org/officeDocument/2006/relationships/hyperlink" Target="https://aaeo.uoregon.edu/" TargetMode="External"/><Relationship Id="rId27" Type="http://schemas.openxmlformats.org/officeDocument/2006/relationships/hyperlink" Target="https://respect.uoregon.edu/" TargetMode="External"/><Relationship Id="rId30" Type="http://schemas.openxmlformats.org/officeDocument/2006/relationships/hyperlink" Target="http://conduct.uoregon.edu/" TargetMode="External"/><Relationship Id="rId35" Type="http://schemas.openxmlformats.org/officeDocument/2006/relationships/hyperlink" Target="https://dos.uoregon.edu/" TargetMode="External"/><Relationship Id="rId43" Type="http://schemas.openxmlformats.org/officeDocument/2006/relationships/hyperlink" Target="https://education.uoregon.edu/academics/incompletes-courses" TargetMode="External"/><Relationship Id="rId8" Type="http://schemas.openxmlformats.org/officeDocument/2006/relationships/hyperlink" Target="https://coronavirus.uoregon.edu/covid-19-regulations" TargetMode="External"/><Relationship Id="rId3" Type="http://schemas.openxmlformats.org/officeDocument/2006/relationships/settings" Target="settings.xml"/><Relationship Id="rId12" Type="http://schemas.openxmlformats.org/officeDocument/2006/relationships/hyperlink" Target="https://coronavirus.uoregon.edu/prevention" TargetMode="External"/><Relationship Id="rId17" Type="http://schemas.openxmlformats.org/officeDocument/2006/relationships/hyperlink" Target="https://coronavirus.uoregon.edu/testing" TargetMode="External"/><Relationship Id="rId25" Type="http://schemas.openxmlformats.org/officeDocument/2006/relationships/hyperlink" Target="https://investigations.uoregon.edu/employee-responsibilities" TargetMode="External"/><Relationship Id="rId33" Type="http://schemas.openxmlformats.org/officeDocument/2006/relationships/hyperlink" Target="https://health.uoregon.edu/ducknest" TargetMode="External"/><Relationship Id="rId38" Type="http://schemas.openxmlformats.org/officeDocument/2006/relationships/hyperlink" Target="mailto:lduran@uoregon.edu" TargetMode="External"/><Relationship Id="rId46" Type="http://schemas.openxmlformats.org/officeDocument/2006/relationships/theme" Target="theme/theme1.xml"/><Relationship Id="rId20" Type="http://schemas.openxmlformats.org/officeDocument/2006/relationships/hyperlink" Target="https://aec.uoregon.edu/" TargetMode="External"/><Relationship Id="rId41" Type="http://schemas.openxmlformats.org/officeDocument/2006/relationships/hyperlink" Target="http://aaeo.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32</cp:revision>
  <dcterms:created xsi:type="dcterms:W3CDTF">2021-11-23T21:15:00Z</dcterms:created>
  <dcterms:modified xsi:type="dcterms:W3CDTF">2022-03-22T23:12:00Z</dcterms:modified>
</cp:coreProperties>
</file>