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0E374D">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0ED90F7B"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aged &lt; 18 years sought emergency department (ED) care for sports- and recreation-related TBIs with 45% of injuries resulting from contact sports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CB05E6">
        <w:rPr>
          <w:b w:val="0"/>
          <w:bCs w:val="0"/>
        </w:rPr>
        <w:t xml:space="preserve">Due to the high concussion rates in children and adolescents, it is imperative to understand </w:t>
      </w:r>
      <w:r w:rsidR="009A22D0">
        <w:rPr>
          <w:b w:val="0"/>
          <w:bCs w:val="0"/>
        </w:rPr>
        <w:t>the academic needs of students recovering from concussion to develop and implement effective interventions to efficiently return them to the classroom.</w:t>
      </w:r>
    </w:p>
    <w:p w14:paraId="53F5851B" w14:textId="249434A2"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C54EE0">
        <w:rPr>
          <w:b w:val="0"/>
          <w:bCs w:val="0"/>
        </w:rPr>
        <w:t xml:space="preserve"> as t</w:t>
      </w:r>
      <w:r w:rsidR="0036214F">
        <w:rPr>
          <w:b w:val="0"/>
          <w:bCs w:val="0"/>
        </w:rPr>
        <w:t xml:space="preserve">he most consistent predictor of concussion recovery is the number and severity of acute and subacute symptoms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 highlighting the vulnerable academic state students </w:t>
      </w:r>
      <w:r w:rsidR="00306F7C">
        <w:rPr>
          <w:b w:val="0"/>
          <w:bCs w:val="0"/>
        </w:rPr>
        <w:t>are susceptible to</w:t>
      </w:r>
      <w:r w:rsidR="0036214F">
        <w:rPr>
          <w:b w:val="0"/>
          <w:bCs w:val="0"/>
        </w:rPr>
        <w:t xml:space="preserve"> after an injury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 xml:space="preserve">. </w:t>
      </w:r>
      <w:r w:rsidR="00306F7C">
        <w:rPr>
          <w:b w:val="0"/>
          <w:bCs w:val="0"/>
        </w:rPr>
        <w:t xml:space="preserve">Sleep and headache-migraine symptoms additionally have been found to be reported with high levels of severity after an injury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06F7C">
        <w:rPr>
          <w:b w:val="0"/>
          <w:bCs w:val="0"/>
        </w:rPr>
        <w:t xml:space="preserve">, demonstrating the potential interaction of symptoms and the likelihood of students to present with overlapping clinical profiles after an injury </w:t>
      </w:r>
      <w:r w:rsidR="00306F7C">
        <w:rPr>
          <w:b w:val="0"/>
          <w:bCs w:val="0"/>
        </w:rPr>
        <w:fldChar w:fldCharType="begin" w:fldLock="1"/>
      </w:r>
      <w:r w:rsidR="00703950">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306F7C">
        <w:rPr>
          <w:b w:val="0"/>
          <w:bCs w:val="0"/>
        </w:rPr>
        <w:fldChar w:fldCharType="separate"/>
      </w:r>
      <w:r w:rsidR="00306F7C" w:rsidRPr="00306F7C">
        <w:rPr>
          <w:b w:val="0"/>
          <w:bCs w:val="0"/>
          <w:noProof/>
        </w:rPr>
        <w:t>(Harmon et al., 2019)</w:t>
      </w:r>
      <w:r w:rsidR="00306F7C">
        <w:rPr>
          <w:b w:val="0"/>
          <w:bCs w:val="0"/>
        </w:rPr>
        <w:fldChar w:fldCharType="end"/>
      </w:r>
      <w:r w:rsidR="00306F7C">
        <w:rPr>
          <w:b w:val="0"/>
          <w:bCs w:val="0"/>
        </w:rPr>
        <w:t xml:space="preserve">. Another consistency across the literature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 xml:space="preserve">(Baker et al., 2016; Covassin et al., </w:t>
      </w:r>
      <w:r w:rsidR="00703950" w:rsidRPr="00703950">
        <w:rPr>
          <w:b w:val="0"/>
          <w:bCs w:val="0"/>
          <w:noProof/>
        </w:rPr>
        <w:lastRenderedPageBreak/>
        <w:t>2012; Harmon et al., 2019; Iverson et al., 2017; Ono et al., 2016)</w:t>
      </w:r>
      <w:r w:rsidR="00703950">
        <w:rPr>
          <w:b w:val="0"/>
          <w:bCs w:val="0"/>
        </w:rPr>
        <w:fldChar w:fldCharType="end"/>
      </w:r>
      <w:r w:rsidR="00703950">
        <w:rPr>
          <w:b w:val="0"/>
          <w:bCs w:val="0"/>
        </w:rPr>
        <w:t>. There is less consensus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 but the present state of the research</w:t>
      </w:r>
      <w:r w:rsidR="00291989">
        <w:rPr>
          <w:b w:val="0"/>
          <w:bCs w:val="0"/>
        </w:rPr>
        <w:t xml:space="preserve"> on symptom profiles</w:t>
      </w:r>
      <w:r w:rsidR="00703950">
        <w:rPr>
          <w:b w:val="0"/>
          <w:bCs w:val="0"/>
        </w:rPr>
        <w:t xml:space="preserve"> provides stakeholders with the necessary insight on acute concussion needs to </w:t>
      </w:r>
      <w:r w:rsidR="00C54EE0">
        <w:rPr>
          <w:b w:val="0"/>
          <w:bCs w:val="0"/>
        </w:rPr>
        <w:t>develop and implement interventions that prevent chronic academic challenges</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3BC8E5AD"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325B4B">
        <w:rPr>
          <w:b w:val="0"/>
          <w:bCs w:val="0"/>
        </w:rPr>
        <w:t xml:space="preserve"> and 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insight on the acute window of time students may be most at risk for experiencing academic challenges following a concussion. </w:t>
      </w:r>
    </w:p>
    <w:p w14:paraId="40A2EC9F" w14:textId="79398096"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 RTL</w:t>
      </w:r>
      <w:r w:rsidR="00C54EE0">
        <w:rPr>
          <w:b w:val="0"/>
          <w:bCs w:val="0"/>
        </w:rPr>
        <w:t>; t</w:t>
      </w:r>
      <w:r w:rsidR="00FC00DB">
        <w:rPr>
          <w:b w:val="0"/>
          <w:bCs w:val="0"/>
        </w:rPr>
        <w:t xml:space="preserve">herefore, RTL models presented by </w:t>
      </w:r>
      <w:r w:rsidR="00FC00DB">
        <w:rPr>
          <w:b w:val="0"/>
          <w:bCs w:val="0"/>
        </w:rPr>
        <w:lastRenderedPageBreak/>
        <w:t xml:space="preserve">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 RTL can be adapted and implemented using the available resources and personnel of the district where individuals with the most knowledge on concussion management (e.g., athletic trainer, speech-language pathologist, school psychologist) are put in the position to oversee the RTL process and coordinate with each other. </w:t>
      </w:r>
    </w:p>
    <w:p w14:paraId="5A03E846" w14:textId="77777777"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29A12B8C" w:rsidR="00325B4B" w:rsidRDefault="00482C10" w:rsidP="00482C10">
      <w:pPr>
        <w:pStyle w:val="Heading1"/>
        <w:ind w:firstLine="720"/>
        <w:jc w:val="left"/>
        <w:rPr>
          <w:b w:val="0"/>
          <w:bCs w:val="0"/>
        </w:rPr>
      </w:pPr>
      <w:r>
        <w:rPr>
          <w:b w:val="0"/>
          <w:bCs w:val="0"/>
        </w:rPr>
        <w:t xml:space="preserve">Although there remains limited empirical evidence to evaluate proposed RTL guidelines, the state of the research influenced the present study to retrospectively analyze symptom severity data to explore potential symptom trends in students recovering from concussion. </w:t>
      </w:r>
      <w:r w:rsidR="00CE717E">
        <w:rPr>
          <w:b w:val="0"/>
          <w:bCs w:val="0"/>
        </w:rPr>
        <w:t xml:space="preserve">We believe the ability to obtain a greater understanding of the symptom severity profiles of students who navigated the RTP protocol will provide much needed insight into the development of RTL interventions that can be empirically evaluated. </w:t>
      </w:r>
    </w:p>
    <w:p w14:paraId="27019FC6" w14:textId="28F97C3C" w:rsidR="007F276C" w:rsidRDefault="00CE717E" w:rsidP="007F276C">
      <w:pPr>
        <w:pStyle w:val="Heading2"/>
      </w:pPr>
      <w:r>
        <w:lastRenderedPageBreak/>
        <w:t>Source</w:t>
      </w:r>
      <w:r w:rsidR="007F276C">
        <w:t xml:space="preserve"> of Retrospective Analysis</w:t>
      </w:r>
    </w:p>
    <w:p w14:paraId="61C08E4E" w14:textId="6ED6BB9A"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state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CA3788F" w14:textId="10065015" w:rsidR="00482C10"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xml:space="preserve">, we determined it was necessary to retrospectively analyze Post-Concussion Symptom Scale (PCSS) results obtained at the time of ImPACT testing to contribute to the knowledge base on how symptom reporting can drive RTL intervention. </w:t>
      </w:r>
      <w:r w:rsidR="00504B0E">
        <w:t xml:space="preserve">Additionally, we were interested in evaluating whether the symptom severity trends obtained from the HCAMP data were consistent with findings from previous studies. </w:t>
      </w:r>
      <w:r w:rsidR="00504B0E">
        <w:lastRenderedPageBreak/>
        <w:t xml:space="preserve">Specifically, we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 and decrease over time as measured by repeated testing.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7F030ABE" w:rsidR="00642E93" w:rsidRPr="00AB0346" w:rsidRDefault="002B39D2" w:rsidP="007F276C">
      <w:r>
        <w:tab/>
        <w:t xml:space="preserve">This study implemented retrospective analyses of 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xml:space="preserve">. A total of 18,294 concussion injuries were identified for analysis, which were divided into four separate groups corresponding to the number of ImPACT tests completed during the gradual RTP process. Table </w:t>
      </w:r>
      <w:r w:rsidR="005F68E1">
        <w:t>2</w:t>
      </w:r>
      <w:r w:rsidR="00D12FD0">
        <w:t xml:space="preserve"> displays the number of individuals per number of ImPACT tests completed. </w:t>
      </w:r>
      <w:r w:rsidR="005F68E1" w:rsidRPr="00AB0346">
        <w:t>Post-injury ImPACT test scores were compared to baseline testing performance to make RTP progression decisions, and students typically completed baseline tests at the beginning of their freshman and junior years. The HCAMP guidelines for post-injury test administrations were the following:</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71573AD5" w:rsidR="00F3680D" w:rsidRPr="00AB0346" w:rsidRDefault="00F3680D" w:rsidP="005F68E1">
      <w:pPr>
        <w:pStyle w:val="ListParagraph"/>
        <w:numPr>
          <w:ilvl w:val="0"/>
          <w:numId w:val="1"/>
        </w:numPr>
      </w:pPr>
      <w:r w:rsidRPr="00AB0346">
        <w:t xml:space="preserve">Students should not be tested more than two times in one week.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4BC22BAE" w:rsidR="00C21DA6" w:rsidRDefault="0099088B" w:rsidP="007F276C">
      <w:r>
        <w:tab/>
        <w:t xml:space="preserve">The primary outcome measure analyzed for this study was PCSS severity ratings obtained at the time of ImPACT testing. The PCSS is a 22-item, formal questionnaire designed to quantify the severity of post-concussion symptoms from the six concussion symptom clusters identified by </w:t>
      </w:r>
      <w:r>
        <w:fldChar w:fldCharType="begin" w:fldLock="1"/>
      </w:r>
      <w:r w:rsidR="00130679">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fldChar w:fldCharType="separate"/>
      </w:r>
      <w:r w:rsidRPr="0099088B">
        <w:rPr>
          <w:noProof/>
        </w:rPr>
        <w:t xml:space="preserve">Harmon et al. </w:t>
      </w:r>
      <w:r>
        <w:rPr>
          <w:noProof/>
        </w:rPr>
        <w:t>(</w:t>
      </w:r>
      <w:r w:rsidRPr="0099088B">
        <w:rPr>
          <w:noProof/>
        </w:rPr>
        <w:t>2019</w:t>
      </w:r>
      <w:r>
        <w:rPr>
          <w:noProof/>
        </w:rPr>
        <w:t>) and</w:t>
      </w:r>
      <w:r w:rsidRPr="0099088B">
        <w:rPr>
          <w:noProof/>
        </w:rPr>
        <w:t xml:space="preserve"> Lumba-Brown et al. </w:t>
      </w:r>
      <w:r>
        <w:rPr>
          <w:noProof/>
        </w:rPr>
        <w:t>(</w:t>
      </w:r>
      <w:r w:rsidRPr="0099088B">
        <w:rPr>
          <w:noProof/>
        </w:rPr>
        <w:t>2019)</w:t>
      </w:r>
      <w:r>
        <w:fldChar w:fldCharType="end"/>
      </w:r>
      <w:r>
        <w:t xml:space="preserve"> where individual symptoms are rated 0 (</w:t>
      </w:r>
      <w:r>
        <w:rPr>
          <w:i/>
          <w:iCs/>
        </w:rPr>
        <w:t>no symptoms</w:t>
      </w:r>
      <w:r>
        <w:t>) to 6 (</w:t>
      </w:r>
      <w:r>
        <w:rPr>
          <w:i/>
          <w:iCs/>
        </w:rPr>
        <w:t>severe symptoms</w:t>
      </w:r>
      <w:r>
        <w:t>)</w:t>
      </w:r>
      <w:r w:rsidR="00D63BFB">
        <w:t xml:space="preserve"> and the total symptom severity score represents the sum of the 22 rated symptoms</w:t>
      </w:r>
      <w:r>
        <w:t xml:space="preserve">. The six symptom clusters include: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340F2835"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 xml:space="preserve">descriptive statistics on the duration of time between test dates for students completing multiple ImPACT tests were calculated to provide insight on the time required to complete the RTP protocol. </w:t>
      </w:r>
    </w:p>
    <w:p w14:paraId="463FCC5B" w14:textId="6A75E370"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w:t>
      </w:r>
      <w:r>
        <w:lastRenderedPageBreak/>
        <w:t xml:space="preserve">2020). Additionally, a two-way between-subjects ANOVA was used to calculate the interaction effect between </w:t>
      </w:r>
      <w:r w:rsidR="007427EE">
        <w:t>sex</w:t>
      </w:r>
      <w:r>
        <w:t xml:space="preserve"> and </w:t>
      </w:r>
      <w:r w:rsidR="00FC4940">
        <w:t xml:space="preserve">the </w:t>
      </w:r>
      <w:r>
        <w:t xml:space="preserve">total number of ImPACT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E435D4" w:rsidR="009F2970" w:rsidRDefault="009F2970" w:rsidP="009F2970">
      <w:pPr>
        <w:pStyle w:val="Heading2"/>
      </w:pPr>
      <w:r>
        <w:t>Duration of Time between ImPACT Tests</w:t>
      </w:r>
    </w:p>
    <w:p w14:paraId="6CF1C853" w14:textId="6254E419" w:rsidR="009F2970" w:rsidRDefault="009F2970" w:rsidP="009F2970">
      <w:r>
        <w:tab/>
        <w:t xml:space="preserve">On average, students who completed two post-injury ImPACT tests completed the second test 5.95 days following the first test. Students who completed three ImPACT tests completed the third test an average of 11.61 days following the first test. For students who completed four ImPACT post-injury tests, the average duration of time between the first and fourth tests was identified to be 18.18 days. Table </w:t>
      </w:r>
      <w:r w:rsidR="00E31A24">
        <w:t>4</w:t>
      </w:r>
      <w:r>
        <w:t xml:space="preserve"> provides </w:t>
      </w:r>
      <w:r w:rsidR="004A70A5">
        <w:t xml:space="preserve">descriptive statistics </w:t>
      </w:r>
      <w:r w:rsidR="007C0BBE">
        <w:t>o</w:t>
      </w:r>
      <w:r w:rsidR="004A70A5">
        <w:t xml:space="preserve">n </w:t>
      </w:r>
      <w:r w:rsidR="007C0BBE">
        <w:t xml:space="preserve">the duration of time between tests for each set of students corresponding to the number of 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1138A1EC" w:rsidR="00C87092" w:rsidRDefault="00C87092" w:rsidP="00C87092">
      <w:pPr>
        <w:pStyle w:val="Heading3"/>
      </w:pPr>
      <w:r>
        <w:t xml:space="preserve">Completed One Test </w:t>
      </w:r>
    </w:p>
    <w:p w14:paraId="44A8849F" w14:textId="074C907D" w:rsidR="00C87092" w:rsidRPr="00496E39" w:rsidRDefault="00C87092" w:rsidP="00C87092">
      <w:pPr>
        <w:rPr>
          <w:u w:val="single"/>
        </w:rPr>
      </w:pPr>
      <w:r>
        <w:tab/>
      </w:r>
      <w:r w:rsidR="00E22EA6">
        <w:t xml:space="preserve">Descriptive statistics of non-normalized and normalized cluster severity ratings for students who completed one post-injury ImPACT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w:t>
      </w:r>
      <w:r w:rsidR="004E2180">
        <w:lastRenderedPageBreak/>
        <w:t xml:space="preserv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2B71317A" w:rsidR="00E15818" w:rsidRDefault="004C583D" w:rsidP="004C583D">
      <w:pPr>
        <w:pStyle w:val="Heading3"/>
      </w:pPr>
      <w:r>
        <w:t>Completed Two Tests</w:t>
      </w:r>
    </w:p>
    <w:p w14:paraId="1E06CC2E" w14:textId="1284E181" w:rsidR="00060BAA" w:rsidRDefault="00060BAA" w:rsidP="00060BAA">
      <w:r>
        <w:tab/>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400F3EF7" w:rsidR="00EA7384" w:rsidRPr="00EA7384" w:rsidRDefault="001F06F5" w:rsidP="001F06F5">
      <w:r>
        <w:lastRenderedPageBreak/>
        <w:tab/>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20ACB8A6" w:rsidR="00EA7384" w:rsidRDefault="00EA7384" w:rsidP="00EA7384">
      <w:pPr>
        <w:pStyle w:val="Heading3"/>
      </w:pPr>
      <w:r>
        <w:t>Completed Three Tests</w:t>
      </w:r>
    </w:p>
    <w:p w14:paraId="2CB1934E" w14:textId="784E6670" w:rsidR="00712BCC" w:rsidRPr="00EA7384" w:rsidRDefault="00337782" w:rsidP="00712BCC">
      <w:r>
        <w:tab/>
      </w:r>
      <w:r w:rsidRPr="00337782">
        <w:rPr>
          <w:b/>
          <w:bCs/>
        </w:rPr>
        <w:t>Test One.</w:t>
      </w:r>
      <w:r>
        <w:rPr>
          <w:b/>
          <w:bCs/>
        </w:rPr>
        <w:t xml:space="preserve"> </w:t>
      </w:r>
      <w:r w:rsidR="00E22EA6">
        <w:t xml:space="preserve">Descriptive statistics of non-normalized and normalized cluster severity ratings for students who completed three post-injury ImPACT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w:t>
      </w:r>
      <w:r w:rsidR="00712BCC">
        <w:lastRenderedPageBreak/>
        <w:t xml:space="preserve">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1D4531B2" w:rsidR="00506748" w:rsidRDefault="001D215C" w:rsidP="001D215C">
      <w:pPr>
        <w:ind w:firstLine="720"/>
      </w:pPr>
      <w:r>
        <w:rPr>
          <w:b/>
          <w:bCs/>
        </w:rPr>
        <w:t xml:space="preserve">Test Three. </w:t>
      </w:r>
      <w:r>
        <w:t>The symptom cluster-by-</w:t>
      </w:r>
      <w:r w:rsidR="007427EE">
        <w:t>sex</w:t>
      </w:r>
      <w:r>
        <w:t xml:space="preserve"> interaction effect was significant, </w:t>
      </w:r>
      <w:r>
        <w:rPr>
          <w:i/>
          <w:iCs/>
        </w:rPr>
        <w:t>F</w:t>
      </w:r>
      <w:r>
        <w:t xml:space="preserve">(5, 13,356) = 2.60, </w:t>
      </w:r>
      <w:r>
        <w:rPr>
          <w:i/>
          <w:iCs/>
        </w:rPr>
        <w:t xml:space="preserve">p </w:t>
      </w:r>
      <w:r>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1C5706C9" w:rsidR="00287C51" w:rsidRPr="00287C51" w:rsidRDefault="00287C51" w:rsidP="00287C51">
      <w:pPr>
        <w:pStyle w:val="Heading3"/>
      </w:pPr>
      <w:r>
        <w:t>Completed Four Tests</w:t>
      </w:r>
    </w:p>
    <w:p w14:paraId="7C93F55A" w14:textId="6D4D61AE" w:rsidR="00506748" w:rsidRDefault="00287C51" w:rsidP="00C15AF8">
      <w:r>
        <w:tab/>
      </w:r>
      <w:r>
        <w:rPr>
          <w:b/>
          <w:bCs/>
        </w:rPr>
        <w:t>Test One.</w:t>
      </w:r>
      <w:r>
        <w:t xml:space="preserve"> </w:t>
      </w:r>
      <w:r w:rsidR="00E22EA6">
        <w:t xml:space="preserve">Descriptive statistics of non-normalized and normalized cluster severity ratings for students who completed four post-injury ImPACT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w:t>
      </w:r>
      <w:r w:rsidR="0004242D">
        <w:lastRenderedPageBreak/>
        <w:t xml:space="preserve">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1878CC96" w:rsidR="0004242D" w:rsidRPr="00FC071A" w:rsidRDefault="00CD00E1" w:rsidP="00C15AF8">
      <w:r>
        <w:tab/>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1542517A" w:rsidR="000D5B19" w:rsidRDefault="000D5B19" w:rsidP="000D5B19">
      <w:pPr>
        <w:pStyle w:val="Heading2"/>
      </w:pPr>
      <w:r>
        <w:t>Total Symptom</w:t>
      </w:r>
      <w:r w:rsidRPr="000D5B19">
        <w:t xml:space="preserve"> </w:t>
      </w:r>
      <w:r w:rsidR="008963F6">
        <w:t>Score</w:t>
      </w:r>
      <w:r w:rsidRPr="000D5B19">
        <w:t xml:space="preserve"> a</w:t>
      </w:r>
      <w:r>
        <w:t xml:space="preserve">t Test One across Number of Tests Completed </w:t>
      </w:r>
    </w:p>
    <w:p w14:paraId="1FE60822" w14:textId="58855EFB" w:rsidR="000D5B19" w:rsidRPr="00F00534" w:rsidRDefault="000D5B19" w:rsidP="000D5B19">
      <w:r>
        <w:tab/>
        <w:t xml:space="preserve">Table </w:t>
      </w:r>
      <w:r w:rsidR="00E22EA6">
        <w:t>5</w:t>
      </w:r>
      <w:r>
        <w:t xml:space="preserve"> displays descriptive statistics of test one total symptom scores by </w:t>
      </w:r>
      <w:r w:rsidR="007427EE">
        <w:t>sex</w:t>
      </w:r>
      <w:r>
        <w:t xml:space="preserve"> and the number of tests completed</w:t>
      </w:r>
      <w:r w:rsidR="0077053F">
        <w:t>. The total 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tests completed and </w:t>
      </w:r>
      <w:r w:rsidR="007427EE">
        <w:t>sex</w:t>
      </w:r>
      <w:r w:rsidR="0077053F">
        <w:t xml:space="preserve"> were examined. The difference in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&lt; .001. The difference in 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192E3A">
        <w:t xml:space="preserve">test one </w:t>
      </w:r>
      <w:r w:rsidR="0077053F">
        <w:t xml:space="preserve">total symptom scores than students who completed </w:t>
      </w:r>
      <w:r w:rsidR="00192E3A">
        <w:t>three tests (</w:t>
      </w:r>
      <w:r w:rsidR="00192E3A">
        <w:rPr>
          <w:i/>
          <w:iCs/>
        </w:rPr>
        <w:t xml:space="preserve">M </w:t>
      </w:r>
      <w:r w:rsidR="00192E3A">
        <w:t xml:space="preserve">= 16.09, </w:t>
      </w:r>
      <w:r w:rsidR="00192E3A">
        <w:rPr>
          <w:i/>
          <w:iCs/>
        </w:rPr>
        <w:t xml:space="preserve">SD </w:t>
      </w:r>
      <w:r w:rsidR="00192E3A">
        <w:t xml:space="preserve">– 18.10), </w:t>
      </w:r>
      <w:r w:rsidR="00192E3A">
        <w:lastRenderedPageBreak/>
        <w:t>two tests (</w:t>
      </w:r>
      <w:r w:rsidR="00192E3A">
        <w:rPr>
          <w:i/>
          <w:iCs/>
        </w:rPr>
        <w:t xml:space="preserve">M </w:t>
      </w:r>
      <w:r w:rsidR="00192E3A">
        <w:t xml:space="preserve">= 13.31, </w:t>
      </w:r>
      <w:r w:rsidR="00192E3A">
        <w:rPr>
          <w:i/>
          <w:iCs/>
        </w:rPr>
        <w:t xml:space="preserve">SD </w:t>
      </w:r>
      <w:r w:rsidR="00724379">
        <w:t>=</w:t>
      </w:r>
      <w:r w:rsidR="00192E3A">
        <w:t xml:space="preserve"> 16.76), and one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Mean differences between students who completed one test and two tests, one test and three tests, and two tests and three 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t>Discussion</w:t>
      </w:r>
    </w:p>
    <w:p w14:paraId="6589D9E0" w14:textId="29FEBAA4"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 xml:space="preserve">The findings from the current study aligned with our hypotheses and are consistent with symptom severity trends identified in previous literature. Present findings and their potential impact on RTL are discussed further. </w:t>
      </w:r>
    </w:p>
    <w:p w14:paraId="2C4AEDCF" w14:textId="640ABAFE"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the results of the present study identified that students develop specific symptom profiles, consistently rating symptoms from the headache-migraine, sleep, and cognitive clusters with the highest severity. Symptom severity ratings obtained at the time of the fourth test for students who completed four ImPACT tests during recovery w</w:t>
      </w:r>
      <w:r w:rsidR="0025210D">
        <w:t>ere</w:t>
      </w:r>
      <w:r>
        <w:t xml:space="preserve"> observed to be the only </w:t>
      </w:r>
      <w:r w:rsidR="0025210D">
        <w:t>ratings</w:t>
      </w:r>
      <w:r>
        <w:t xml:space="preserve"> where symptom severity across all clusters was rated with relative </w:t>
      </w:r>
      <w:r w:rsidR="00EC7FD6">
        <w:t xml:space="preserve">equality. </w:t>
      </w:r>
      <w:r w:rsidR="00DD686D">
        <w:t xml:space="preserve">As symptom severity was observed to gradually decrease across all clusters with consecutive testing, the average of 18.18 days between tests one and four for the sample of students who completed four tests provides insight on the duration of time for headache-migraine, sleep, and cognitive symptoms to subside to similar severity levels of the other clusters for students with a longer recovery. The presence of overlapping clinical profiles has been previously documented </w:t>
      </w:r>
      <w:r w:rsidR="00DD686D">
        <w:lastRenderedPageBreak/>
        <w:t xml:space="preserve">in the literature as a key consideration of concussion management </w:t>
      </w:r>
      <w:r w:rsidR="00DD686D">
        <w:fldChar w:fldCharType="begin" w:fldLock="1"/>
      </w:r>
      <w:r w:rsidR="00D74A2B">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DD686D">
        <w:fldChar w:fldCharType="separate"/>
      </w:r>
      <w:r w:rsidR="00DD686D" w:rsidRPr="00DD686D">
        <w:rPr>
          <w:noProof/>
        </w:rPr>
        <w:t>(Harmon et al., 2019)</w:t>
      </w:r>
      <w:r w:rsidR="00DD686D">
        <w:fldChar w:fldCharType="end"/>
      </w:r>
      <w:r w:rsidR="00DD686D">
        <w:t xml:space="preserve">. The headache-migraine/cognitive/sleep symptom profile that emerged from the present study aligns with </w:t>
      </w:r>
      <w:r w:rsidR="00121B14">
        <w:t>Harmon et al. (2019)</w:t>
      </w:r>
      <w:r w:rsidR="0025210D">
        <w:t>; f</w:t>
      </w:r>
      <w:r w:rsidR="00121B14">
        <w:t xml:space="preserve">urther, this symptom profile impacts RTL by providing educators insight on what symptoms their students are most likely to be experiencing in order to provide earlier and more targeted supports. </w:t>
      </w:r>
    </w:p>
    <w:p w14:paraId="16781E6B" w14:textId="13955C69"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D74A2B">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In consideration of the RTL process, it is important for educators to be mindful that females tend to be more symptomatic and implement supports appropriately. </w:t>
      </w:r>
    </w:p>
    <w:p w14:paraId="6406D3AD" w14:textId="0784163E" w:rsidR="00D74A2B" w:rsidRDefault="00D74A2B" w:rsidP="008C78AC">
      <w:r>
        <w:tab/>
      </w:r>
      <w:r w:rsidR="00495C83">
        <w:t xml:space="preserve">It has been documented that 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tests, corresponding to a longer duration of recovery, reported significantly higher severity scores across all symptom clusters at the time of test one completion.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t>
      </w:r>
    </w:p>
    <w:p w14:paraId="7155F135" w14:textId="14B6096C" w:rsidR="007A3E42" w:rsidRDefault="007A3E42" w:rsidP="008C78AC">
      <w:r>
        <w:lastRenderedPageBreak/>
        <w:tab/>
        <w:t xml:space="preserve">Overall, the findings from this retrospective analysis align with previous findings on symptom reporting. The identification of symptom trends is influential to RTL as it provides educators with a greater understanding of expected student needs following a concussion. Future studies should experimentally evaluate proposed RTL models to provide experimental evidence on interventions that best facilitate successful return to the classroom post-concussion. </w:t>
      </w:r>
    </w:p>
    <w:p w14:paraId="26942012" w14:textId="381EB890" w:rsidR="007A3E42" w:rsidRPr="007A3E42" w:rsidRDefault="007A3E42" w:rsidP="008C78AC">
      <w:pPr>
        <w:rPr>
          <w:b/>
          <w:bCs/>
          <w:i/>
          <w:iCs/>
        </w:rPr>
      </w:pPr>
      <w:r>
        <w:rPr>
          <w:b/>
          <w:bCs/>
          <w:i/>
          <w:iCs/>
        </w:rPr>
        <w:t>Maybe delete rest of paper except for limitations??? One alternative idea</w:t>
      </w:r>
    </w:p>
    <w:p w14:paraId="7FEDA310" w14:textId="6AE3CF0C" w:rsidR="00C43EE4" w:rsidRDefault="00C43EE4" w:rsidP="00C43EE4">
      <w:pPr>
        <w:pStyle w:val="Heading2"/>
      </w:pPr>
      <w:r>
        <w:t>How Trends in Symptom Severity can Influence the Future of RTL</w:t>
      </w:r>
    </w:p>
    <w:p w14:paraId="408AE7A9" w14:textId="64598CA2"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provides insight on what symptoms burden</w:t>
      </w:r>
      <w:r w:rsidR="00BC5883">
        <w:t xml:space="preserve"> students the most during their return to school</w:t>
      </w:r>
      <w:r w:rsidR="00A37638">
        <w:t xml:space="preserve"> as </w:t>
      </w:r>
      <w:r w:rsidR="00BC5883">
        <w:t>various concussion symptoms may interact with each other to impact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rate the most severely</w:t>
      </w:r>
      <w:r w:rsidR="00BC5883">
        <w:t xml:space="preserve">, it is imperative for educators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 </w:t>
      </w:r>
      <w:r w:rsidR="00724379">
        <w:t xml:space="preserve">test one </w:t>
      </w:r>
      <w:r w:rsidR="00536CB8">
        <w:t>symptom severity</w:t>
      </w:r>
      <w:r w:rsidR="00724379">
        <w:t xml:space="preserve"> </w:t>
      </w:r>
      <w:r w:rsidR="00536CB8">
        <w:t>required more tests to complete the protocol corresponding to a longer recovery, which further indicates the importance of having supports and protocols in place to provide early identification of students most at risk of prolonged recovery to prevent negative academic outcome.</w:t>
      </w:r>
      <w:r w:rsidR="00846746">
        <w:t xml:space="preserve"> </w:t>
      </w:r>
      <w:r w:rsidR="00536CB8">
        <w:t xml:space="preserve">With the information obtained from this analysis, the next step is to </w:t>
      </w:r>
      <w:r w:rsidR="00DC63B4">
        <w:t>evaluate</w:t>
      </w:r>
      <w:r w:rsidR="00536CB8">
        <w:t xml:space="preserve"> RTL protocols that account for the following considerations. </w:t>
      </w:r>
    </w:p>
    <w:p w14:paraId="7EB412FF" w14:textId="6E7269DC" w:rsidR="006625FC" w:rsidRDefault="0099394C" w:rsidP="0099394C">
      <w:pPr>
        <w:pStyle w:val="Heading3"/>
      </w:pPr>
      <w:r>
        <w:lastRenderedPageBreak/>
        <w:t xml:space="preserve">Measurement Limitations </w:t>
      </w:r>
    </w:p>
    <w:p w14:paraId="105786C1" w14:textId="77777777" w:rsidR="00A36EE3"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r w:rsidR="00FE4D27">
        <w:t>Such a bias in symptom measurement may have influenced the results of the present analysis as the vestibular and ocular-motor clusters were consistently rated with less severity than other clusters.</w:t>
      </w:r>
      <w:r w:rsidR="00724379">
        <w:t xml:space="preserve"> Moreover, it may lead to the misidentification of students experiencing negative academic outcome because of these symptoms. </w:t>
      </w:r>
    </w:p>
    <w:p w14:paraId="36540B84" w14:textId="3A134554" w:rsidR="0099394C" w:rsidRPr="00530F97" w:rsidRDefault="00865F84" w:rsidP="00A36EE3">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w:t>
      </w:r>
      <w:r w:rsidR="00A36EE3" w:rsidRPr="00530F97">
        <w: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7C24CD4B" w14:textId="603FAB35" w:rsidR="005C1800" w:rsidRDefault="00FE4D27" w:rsidP="0099394C">
      <w:r w:rsidRPr="00530F97">
        <w:tab/>
        <w:t>Besides symptom measurement, there is a need to develop</w:t>
      </w:r>
      <w:r w:rsidR="005C1800" w:rsidRPr="00530F97">
        <w:t xml:space="preserve"> and implement</w:t>
      </w:r>
      <w:r w:rsidRPr="00530F97">
        <w:t xml:space="preserve"> measurement tools that can be utilized repeatedly to provide clinicians</w:t>
      </w:r>
      <w:r w:rsidR="00865F84" w:rsidRPr="00530F97">
        <w:t xml:space="preserve"> and educators</w:t>
      </w:r>
      <w:r w:rsidRPr="00530F97">
        <w:t xml:space="preserve"> with valid and reliable information in determining RTL management decisions. The Concussion Learning Assessment and School Survey</w:t>
      </w:r>
      <w:r w:rsidR="007F1B66" w:rsidRPr="00530F97">
        <w:t>, 3</w:t>
      </w:r>
      <w:r w:rsidR="007F1B66" w:rsidRPr="00530F97">
        <w:rPr>
          <w:vertAlign w:val="superscript"/>
        </w:rPr>
        <w:t>rd</w:t>
      </w:r>
      <w:r w:rsidR="007F1B66" w:rsidRPr="00530F97">
        <w:t xml:space="preserve"> Edition</w:t>
      </w:r>
      <w:r w:rsidRPr="00530F97">
        <w:t xml:space="preserve"> (CLASS</w:t>
      </w:r>
      <w:r w:rsidR="007F1B66" w:rsidRPr="00530F97">
        <w:t>-3</w:t>
      </w:r>
      <w:r w:rsidRPr="00530F97">
        <w:t>)</w:t>
      </w:r>
      <w:r w:rsidR="00865F84" w:rsidRPr="00530F97">
        <w:t xml:space="preserve"> </w:t>
      </w:r>
      <w:r w:rsidR="00865F84" w:rsidRPr="00530F97">
        <w:fldChar w:fldCharType="begin" w:fldLock="1"/>
      </w:r>
      <w:r w:rsidR="00AB0346">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00865F84" w:rsidRPr="00530F97">
        <w:fldChar w:fldCharType="separate"/>
      </w:r>
      <w:r w:rsidR="00865F84" w:rsidRPr="00530F97">
        <w:rPr>
          <w:noProof/>
        </w:rPr>
        <w:t>(Gioia et al., 2020)</w:t>
      </w:r>
      <w:r w:rsidR="00865F84" w:rsidRPr="00530F97">
        <w:fldChar w:fldCharType="end"/>
      </w:r>
      <w:r w:rsidRPr="00530F97">
        <w:t xml:space="preserve"> is one such </w:t>
      </w:r>
      <w:r w:rsidR="005C1800" w:rsidRPr="00530F97">
        <w:t>tool</w:t>
      </w:r>
      <w:r w:rsidR="00D603DD" w:rsidRPr="00530F97">
        <w:t xml:space="preserve"> with reasonably strong psychometric properties</w:t>
      </w:r>
      <w:r w:rsidRPr="00530F97">
        <w:t xml:space="preserve"> that provides educators with a </w:t>
      </w:r>
      <w:r w:rsidR="007F1B66" w:rsidRPr="00530F97">
        <w:t>measurement</w:t>
      </w:r>
      <w:r w:rsidRPr="00530F97">
        <w:t xml:space="preserve"> to</w:t>
      </w:r>
      <w:r w:rsidR="007F1B66" w:rsidRPr="00530F97">
        <w:t xml:space="preserve"> </w:t>
      </w:r>
      <w:r w:rsidRPr="00530F97">
        <w:t xml:space="preserve">characterize </w:t>
      </w:r>
      <w:r w:rsidRPr="00530F97">
        <w:lastRenderedPageBreak/>
        <w:t xml:space="preserve">student </w:t>
      </w:r>
      <w:r w:rsidR="007F1B66" w:rsidRPr="00530F97">
        <w:t xml:space="preserve">academic </w:t>
      </w:r>
      <w:r w:rsidRPr="00530F97">
        <w:t>needs</w:t>
      </w:r>
      <w:r w:rsidR="00D84B7F" w:rsidRPr="00530F97">
        <w:t xml:space="preserve"> </w:t>
      </w:r>
      <w:r w:rsidR="00D603DD" w:rsidRPr="00530F97">
        <w:t>during concussion recovery</w:t>
      </w:r>
      <w:r w:rsidR="007F1B66" w:rsidRPr="00530F97">
        <w:t xml:space="preserve">. Previous versions of </w:t>
      </w:r>
      <w:r w:rsidR="00F04D7C" w:rsidRPr="00530F97">
        <w:t>the CLASS ha</w:t>
      </w:r>
      <w:r w:rsidR="007F1B66" w:rsidRPr="00530F97">
        <w:t>ve</w:t>
      </w:r>
      <w:r w:rsidR="00F04D7C" w:rsidRPr="00530F97">
        <w:t xml:space="preserve"> been </w:t>
      </w:r>
      <w:r w:rsidR="005C1800" w:rsidRPr="00530F97">
        <w:t>determined</w:t>
      </w:r>
      <w:r w:rsidR="00F04D7C" w:rsidRPr="00530F97">
        <w:t xml:space="preserve"> to successfully identify students experiencing academic challenges post-concussion, especially when used in tandem with symptom severity measurements like the PCSS </w:t>
      </w:r>
      <w:r w:rsidR="00F04D7C" w:rsidRPr="00530F97">
        <w:fldChar w:fldCharType="begin" w:fldLock="1"/>
      </w:r>
      <w:r w:rsidR="00112A34" w:rsidRPr="00530F97">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rsidRPr="00530F97">
        <w:fldChar w:fldCharType="separate"/>
      </w:r>
      <w:r w:rsidR="00F04D7C" w:rsidRPr="00530F97">
        <w:rPr>
          <w:noProof/>
        </w:rPr>
        <w:t>(Ransom et al., 2015)</w:t>
      </w:r>
      <w:r w:rsidR="00F04D7C" w:rsidRPr="00530F97">
        <w:fldChar w:fldCharType="end"/>
      </w:r>
      <w:r w:rsidR="00F04D7C" w:rsidRPr="00530F97">
        <w:t>.</w:t>
      </w:r>
      <w:r w:rsidR="005C1800" w:rsidRPr="00530F97">
        <w:t xml:space="preserve"> </w:t>
      </w:r>
      <w:r w:rsidR="00A36EE3" w:rsidRPr="00530F97">
        <w:t>Continued evaluation of the reliability and validity of the CLASS-3 on diverse populations is certainly warranted to expand its use across the educational spectrum.</w:t>
      </w:r>
      <w:r w:rsidR="00A36EE3">
        <w:t xml:space="preserve"> </w:t>
      </w:r>
    </w:p>
    <w:p w14:paraId="59F8C4E5" w14:textId="42F6DA1C" w:rsidR="00832CFC" w:rsidRDefault="00832CFC" w:rsidP="00832CFC">
      <w:pPr>
        <w:pStyle w:val="Heading3"/>
      </w:pPr>
      <w:r>
        <w:t xml:space="preserve">Implementation Limitations </w:t>
      </w:r>
    </w:p>
    <w:p w14:paraId="131A3E77" w14:textId="337CF66F" w:rsidR="00832CFC" w:rsidRDefault="00832CFC" w:rsidP="00832CFC">
      <w:r>
        <w:tab/>
        <w:t>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protocols must be evaluated on schools with diverse</w:t>
      </w:r>
      <w:r w:rsidR="007B03CD">
        <w:t xml:space="preserve"> and underrepresented</w:t>
      </w:r>
      <w:r>
        <w:t xml:space="preserve"> backgrounds </w:t>
      </w:r>
      <w:r w:rsidR="007B03CD">
        <w:t xml:space="preserve">to ensure effective protocols can extend to all students. </w:t>
      </w:r>
    </w:p>
    <w:p w14:paraId="5C06C4E2" w14:textId="3263181F" w:rsidR="00450BE6" w:rsidRDefault="00450BE6" w:rsidP="00450BE6">
      <w:pPr>
        <w:pStyle w:val="Heading2"/>
      </w:pPr>
      <w:r>
        <w:t xml:space="preserve">Study Limitations </w:t>
      </w:r>
    </w:p>
    <w:p w14:paraId="1EA11BC1" w14:textId="3226874E"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 xml:space="preserve">. Data on ImPACT scores and PCSS symptom severity ratings generate from a different data set than the data source for student RTP outcome. The two data sets were joined in RSudio to attempt to create one large data set with all </w:t>
      </w:r>
      <w:r w:rsidR="00112A34" w:rsidRPr="00AB0346">
        <w:lastRenderedPageBreak/>
        <w:t>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2964403" w14:textId="174BB54A" w:rsidR="00112A34" w:rsidRDefault="00112A34" w:rsidP="00112A34">
      <w:pPr>
        <w:pStyle w:val="Heading2"/>
      </w:pPr>
      <w:r>
        <w:t>Conclusions</w:t>
      </w:r>
    </w:p>
    <w:p w14:paraId="4E768C08" w14:textId="5A7508C1"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766703CF" w14:textId="13A71ECD" w:rsidR="00D74A2B" w:rsidRPr="00D74A2B" w:rsidRDefault="007A73E7" w:rsidP="00D74A2B">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D74A2B" w:rsidRPr="00D74A2B">
        <w:rPr>
          <w:rFonts w:cs="Times New Roman"/>
          <w:noProof/>
        </w:rPr>
        <w:t xml:space="preserve">Arbabi, M., Sheldon, R. J. G., Bahadoran, P., Smith, J. G., Poole, N., &amp; Agrawal, N. (2020). Treatment outcomes in mild traumatic brain injury: a systematic review of randomized controlled trials. </w:t>
      </w:r>
      <w:r w:rsidR="00D74A2B" w:rsidRPr="00D74A2B">
        <w:rPr>
          <w:rFonts w:cs="Times New Roman"/>
          <w:i/>
          <w:iCs/>
          <w:noProof/>
        </w:rPr>
        <w:t>Brain Injury</w:t>
      </w:r>
      <w:r w:rsidR="00D74A2B" w:rsidRPr="00D74A2B">
        <w:rPr>
          <w:rFonts w:cs="Times New Roman"/>
          <w:noProof/>
        </w:rPr>
        <w:t xml:space="preserve">, </w:t>
      </w:r>
      <w:r w:rsidR="00D74A2B" w:rsidRPr="00D74A2B">
        <w:rPr>
          <w:rFonts w:cs="Times New Roman"/>
          <w:i/>
          <w:iCs/>
          <w:noProof/>
        </w:rPr>
        <w:t>34</w:t>
      </w:r>
      <w:r w:rsidR="00D74A2B" w:rsidRPr="00D74A2B">
        <w:rPr>
          <w:rFonts w:cs="Times New Roman"/>
          <w:noProof/>
        </w:rPr>
        <w:t>(9), 1139–1149. https://doi.org/10.1080/02699052.2020.1797168</w:t>
      </w:r>
    </w:p>
    <w:p w14:paraId="690A0B04"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Baker, J. G., Leddy, J. J., Darling, S. R., Shucard, J., Makdissi, M., &amp; Willer, B. S. (2016). Gender differences in recovery from sports-related concussion in adolescents. </w:t>
      </w:r>
      <w:r w:rsidRPr="00D74A2B">
        <w:rPr>
          <w:rFonts w:cs="Times New Roman"/>
          <w:i/>
          <w:iCs/>
          <w:noProof/>
        </w:rPr>
        <w:t>Clinical Pediatrics</w:t>
      </w:r>
      <w:r w:rsidRPr="00D74A2B">
        <w:rPr>
          <w:rFonts w:cs="Times New Roman"/>
          <w:noProof/>
        </w:rPr>
        <w:t xml:space="preserve">, </w:t>
      </w:r>
      <w:r w:rsidRPr="00D74A2B">
        <w:rPr>
          <w:rFonts w:cs="Times New Roman"/>
          <w:i/>
          <w:iCs/>
          <w:noProof/>
        </w:rPr>
        <w:t>55</w:t>
      </w:r>
      <w:r w:rsidRPr="00D74A2B">
        <w:rPr>
          <w:rFonts w:cs="Times New Roman"/>
          <w:noProof/>
        </w:rPr>
        <w:t>(8), 771–775. https://doi.org/10.1177/0009922815606417</w:t>
      </w:r>
    </w:p>
    <w:p w14:paraId="41558B2B"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Bazarian, J. J., Blyth, B., Mookerjee, S., He, H., &amp; McDermott, M. P. (2010). Sex differences in outcome after mild traumatic brain injury. </w:t>
      </w:r>
      <w:r w:rsidRPr="00D74A2B">
        <w:rPr>
          <w:rFonts w:cs="Times New Roman"/>
          <w:i/>
          <w:iCs/>
          <w:noProof/>
        </w:rPr>
        <w:t>Journal of Neurotrauma</w:t>
      </w:r>
      <w:r w:rsidRPr="00D74A2B">
        <w:rPr>
          <w:rFonts w:cs="Times New Roman"/>
          <w:noProof/>
        </w:rPr>
        <w:t xml:space="preserve">, </w:t>
      </w:r>
      <w:r w:rsidRPr="00D74A2B">
        <w:rPr>
          <w:rFonts w:cs="Times New Roman"/>
          <w:i/>
          <w:iCs/>
          <w:noProof/>
        </w:rPr>
        <w:t>27</w:t>
      </w:r>
      <w:r w:rsidRPr="00D74A2B">
        <w:rPr>
          <w:rFonts w:cs="Times New Roman"/>
          <w:noProof/>
        </w:rPr>
        <w:t>, 527–539.</w:t>
      </w:r>
    </w:p>
    <w:p w14:paraId="09C8CDFC"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Broglio, S. P., Surma, T., &amp; Ashton-Miller, J. A. (2012). High school and collegiate football athlete concussions: A biomechanical review. </w:t>
      </w:r>
      <w:r w:rsidRPr="00D74A2B">
        <w:rPr>
          <w:rFonts w:cs="Times New Roman"/>
          <w:i/>
          <w:iCs/>
          <w:noProof/>
        </w:rPr>
        <w:t>Annals of Biomedical Engineering</w:t>
      </w:r>
      <w:r w:rsidRPr="00D74A2B">
        <w:rPr>
          <w:rFonts w:cs="Times New Roman"/>
          <w:noProof/>
        </w:rPr>
        <w:t xml:space="preserve">, </w:t>
      </w:r>
      <w:r w:rsidRPr="00D74A2B">
        <w:rPr>
          <w:rFonts w:cs="Times New Roman"/>
          <w:i/>
          <w:iCs/>
          <w:noProof/>
        </w:rPr>
        <w:t>40</w:t>
      </w:r>
      <w:r w:rsidRPr="00D74A2B">
        <w:rPr>
          <w:rFonts w:cs="Times New Roman"/>
          <w:noProof/>
        </w:rPr>
        <w:t>(1), 37–46. https://doi.org/10.1007/s10439-011-0396-0</w:t>
      </w:r>
    </w:p>
    <w:p w14:paraId="7792FC75"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Colvin, A. C., Mullen, J., Lovell, M. R., West, R. V., Collins, M. W., &amp; Groh, M. (2009). The role of concussion history and gender in recovery from soccer-related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37</w:t>
      </w:r>
      <w:r w:rsidRPr="00D74A2B">
        <w:rPr>
          <w:rFonts w:cs="Times New Roman"/>
          <w:noProof/>
        </w:rPr>
        <w:t>(9), 1699–1704. https://doi.org/10.1177/0363546509332497</w:t>
      </w:r>
    </w:p>
    <w:p w14:paraId="5CEC126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Covassin, T., Elbin, R. J., Bleecker, A., Lipchik, A., &amp; Kontos, A. P. (2013). Are there differences in neurocognitive function and symptoms between male and female soccer players after concussions?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41</w:t>
      </w:r>
      <w:r w:rsidRPr="00D74A2B">
        <w:rPr>
          <w:rFonts w:cs="Times New Roman"/>
          <w:noProof/>
        </w:rPr>
        <w:t>(12), 2890–2895. https://doi.org/10.1177/0363546513509962</w:t>
      </w:r>
    </w:p>
    <w:p w14:paraId="678A196F"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Covassin, T., Elbin, R. J., Harris, W., Parker, T., &amp; Kontos, A. (2012). The role of age and sex in symptoms, neurocognitive performance, and postural stability in athletes after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40</w:t>
      </w:r>
      <w:r w:rsidRPr="00D74A2B">
        <w:rPr>
          <w:rFonts w:cs="Times New Roman"/>
          <w:noProof/>
        </w:rPr>
        <w:t xml:space="preserve">(6), 1303–1312. </w:t>
      </w:r>
      <w:r w:rsidRPr="00D74A2B">
        <w:rPr>
          <w:rFonts w:cs="Times New Roman"/>
          <w:noProof/>
        </w:rPr>
        <w:lastRenderedPageBreak/>
        <w:t>https://doi.org/10.1177/0363546512444554</w:t>
      </w:r>
    </w:p>
    <w:p w14:paraId="37FE9D61"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Dachtyl, S. A., &amp; Morales, P. (2017). A collaborative model for return to academics after concussion: Athletic training and speech-language pathology. </w:t>
      </w:r>
      <w:r w:rsidRPr="00D74A2B">
        <w:rPr>
          <w:rFonts w:cs="Times New Roman"/>
          <w:i/>
          <w:iCs/>
          <w:noProof/>
        </w:rPr>
        <w:t>American Journal of Speech-Language Pathology</w:t>
      </w:r>
      <w:r w:rsidRPr="00D74A2B">
        <w:rPr>
          <w:rFonts w:cs="Times New Roman"/>
          <w:noProof/>
        </w:rPr>
        <w:t xml:space="preserve">, </w:t>
      </w:r>
      <w:r w:rsidRPr="00D74A2B">
        <w:rPr>
          <w:rFonts w:cs="Times New Roman"/>
          <w:i/>
          <w:iCs/>
          <w:noProof/>
        </w:rPr>
        <w:t>26</w:t>
      </w:r>
      <w:r w:rsidRPr="00D74A2B">
        <w:rPr>
          <w:rFonts w:cs="Times New Roman"/>
          <w:noProof/>
        </w:rPr>
        <w:t>, 716–728.</w:t>
      </w:r>
    </w:p>
    <w:p w14:paraId="3DE854DA"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Davies, S. C. (2016). School-based traumatic brain injury and concussion management program. </w:t>
      </w:r>
      <w:r w:rsidRPr="00D74A2B">
        <w:rPr>
          <w:rFonts w:cs="Times New Roman"/>
          <w:i/>
          <w:iCs/>
          <w:noProof/>
        </w:rPr>
        <w:t>Hellenic Journal of Psychology</w:t>
      </w:r>
      <w:r w:rsidRPr="00D74A2B">
        <w:rPr>
          <w:rFonts w:cs="Times New Roman"/>
          <w:noProof/>
        </w:rPr>
        <w:t xml:space="preserve">, </w:t>
      </w:r>
      <w:r w:rsidRPr="00D74A2B">
        <w:rPr>
          <w:rFonts w:cs="Times New Roman"/>
          <w:i/>
          <w:iCs/>
          <w:noProof/>
        </w:rPr>
        <w:t>53</w:t>
      </w:r>
      <w:r w:rsidRPr="00D74A2B">
        <w:rPr>
          <w:rFonts w:cs="Times New Roman"/>
          <w:noProof/>
        </w:rPr>
        <w:t>(6), 567–582. https://doi.org/10.1002/pits</w:t>
      </w:r>
    </w:p>
    <w:p w14:paraId="150BF508"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D74A2B">
        <w:rPr>
          <w:rFonts w:cs="Times New Roman"/>
          <w:i/>
          <w:iCs/>
          <w:noProof/>
        </w:rPr>
        <w:t>Journal of Neurotrauma</w:t>
      </w:r>
      <w:r w:rsidRPr="00D74A2B">
        <w:rPr>
          <w:rFonts w:cs="Times New Roman"/>
          <w:noProof/>
        </w:rPr>
        <w:t xml:space="preserve">, </w:t>
      </w:r>
      <w:r w:rsidRPr="00D74A2B">
        <w:rPr>
          <w:rFonts w:cs="Times New Roman"/>
          <w:i/>
          <w:iCs/>
          <w:noProof/>
        </w:rPr>
        <w:t>35</w:t>
      </w:r>
      <w:r w:rsidRPr="00D74A2B">
        <w:rPr>
          <w:rFonts w:cs="Times New Roman"/>
          <w:noProof/>
        </w:rPr>
        <w:t>(11), 1242–1247. https://doi.org/10.1089/neu.2017.5453</w:t>
      </w:r>
    </w:p>
    <w:p w14:paraId="06C3F27A"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(2016). Medical-school partnership in guiding return to school following mild traumatic brain injury in youth. </w:t>
      </w:r>
      <w:r w:rsidRPr="00D74A2B">
        <w:rPr>
          <w:rFonts w:cs="Times New Roman"/>
          <w:i/>
          <w:iCs/>
          <w:noProof/>
        </w:rPr>
        <w:t>Journal of Child Neurology</w:t>
      </w:r>
      <w:r w:rsidRPr="00D74A2B">
        <w:rPr>
          <w:rFonts w:cs="Times New Roman"/>
          <w:noProof/>
        </w:rPr>
        <w:t xml:space="preserve">, </w:t>
      </w:r>
      <w:r w:rsidRPr="00D74A2B">
        <w:rPr>
          <w:rFonts w:cs="Times New Roman"/>
          <w:i/>
          <w:iCs/>
          <w:noProof/>
        </w:rPr>
        <w:t>31</w:t>
      </w:r>
      <w:r w:rsidRPr="00D74A2B">
        <w:rPr>
          <w:rFonts w:cs="Times New Roman"/>
          <w:noProof/>
        </w:rPr>
        <w:t>(1), 93–108. https://doi.org/10.1002/oby.21042.Prevalence</w:t>
      </w:r>
    </w:p>
    <w:p w14:paraId="2639D923"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D74A2B">
        <w:rPr>
          <w:rFonts w:cs="Times New Roman"/>
          <w:i/>
          <w:iCs/>
          <w:noProof/>
        </w:rPr>
        <w:t>Journal of Pediatric Neuropsychology</w:t>
      </w:r>
      <w:r w:rsidRPr="00D74A2B">
        <w:rPr>
          <w:rFonts w:cs="Times New Roman"/>
          <w:noProof/>
        </w:rPr>
        <w:t xml:space="preserve">, </w:t>
      </w:r>
      <w:r w:rsidRPr="00D74A2B">
        <w:rPr>
          <w:rFonts w:cs="Times New Roman"/>
          <w:i/>
          <w:iCs/>
          <w:noProof/>
        </w:rPr>
        <w:t>6</w:t>
      </w:r>
      <w:r w:rsidRPr="00D74A2B">
        <w:rPr>
          <w:rFonts w:cs="Times New Roman"/>
          <w:noProof/>
        </w:rPr>
        <w:t>, 203–217. https://doi.org/https://doi.org/10.1007/s40817-020-00092-5</w:t>
      </w:r>
    </w:p>
    <w:p w14:paraId="144BCAA4"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Gioia, G. A., Glang, A. E., Hooper, S. R., &amp; Brown, B. E. (2016). Building statewide infrastructure for the academic support of students with mild traumatic brain injury. </w:t>
      </w:r>
      <w:r w:rsidRPr="00D74A2B">
        <w:rPr>
          <w:rFonts w:cs="Times New Roman"/>
          <w:i/>
          <w:iCs/>
          <w:noProof/>
        </w:rPr>
        <w:t>Journal of Head Trauma Rehabilitation</w:t>
      </w:r>
      <w:r w:rsidRPr="00D74A2B">
        <w:rPr>
          <w:rFonts w:cs="Times New Roman"/>
          <w:noProof/>
        </w:rPr>
        <w:t xml:space="preserve">, </w:t>
      </w:r>
      <w:r w:rsidRPr="00D74A2B">
        <w:rPr>
          <w:rFonts w:cs="Times New Roman"/>
          <w:i/>
          <w:iCs/>
          <w:noProof/>
        </w:rPr>
        <w:t>31</w:t>
      </w:r>
      <w:r w:rsidRPr="00D74A2B">
        <w:rPr>
          <w:rFonts w:cs="Times New Roman"/>
          <w:noProof/>
        </w:rPr>
        <w:t>(6), 397–406. https://doi.org/10.1097/HTR.0000000000000205</w:t>
      </w:r>
    </w:p>
    <w:p w14:paraId="3AA9AE86"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Grubenhoff, J. A., Deakyne, S. J., Brou, L., Bajaj, L., Comstock, R. D., &amp; Kirkwood, M. W. </w:t>
      </w:r>
      <w:r w:rsidRPr="00D74A2B">
        <w:rPr>
          <w:rFonts w:cs="Times New Roman"/>
          <w:noProof/>
        </w:rPr>
        <w:lastRenderedPageBreak/>
        <w:t xml:space="preserve">(2014). Acute concussion symptom severity and delayed symptom resolution. </w:t>
      </w:r>
      <w:r w:rsidRPr="00D74A2B">
        <w:rPr>
          <w:rFonts w:cs="Times New Roman"/>
          <w:i/>
          <w:iCs/>
          <w:noProof/>
        </w:rPr>
        <w:t>Pediatrics</w:t>
      </w:r>
      <w:r w:rsidRPr="00D74A2B">
        <w:rPr>
          <w:rFonts w:cs="Times New Roman"/>
          <w:noProof/>
        </w:rPr>
        <w:t xml:space="preserve">, </w:t>
      </w:r>
      <w:r w:rsidRPr="00D74A2B">
        <w:rPr>
          <w:rFonts w:cs="Times New Roman"/>
          <w:i/>
          <w:iCs/>
          <w:noProof/>
        </w:rPr>
        <w:t>134</w:t>
      </w:r>
      <w:r w:rsidRPr="00D74A2B">
        <w:rPr>
          <w:rFonts w:cs="Times New Roman"/>
          <w:noProof/>
        </w:rPr>
        <w:t>(1), 54–62. https://doi.org/10.1542/peds.2013-2988</w:t>
      </w:r>
    </w:p>
    <w:p w14:paraId="1A99265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Halstead, M. E., McAvoy, K., Devore, C. D., Carl, R., Lee, M., &amp; Logan, K. (2013). Returning to learning following a concussion. </w:t>
      </w:r>
      <w:r w:rsidRPr="00D74A2B">
        <w:rPr>
          <w:rFonts w:cs="Times New Roman"/>
          <w:i/>
          <w:iCs/>
          <w:noProof/>
        </w:rPr>
        <w:t>Pediatrics</w:t>
      </w:r>
      <w:r w:rsidRPr="00D74A2B">
        <w:rPr>
          <w:rFonts w:cs="Times New Roman"/>
          <w:noProof/>
        </w:rPr>
        <w:t xml:space="preserve">, </w:t>
      </w:r>
      <w:r w:rsidRPr="00D74A2B">
        <w:rPr>
          <w:rFonts w:cs="Times New Roman"/>
          <w:i/>
          <w:iCs/>
          <w:noProof/>
        </w:rPr>
        <w:t>132</w:t>
      </w:r>
      <w:r w:rsidRPr="00D74A2B">
        <w:rPr>
          <w:rFonts w:cs="Times New Roman"/>
          <w:noProof/>
        </w:rPr>
        <w:t>(5), 948–957. https://doi.org/10.1542/peds.2013-2867</w:t>
      </w:r>
    </w:p>
    <w:p w14:paraId="005FD0E3"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53</w:t>
      </w:r>
      <w:r w:rsidRPr="00D74A2B">
        <w:rPr>
          <w:rFonts w:cs="Times New Roman"/>
          <w:noProof/>
        </w:rPr>
        <w:t>(4), 213–225. https://doi.org/10.1136/bjsports-2018-100338</w:t>
      </w:r>
    </w:p>
    <w:p w14:paraId="76DD57AC"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Hossler, P., McAvoy, K., Rossen, E., Schoessler, S., &amp; Thompson, P. (2014). A comprehensive team approach to treating concussions in student athletes. </w:t>
      </w:r>
      <w:r w:rsidRPr="00D74A2B">
        <w:rPr>
          <w:rFonts w:cs="Times New Roman"/>
          <w:i/>
          <w:iCs/>
          <w:noProof/>
        </w:rPr>
        <w:t>National Association of Secondary School Principles</w:t>
      </w:r>
      <w:r w:rsidRPr="00D74A2B">
        <w:rPr>
          <w:rFonts w:cs="Times New Roman"/>
          <w:noProof/>
        </w:rPr>
        <w:t xml:space="preserve">, </w:t>
      </w:r>
      <w:r w:rsidRPr="00D74A2B">
        <w:rPr>
          <w:rFonts w:cs="Times New Roman"/>
          <w:i/>
          <w:iCs/>
          <w:noProof/>
        </w:rPr>
        <w:t>9</w:t>
      </w:r>
      <w:r w:rsidRPr="00D74A2B">
        <w:rPr>
          <w:rFonts w:cs="Times New Roman"/>
          <w:noProof/>
        </w:rPr>
        <w:t>(3), 1–7. https://doi.org/10.1089/acm.2009.0309.In</w:t>
      </w:r>
    </w:p>
    <w:p w14:paraId="24795F11"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Iverson, G. L., Gardner, A. J., Terry, D. P., Ponsford, J. L., Sills, A. K., Broshek, D. K., &amp; Solomon, G. S. (2017). Predictors of clinical recovery from concussion: A systematic review.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51</w:t>
      </w:r>
      <w:r w:rsidRPr="00D74A2B">
        <w:rPr>
          <w:rFonts w:cs="Times New Roman"/>
          <w:noProof/>
        </w:rPr>
        <w:t>(12), 941–948. https://doi.org/10.1136/bjsports-2017-097729</w:t>
      </w:r>
    </w:p>
    <w:p w14:paraId="5F40E185"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Kerr, Z. Y., Zuckerman, S. L., Wasserman, E. B., Covassin, T., Djoko, A., &amp; Dompier, T. P. (2016). Concussion symptoms and return to play time in youth, high school, and college American football athletes. </w:t>
      </w:r>
      <w:r w:rsidRPr="00D74A2B">
        <w:rPr>
          <w:rFonts w:cs="Times New Roman"/>
          <w:i/>
          <w:iCs/>
          <w:noProof/>
        </w:rPr>
        <w:t>JAMA Pediatrics</w:t>
      </w:r>
      <w:r w:rsidRPr="00D74A2B">
        <w:rPr>
          <w:rFonts w:cs="Times New Roman"/>
          <w:noProof/>
        </w:rPr>
        <w:t xml:space="preserve">, </w:t>
      </w:r>
      <w:r w:rsidRPr="00D74A2B">
        <w:rPr>
          <w:rFonts w:cs="Times New Roman"/>
          <w:i/>
          <w:iCs/>
          <w:noProof/>
        </w:rPr>
        <w:t>170</w:t>
      </w:r>
      <w:r w:rsidRPr="00D74A2B">
        <w:rPr>
          <w:rFonts w:cs="Times New Roman"/>
          <w:noProof/>
        </w:rPr>
        <w:t>(7), 647–653. https://doi.org/10.1001/jamapediatrics.2016.0073</w:t>
      </w:r>
    </w:p>
    <w:p w14:paraId="57189D0E"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Lumba-Brown, A., Ghajar, J., Cornwell, J., Bloom, O. J., Chesnutt, J., Clugston, J. R., Kolluri, R., Leddy, J. J., Teramoto, M., &amp; Gioia, G. (2019). Representation of concussion subtypes </w:t>
      </w:r>
      <w:r w:rsidRPr="00D74A2B">
        <w:rPr>
          <w:rFonts w:cs="Times New Roman"/>
          <w:noProof/>
        </w:rPr>
        <w:lastRenderedPageBreak/>
        <w:t xml:space="preserve">in common postconcussion symptom-rating scales. </w:t>
      </w:r>
      <w:r w:rsidRPr="00D74A2B">
        <w:rPr>
          <w:rFonts w:cs="Times New Roman"/>
          <w:i/>
          <w:iCs/>
          <w:noProof/>
        </w:rPr>
        <w:t>Concussion</w:t>
      </w:r>
      <w:r w:rsidRPr="00D74A2B">
        <w:rPr>
          <w:rFonts w:cs="Times New Roman"/>
          <w:noProof/>
        </w:rPr>
        <w:t xml:space="preserve">, </w:t>
      </w:r>
      <w:r w:rsidRPr="00D74A2B">
        <w:rPr>
          <w:rFonts w:cs="Times New Roman"/>
          <w:i/>
          <w:iCs/>
          <w:noProof/>
        </w:rPr>
        <w:t>4</w:t>
      </w:r>
      <w:r w:rsidRPr="00D74A2B">
        <w:rPr>
          <w:rFonts w:cs="Times New Roman"/>
          <w:noProof/>
        </w:rPr>
        <w:t>(3). https://doi.org/10.2217/cnc-2019-0005</w:t>
      </w:r>
    </w:p>
    <w:p w14:paraId="664E17F2"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McAvoy, K., Eagan-Johnson, B., Dymacek, R., Hooper, S., McCart, M., &amp; Tyler, J. (2020). Establishing consensus for essential elements in returning to learn following a concussion. </w:t>
      </w:r>
      <w:r w:rsidRPr="00D74A2B">
        <w:rPr>
          <w:rFonts w:cs="Times New Roman"/>
          <w:i/>
          <w:iCs/>
          <w:noProof/>
        </w:rPr>
        <w:t>Journal of School Health</w:t>
      </w:r>
      <w:r w:rsidRPr="00D74A2B">
        <w:rPr>
          <w:rFonts w:cs="Times New Roman"/>
          <w:noProof/>
        </w:rPr>
        <w:t xml:space="preserve">, </w:t>
      </w:r>
      <w:r w:rsidRPr="00D74A2B">
        <w:rPr>
          <w:rFonts w:cs="Times New Roman"/>
          <w:i/>
          <w:iCs/>
          <w:noProof/>
        </w:rPr>
        <w:t>90</w:t>
      </w:r>
      <w:r w:rsidRPr="00D74A2B">
        <w:rPr>
          <w:rFonts w:cs="Times New Roman"/>
          <w:noProof/>
        </w:rPr>
        <w:t>(11), 849–858. https://doi.org/10.1111/josh.12949</w:t>
      </w:r>
    </w:p>
    <w:p w14:paraId="5CF99466"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McAvoy, K., Eagan-Johnson, B., &amp; Halstead, M. (2018). Return to learn: Transitioning to school and through ascending levels of academic support for students following a concussion. </w:t>
      </w:r>
      <w:r w:rsidRPr="00D74A2B">
        <w:rPr>
          <w:rFonts w:cs="Times New Roman"/>
          <w:i/>
          <w:iCs/>
          <w:noProof/>
        </w:rPr>
        <w:t>NeuroRehabilitation</w:t>
      </w:r>
      <w:r w:rsidRPr="00D74A2B">
        <w:rPr>
          <w:rFonts w:cs="Times New Roman"/>
          <w:noProof/>
        </w:rPr>
        <w:t xml:space="preserve">, </w:t>
      </w:r>
      <w:r w:rsidRPr="00D74A2B">
        <w:rPr>
          <w:rFonts w:cs="Times New Roman"/>
          <w:i/>
          <w:iCs/>
          <w:noProof/>
        </w:rPr>
        <w:t>42</w:t>
      </w:r>
      <w:r w:rsidRPr="00D74A2B">
        <w:rPr>
          <w:rFonts w:cs="Times New Roman"/>
          <w:noProof/>
        </w:rPr>
        <w:t>(3), 325–330. https://doi.org/10.3233/NRE-172381</w:t>
      </w:r>
    </w:p>
    <w:p w14:paraId="6DBF061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D74A2B">
        <w:rPr>
          <w:rFonts w:cs="Times New Roman"/>
          <w:i/>
          <w:iCs/>
          <w:noProof/>
        </w:rPr>
        <w:t>British Journal of Sports Medicine</w:t>
      </w:r>
      <w:r w:rsidRPr="00D74A2B">
        <w:rPr>
          <w:rFonts w:cs="Times New Roman"/>
          <w:noProof/>
        </w:rPr>
        <w:t xml:space="preserve">, </w:t>
      </w:r>
      <w:r w:rsidRPr="00D74A2B">
        <w:rPr>
          <w:rFonts w:cs="Times New Roman"/>
          <w:i/>
          <w:iCs/>
          <w:noProof/>
        </w:rPr>
        <w:t>51</w:t>
      </w:r>
      <w:r w:rsidRPr="00D74A2B">
        <w:rPr>
          <w:rFonts w:cs="Times New Roman"/>
          <w:noProof/>
        </w:rPr>
        <w:t>(11), 838–847. https://doi.org/10.1136/bjsports-2017-097699</w:t>
      </w:r>
    </w:p>
    <w:p w14:paraId="54587B1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Ono, K. E., Burns, T. G., Bearden, D. J., McManus, S. M., King, H., &amp; Reisner, A. (2016). Sex-based differences as a predictor of recovery trajectories in young athletes after a sports-related concussion. </w:t>
      </w:r>
      <w:r w:rsidRPr="00D74A2B">
        <w:rPr>
          <w:rFonts w:cs="Times New Roman"/>
          <w:i/>
          <w:iCs/>
          <w:noProof/>
        </w:rPr>
        <w:t>American Journal of Sports Medicine</w:t>
      </w:r>
      <w:r w:rsidRPr="00D74A2B">
        <w:rPr>
          <w:rFonts w:cs="Times New Roman"/>
          <w:noProof/>
        </w:rPr>
        <w:t xml:space="preserve">, </w:t>
      </w:r>
      <w:r w:rsidRPr="00D74A2B">
        <w:rPr>
          <w:rFonts w:cs="Times New Roman"/>
          <w:i/>
          <w:iCs/>
          <w:noProof/>
        </w:rPr>
        <w:t>44</w:t>
      </w:r>
      <w:r w:rsidRPr="00D74A2B">
        <w:rPr>
          <w:rFonts w:cs="Times New Roman"/>
          <w:noProof/>
        </w:rPr>
        <w:t>(3), 748–752. https://doi.org/10.1177/0363546515617746</w:t>
      </w:r>
    </w:p>
    <w:p w14:paraId="6175FA57"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Ransom, D. M., Vaughan, C. G., Pratson, L., Sady, M. D., McGill, C. A., &amp; Gioia, G. A. (2015). Academic effects of concussion in children and adolescents. </w:t>
      </w:r>
      <w:r w:rsidRPr="00D74A2B">
        <w:rPr>
          <w:rFonts w:cs="Times New Roman"/>
          <w:i/>
          <w:iCs/>
          <w:noProof/>
        </w:rPr>
        <w:t>Pediatrics</w:t>
      </w:r>
      <w:r w:rsidRPr="00D74A2B">
        <w:rPr>
          <w:rFonts w:cs="Times New Roman"/>
          <w:noProof/>
        </w:rPr>
        <w:t xml:space="preserve">, </w:t>
      </w:r>
      <w:r w:rsidRPr="00D74A2B">
        <w:rPr>
          <w:rFonts w:cs="Times New Roman"/>
          <w:i/>
          <w:iCs/>
          <w:noProof/>
        </w:rPr>
        <w:t>135</w:t>
      </w:r>
      <w:r w:rsidRPr="00D74A2B">
        <w:rPr>
          <w:rFonts w:cs="Times New Roman"/>
          <w:noProof/>
        </w:rPr>
        <w:t>(6), 1043–1050. https://doi.org/10.1542/peds.2014-3434</w:t>
      </w:r>
    </w:p>
    <w:p w14:paraId="0611BA2B"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Sarmiento, K., Thomas, K. E., Daugherty, J., Waltzman, D., Haarbauer-Krupa, J. K., Peterson, A. B., Haileyesus, T., &amp; Breiding, M. J. (2019). Emergency department visits for sports- </w:t>
      </w:r>
      <w:r w:rsidRPr="00D74A2B">
        <w:rPr>
          <w:rFonts w:cs="Times New Roman"/>
          <w:noProof/>
        </w:rPr>
        <w:lastRenderedPageBreak/>
        <w:t xml:space="preserve">and recreation-related traumatic brain injuries among children - United States, 2010-2016. </w:t>
      </w:r>
      <w:r w:rsidRPr="00D74A2B">
        <w:rPr>
          <w:rFonts w:cs="Times New Roman"/>
          <w:i/>
          <w:iCs/>
          <w:noProof/>
        </w:rPr>
        <w:t>MMWR. Morbidity and Mortality Weekly Report</w:t>
      </w:r>
      <w:r w:rsidRPr="00D74A2B">
        <w:rPr>
          <w:rFonts w:cs="Times New Roman"/>
          <w:noProof/>
        </w:rPr>
        <w:t xml:space="preserve">, </w:t>
      </w:r>
      <w:r w:rsidRPr="00D74A2B">
        <w:rPr>
          <w:rFonts w:cs="Times New Roman"/>
          <w:i/>
          <w:iCs/>
          <w:noProof/>
        </w:rPr>
        <w:t>68</w:t>
      </w:r>
      <w:r w:rsidRPr="00D74A2B">
        <w:rPr>
          <w:rFonts w:cs="Times New Roman"/>
          <w:noProof/>
        </w:rPr>
        <w:t>(10), 237–242. http://www.embase.com/search/results?subaction=viewrecord&amp;from=export&amp;id=L626806097%0Ahttp://dx.doi.org/10.15585/mmwr.mm6810a2</w:t>
      </w:r>
    </w:p>
    <w:p w14:paraId="711FBFF0"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Tamura, K., Furutani, T., Oshiro, R., Oba, Y., Ling, A., &amp; Murata, N. (2020). Concussion recovery timeline of high school athletes using a stepwise return-to-play protocol: Age and sex effects. </w:t>
      </w:r>
      <w:r w:rsidRPr="00D74A2B">
        <w:rPr>
          <w:rFonts w:cs="Times New Roman"/>
          <w:i/>
          <w:iCs/>
          <w:noProof/>
        </w:rPr>
        <w:t>Journal of Athletic Training</w:t>
      </w:r>
      <w:r w:rsidRPr="00D74A2B">
        <w:rPr>
          <w:rFonts w:cs="Times New Roman"/>
          <w:noProof/>
        </w:rPr>
        <w:t xml:space="preserve">, </w:t>
      </w:r>
      <w:r w:rsidRPr="00D74A2B">
        <w:rPr>
          <w:rFonts w:cs="Times New Roman"/>
          <w:i/>
          <w:iCs/>
          <w:noProof/>
        </w:rPr>
        <w:t>55</w:t>
      </w:r>
      <w:r w:rsidRPr="00D74A2B">
        <w:rPr>
          <w:rFonts w:cs="Times New Roman"/>
          <w:noProof/>
        </w:rPr>
        <w:t>(1), 1–4. https://doi.org/10.4085/1062-6050-452-18</w:t>
      </w:r>
    </w:p>
    <w:p w14:paraId="6A133C7E" w14:textId="77777777" w:rsidR="00D74A2B" w:rsidRPr="00D74A2B" w:rsidRDefault="00D74A2B" w:rsidP="00D74A2B">
      <w:pPr>
        <w:widowControl w:val="0"/>
        <w:autoSpaceDE w:val="0"/>
        <w:autoSpaceDN w:val="0"/>
        <w:adjustRightInd w:val="0"/>
        <w:ind w:left="480" w:hanging="480"/>
        <w:rPr>
          <w:rFonts w:cs="Times New Roman"/>
          <w:noProof/>
        </w:rPr>
      </w:pPr>
      <w:r w:rsidRPr="00D74A2B">
        <w:rPr>
          <w:rFonts w:cs="Times New Roman"/>
          <w:noProof/>
        </w:rPr>
        <w:t xml:space="preserve">Zuckerman, S. L., Apple, R. P., Odom, M. J., Lee, Y. M., Solomon, G. S., &amp; Sills, A. K. (2014). Effect of sex on symptoms and return to baseline in sport-related concussion: Clinical article. </w:t>
      </w:r>
      <w:r w:rsidRPr="00D74A2B">
        <w:rPr>
          <w:rFonts w:cs="Times New Roman"/>
          <w:i/>
          <w:iCs/>
          <w:noProof/>
        </w:rPr>
        <w:t>Journal of Neurosurgery: Pediatrics</w:t>
      </w:r>
      <w:r w:rsidRPr="00D74A2B">
        <w:rPr>
          <w:rFonts w:cs="Times New Roman"/>
          <w:noProof/>
        </w:rPr>
        <w:t xml:space="preserve">, </w:t>
      </w:r>
      <w:r w:rsidRPr="00D74A2B">
        <w:rPr>
          <w:rFonts w:cs="Times New Roman"/>
          <w:i/>
          <w:iCs/>
          <w:noProof/>
        </w:rPr>
        <w:t>13</w:t>
      </w:r>
      <w:r w:rsidRPr="00D74A2B">
        <w:rPr>
          <w:rFonts w:cs="Times New Roman"/>
          <w:noProof/>
        </w:rPr>
        <w:t>(1), 72–81. https://doi.org/10.3171/2013.9.PEDS13257</w:t>
      </w:r>
    </w:p>
    <w:p w14:paraId="29869152" w14:textId="7F049399" w:rsidR="007A73E7" w:rsidRPr="00112A34" w:rsidRDefault="007A73E7" w:rsidP="00D74A2B">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3B6A1" w14:textId="77777777" w:rsidR="000E374D" w:rsidRDefault="000E374D" w:rsidP="006004F2">
      <w:pPr>
        <w:spacing w:line="240" w:lineRule="auto"/>
      </w:pPr>
      <w:r>
        <w:separator/>
      </w:r>
    </w:p>
  </w:endnote>
  <w:endnote w:type="continuationSeparator" w:id="0">
    <w:p w14:paraId="74B7788F" w14:textId="77777777" w:rsidR="000E374D" w:rsidRDefault="000E374D"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9BC22" w14:textId="77777777" w:rsidR="000E374D" w:rsidRDefault="000E374D" w:rsidP="006004F2">
      <w:pPr>
        <w:spacing w:line="240" w:lineRule="auto"/>
      </w:pPr>
      <w:r>
        <w:separator/>
      </w:r>
    </w:p>
  </w:footnote>
  <w:footnote w:type="continuationSeparator" w:id="0">
    <w:p w14:paraId="77B91C46" w14:textId="77777777" w:rsidR="000E374D" w:rsidRDefault="000E374D"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16E"/>
    <w:multiLevelType w:val="hybridMultilevel"/>
    <w:tmpl w:val="2B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21DB1"/>
    <w:rsid w:val="0004242D"/>
    <w:rsid w:val="00057026"/>
    <w:rsid w:val="00060BAA"/>
    <w:rsid w:val="0009722B"/>
    <w:rsid w:val="000C6298"/>
    <w:rsid w:val="000D5B19"/>
    <w:rsid w:val="000E374D"/>
    <w:rsid w:val="00102B24"/>
    <w:rsid w:val="00112A34"/>
    <w:rsid w:val="001216B3"/>
    <w:rsid w:val="00121B14"/>
    <w:rsid w:val="00126217"/>
    <w:rsid w:val="00130679"/>
    <w:rsid w:val="00131408"/>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66D4"/>
    <w:rsid w:val="002B39D2"/>
    <w:rsid w:val="002D7474"/>
    <w:rsid w:val="00306F7C"/>
    <w:rsid w:val="00325B4B"/>
    <w:rsid w:val="00326B33"/>
    <w:rsid w:val="00337782"/>
    <w:rsid w:val="003517C9"/>
    <w:rsid w:val="0036214F"/>
    <w:rsid w:val="00372873"/>
    <w:rsid w:val="003A2722"/>
    <w:rsid w:val="003B5DF5"/>
    <w:rsid w:val="003C45BC"/>
    <w:rsid w:val="003E377B"/>
    <w:rsid w:val="00401692"/>
    <w:rsid w:val="00433B39"/>
    <w:rsid w:val="00435AE6"/>
    <w:rsid w:val="00450BE6"/>
    <w:rsid w:val="004800DD"/>
    <w:rsid w:val="00482C10"/>
    <w:rsid w:val="004876B9"/>
    <w:rsid w:val="00487872"/>
    <w:rsid w:val="00492B05"/>
    <w:rsid w:val="00495C83"/>
    <w:rsid w:val="00496E39"/>
    <w:rsid w:val="004A70A5"/>
    <w:rsid w:val="004C0061"/>
    <w:rsid w:val="004C583D"/>
    <w:rsid w:val="004E2180"/>
    <w:rsid w:val="004F12E0"/>
    <w:rsid w:val="00504B0E"/>
    <w:rsid w:val="00506748"/>
    <w:rsid w:val="00530F97"/>
    <w:rsid w:val="00536CB8"/>
    <w:rsid w:val="0057755C"/>
    <w:rsid w:val="005804A0"/>
    <w:rsid w:val="0058055F"/>
    <w:rsid w:val="005C1800"/>
    <w:rsid w:val="005D2EA6"/>
    <w:rsid w:val="005E6C20"/>
    <w:rsid w:val="005F4B83"/>
    <w:rsid w:val="005F68E1"/>
    <w:rsid w:val="005F7A57"/>
    <w:rsid w:val="006004F2"/>
    <w:rsid w:val="00642E93"/>
    <w:rsid w:val="00645FF0"/>
    <w:rsid w:val="00647AF1"/>
    <w:rsid w:val="006611A1"/>
    <w:rsid w:val="006625FC"/>
    <w:rsid w:val="00663E98"/>
    <w:rsid w:val="00664A77"/>
    <w:rsid w:val="006664E2"/>
    <w:rsid w:val="006772EB"/>
    <w:rsid w:val="006B12B3"/>
    <w:rsid w:val="006B5585"/>
    <w:rsid w:val="006E1229"/>
    <w:rsid w:val="00703950"/>
    <w:rsid w:val="00712BCC"/>
    <w:rsid w:val="00724379"/>
    <w:rsid w:val="007427EE"/>
    <w:rsid w:val="007574DB"/>
    <w:rsid w:val="0077053F"/>
    <w:rsid w:val="00793335"/>
    <w:rsid w:val="007A1332"/>
    <w:rsid w:val="007A3E42"/>
    <w:rsid w:val="007A73E7"/>
    <w:rsid w:val="007B03CD"/>
    <w:rsid w:val="007B0B4E"/>
    <w:rsid w:val="007C0BBE"/>
    <w:rsid w:val="007D2758"/>
    <w:rsid w:val="007F1B66"/>
    <w:rsid w:val="007F276C"/>
    <w:rsid w:val="00803119"/>
    <w:rsid w:val="00820E44"/>
    <w:rsid w:val="008231FF"/>
    <w:rsid w:val="00832CFC"/>
    <w:rsid w:val="00846746"/>
    <w:rsid w:val="00862DA8"/>
    <w:rsid w:val="00864939"/>
    <w:rsid w:val="00865F84"/>
    <w:rsid w:val="00866044"/>
    <w:rsid w:val="008963F6"/>
    <w:rsid w:val="008A19F0"/>
    <w:rsid w:val="008A3862"/>
    <w:rsid w:val="008B23A8"/>
    <w:rsid w:val="008C489A"/>
    <w:rsid w:val="008C78AC"/>
    <w:rsid w:val="008C7B55"/>
    <w:rsid w:val="00926C3E"/>
    <w:rsid w:val="0095705B"/>
    <w:rsid w:val="00967657"/>
    <w:rsid w:val="0099088B"/>
    <w:rsid w:val="0099394C"/>
    <w:rsid w:val="009A22D0"/>
    <w:rsid w:val="009B3E1A"/>
    <w:rsid w:val="009C028C"/>
    <w:rsid w:val="009C5DF0"/>
    <w:rsid w:val="009E479B"/>
    <w:rsid w:val="009E4F3D"/>
    <w:rsid w:val="009F2970"/>
    <w:rsid w:val="009F687A"/>
    <w:rsid w:val="00A05C28"/>
    <w:rsid w:val="00A36EE3"/>
    <w:rsid w:val="00A37638"/>
    <w:rsid w:val="00A5185A"/>
    <w:rsid w:val="00A708CB"/>
    <w:rsid w:val="00AB0346"/>
    <w:rsid w:val="00AB676B"/>
    <w:rsid w:val="00AD7D14"/>
    <w:rsid w:val="00AE5920"/>
    <w:rsid w:val="00B01BBA"/>
    <w:rsid w:val="00B42A16"/>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717E"/>
    <w:rsid w:val="00D12097"/>
    <w:rsid w:val="00D12FD0"/>
    <w:rsid w:val="00D233F2"/>
    <w:rsid w:val="00D23C72"/>
    <w:rsid w:val="00D603DD"/>
    <w:rsid w:val="00D63BFB"/>
    <w:rsid w:val="00D74A06"/>
    <w:rsid w:val="00D74A2B"/>
    <w:rsid w:val="00D84B7F"/>
    <w:rsid w:val="00DA7A9B"/>
    <w:rsid w:val="00DC3890"/>
    <w:rsid w:val="00DC63B4"/>
    <w:rsid w:val="00DD686D"/>
    <w:rsid w:val="00E15818"/>
    <w:rsid w:val="00E22EA6"/>
    <w:rsid w:val="00E31A24"/>
    <w:rsid w:val="00E57D1D"/>
    <w:rsid w:val="00E8553A"/>
    <w:rsid w:val="00E91FF3"/>
    <w:rsid w:val="00E973F4"/>
    <w:rsid w:val="00EA7384"/>
    <w:rsid w:val="00EB0FED"/>
    <w:rsid w:val="00EB664B"/>
    <w:rsid w:val="00EC7FD6"/>
    <w:rsid w:val="00F00534"/>
    <w:rsid w:val="00F04D7C"/>
    <w:rsid w:val="00F174DF"/>
    <w:rsid w:val="00F3680D"/>
    <w:rsid w:val="00F70048"/>
    <w:rsid w:val="00FC00DB"/>
    <w:rsid w:val="00FC071A"/>
    <w:rsid w:val="00FC099C"/>
    <w:rsid w:val="00FC4940"/>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23</Pages>
  <Words>31562</Words>
  <Characters>179904</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89</cp:revision>
  <dcterms:created xsi:type="dcterms:W3CDTF">2021-04-27T21:02:00Z</dcterms:created>
  <dcterms:modified xsi:type="dcterms:W3CDTF">2021-06-24T21:50:00Z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