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E3C6" w14:textId="376E0C95" w:rsidR="00CC734A" w:rsidRDefault="00CC734A" w:rsidP="00CC734A">
      <w:pPr>
        <w:rPr>
          <w:rFonts w:ascii="Times New Roman" w:hAnsi="Times New Roman" w:cs="Times New Roman"/>
          <w:sz w:val="24"/>
          <w:szCs w:val="24"/>
        </w:rPr>
      </w:pPr>
    </w:p>
    <w:p w14:paraId="40D8FCA9" w14:textId="5116EEFF" w:rsidR="008413C8" w:rsidRPr="00C308C1" w:rsidRDefault="00EC6CC2" w:rsidP="00C308C1">
      <w:pPr>
        <w:pStyle w:val="Title"/>
        <w:jc w:val="center"/>
        <w:rPr>
          <w:b/>
          <w:bCs/>
          <w:sz w:val="36"/>
          <w:szCs w:val="36"/>
        </w:rPr>
      </w:pPr>
      <w:r w:rsidRPr="00C308C1">
        <w:rPr>
          <w:b/>
          <w:bCs/>
          <w:sz w:val="36"/>
          <w:szCs w:val="36"/>
        </w:rPr>
        <w:t xml:space="preserve">Advantages </w:t>
      </w:r>
      <w:r w:rsidR="008413C8" w:rsidRPr="00C308C1">
        <w:rPr>
          <w:b/>
          <w:bCs/>
          <w:sz w:val="36"/>
          <w:szCs w:val="36"/>
        </w:rPr>
        <w:t>or Disadvantages</w:t>
      </w:r>
      <w:r w:rsidRPr="00C308C1">
        <w:rPr>
          <w:b/>
          <w:bCs/>
          <w:sz w:val="36"/>
          <w:szCs w:val="36"/>
        </w:rPr>
        <w:t>?</w:t>
      </w:r>
    </w:p>
    <w:p w14:paraId="13E58BC5" w14:textId="77DB9635" w:rsidR="0045099B" w:rsidRPr="00C308C1" w:rsidRDefault="008413C8" w:rsidP="00C308C1">
      <w:pPr>
        <w:pStyle w:val="Title"/>
        <w:jc w:val="center"/>
        <w:rPr>
          <w:b/>
          <w:bCs/>
          <w:sz w:val="36"/>
          <w:szCs w:val="36"/>
        </w:rPr>
      </w:pPr>
      <w:r w:rsidRPr="00C308C1">
        <w:rPr>
          <w:b/>
          <w:bCs/>
          <w:sz w:val="36"/>
          <w:szCs w:val="36"/>
        </w:rPr>
        <w:t xml:space="preserve">Access to Advanced Math and Science Courses in </w:t>
      </w:r>
      <w:r w:rsidR="004828F8" w:rsidRPr="00C308C1">
        <w:rPr>
          <w:b/>
          <w:bCs/>
          <w:sz w:val="36"/>
          <w:szCs w:val="36"/>
        </w:rPr>
        <w:t>Rural School</w:t>
      </w:r>
      <w:r w:rsidRPr="00C308C1">
        <w:rPr>
          <w:b/>
          <w:bCs/>
          <w:sz w:val="36"/>
          <w:szCs w:val="36"/>
        </w:rPr>
        <w:t>s</w:t>
      </w:r>
    </w:p>
    <w:p w14:paraId="3EFB0065" w14:textId="4BCBD804" w:rsidR="00CC734A" w:rsidRDefault="00CC734A" w:rsidP="00CC734A">
      <w:pPr>
        <w:pStyle w:val="Heading1"/>
      </w:pPr>
      <w:r>
        <w:t>Objectives</w:t>
      </w:r>
    </w:p>
    <w:p w14:paraId="662AF987" w14:textId="26E670A7" w:rsidR="00624B9E" w:rsidRDefault="00624B9E" w:rsidP="00624B9E">
      <w:r>
        <w:t>Rural high school students are as varied individually as students anywhere in the country and as deserving of opportunities to participate in advanced math and science course</w:t>
      </w:r>
      <w:r w:rsidR="007C20BB">
        <w:t>s</w:t>
      </w:r>
      <w:r>
        <w:t>. Indeed, many rural high school students have strong academic abilities</w:t>
      </w:r>
      <w:r w:rsidR="00A87C32">
        <w:t xml:space="preserve"> and live in families and communities that value </w:t>
      </w:r>
      <w:r w:rsidR="0016342A">
        <w:t xml:space="preserve">postsecondary </w:t>
      </w:r>
      <w:r w:rsidR="00A87C32">
        <w:t xml:space="preserve">education. </w:t>
      </w:r>
      <w:r w:rsidR="006251BF">
        <w:t xml:space="preserve">Perhaps in partial response to these </w:t>
      </w:r>
      <w:r w:rsidR="002277EC">
        <w:t>families</w:t>
      </w:r>
      <w:r w:rsidR="00A7371F">
        <w:t>’</w:t>
      </w:r>
      <w:r w:rsidR="002277EC">
        <w:t xml:space="preserve"> values</w:t>
      </w:r>
      <w:r w:rsidR="006251BF">
        <w:t xml:space="preserve">, </w:t>
      </w:r>
      <w:r w:rsidR="00F91095">
        <w:t xml:space="preserve">one of the top priorities of the National Rural Education Association (n.d.). is </w:t>
      </w:r>
      <w:r w:rsidR="006251BF">
        <w:t>c</w:t>
      </w:r>
      <w:r w:rsidR="00A87C32">
        <w:t xml:space="preserve">ollege and </w:t>
      </w:r>
      <w:r w:rsidR="006251BF">
        <w:t>c</w:t>
      </w:r>
      <w:r w:rsidR="00A87C32">
        <w:t>areer readiness and preparation for postsecondary experiences</w:t>
      </w:r>
      <w:r w:rsidR="00F91095">
        <w:t>.</w:t>
      </w:r>
      <w:r w:rsidR="00A87C32">
        <w:t xml:space="preserve"> </w:t>
      </w:r>
    </w:p>
    <w:p w14:paraId="2DEEB7BE" w14:textId="3A0BB955" w:rsidR="00A87C32" w:rsidRDefault="00A87C32" w:rsidP="00624B9E"/>
    <w:p w14:paraId="0F0541DC" w14:textId="4514AAD3" w:rsidR="00371286" w:rsidRDefault="0063058E" w:rsidP="00624B9E">
      <w:r>
        <w:t>By some measures, the future seems bright for rural students.</w:t>
      </w:r>
      <w:r w:rsidR="00A87C32">
        <w:t xml:space="preserve"> </w:t>
      </w:r>
      <w:r w:rsidR="004E0A58">
        <w:t>The overal</w:t>
      </w:r>
      <w:r w:rsidR="00DC124E">
        <w:t>l</w:t>
      </w:r>
      <w:r w:rsidR="00811739">
        <w:t xml:space="preserve"> achievement of </w:t>
      </w:r>
      <w:r w:rsidR="007C20BB">
        <w:t>rural students</w:t>
      </w:r>
      <w:r w:rsidR="00811739">
        <w:t xml:space="preserve"> varies</w:t>
      </w:r>
      <w:r w:rsidR="00556506">
        <w:t xml:space="preserve">, </w:t>
      </w:r>
      <w:r w:rsidR="004E0A58">
        <w:t>but on average</w:t>
      </w:r>
      <w:r w:rsidR="00556506">
        <w:t xml:space="preserve"> they score</w:t>
      </w:r>
      <w:r w:rsidR="00423F02">
        <w:t xml:space="preserve"> higher than their non-rural peers on the Nation’s Report Card (</w:t>
      </w:r>
      <w:r w:rsidR="0093628F" w:rsidRPr="0093628F">
        <w:t>Showalter, Hartman, Johnson, &amp; Klein,</w:t>
      </w:r>
      <w:r w:rsidR="0093628F">
        <w:t xml:space="preserve"> </w:t>
      </w:r>
      <w:r w:rsidR="0093628F" w:rsidRPr="0093628F">
        <w:t>2019)</w:t>
      </w:r>
      <w:r w:rsidR="004E0A58">
        <w:t>,</w:t>
      </w:r>
      <w:r w:rsidR="0093628F">
        <w:t xml:space="preserve"> and</w:t>
      </w:r>
      <w:r w:rsidR="007163E7">
        <w:t xml:space="preserve"> </w:t>
      </w:r>
      <w:r w:rsidR="004E0A58">
        <w:t xml:space="preserve">the </w:t>
      </w:r>
      <w:r w:rsidR="007163E7">
        <w:t xml:space="preserve">gaps in achievement </w:t>
      </w:r>
      <w:r w:rsidR="008D5483">
        <w:t>among</w:t>
      </w:r>
      <w:r w:rsidR="007163E7">
        <w:t xml:space="preserve"> </w:t>
      </w:r>
      <w:r w:rsidR="008B0D2C">
        <w:t>white, black, and latinx students are smaller (</w:t>
      </w:r>
      <w:r w:rsidR="00124EAB">
        <w:t>G</w:t>
      </w:r>
      <w:r w:rsidR="0084481E">
        <w:t>agnon &amp; Mattingly, 2018).</w:t>
      </w:r>
      <w:r w:rsidR="007C20BB">
        <w:t xml:space="preserve"> </w:t>
      </w:r>
      <w:r w:rsidR="00E24F10">
        <w:t xml:space="preserve">Rural students </w:t>
      </w:r>
      <w:r w:rsidR="007C20BB">
        <w:t xml:space="preserve">are </w:t>
      </w:r>
      <w:r w:rsidR="007163E7">
        <w:t xml:space="preserve">also </w:t>
      </w:r>
      <w:r w:rsidR="007C20BB">
        <w:t>more likely to graduate from high school</w:t>
      </w:r>
      <w:r w:rsidR="00E24F10">
        <w:t xml:space="preserve"> compared to non-rural students</w:t>
      </w:r>
      <w:r w:rsidR="007C20BB">
        <w:t xml:space="preserve"> (</w:t>
      </w:r>
      <w:r w:rsidR="007C20BB" w:rsidRPr="007C20BB">
        <w:t>Aud et al., 2013; Snyder &amp; Dillow, 2012</w:t>
      </w:r>
      <w:r w:rsidR="007C20BB">
        <w:t>)</w:t>
      </w:r>
      <w:r w:rsidR="00A26CCF">
        <w:t xml:space="preserve">. </w:t>
      </w:r>
    </w:p>
    <w:p w14:paraId="6CE1C658" w14:textId="77777777" w:rsidR="00371286" w:rsidRDefault="00371286" w:rsidP="00624B9E"/>
    <w:p w14:paraId="65756B8F" w14:textId="707BF798" w:rsidR="009E53B3" w:rsidRDefault="00A26CCF" w:rsidP="00624B9E">
      <w:r>
        <w:t xml:space="preserve">But </w:t>
      </w:r>
      <w:r w:rsidR="00371286">
        <w:t xml:space="preserve">by </w:t>
      </w:r>
      <w:r>
        <w:t>other measures, rural students appear to be a</w:t>
      </w:r>
      <w:r w:rsidR="00CB0500">
        <w:t>t</w:t>
      </w:r>
      <w:r>
        <w:t xml:space="preserve"> a disadvantage</w:t>
      </w:r>
      <w:r w:rsidR="007B1F2D">
        <w:t>. Compared to peers in other parts of the country,</w:t>
      </w:r>
      <w:r>
        <w:t xml:space="preserve"> t</w:t>
      </w:r>
      <w:r w:rsidR="007C20BB">
        <w:t>hey</w:t>
      </w:r>
      <w:r w:rsidR="00A87C32">
        <w:t xml:space="preserve"> are less likely to </w:t>
      </w:r>
      <w:r w:rsidR="002D48EA">
        <w:t>pursue postsecondary degrees</w:t>
      </w:r>
      <w:r w:rsidR="00A87C32">
        <w:t xml:space="preserve"> (National Student Clearinghouse Research Center, 2016)</w:t>
      </w:r>
      <w:r w:rsidR="00AC2EA5">
        <w:t>. A</w:t>
      </w:r>
      <w:r w:rsidR="00371286">
        <w:t>s adults</w:t>
      </w:r>
      <w:r w:rsidR="00AC2EA5">
        <w:t>, they</w:t>
      </w:r>
      <w:r w:rsidR="00371286">
        <w:t xml:space="preserve"> </w:t>
      </w:r>
      <w:r w:rsidR="00CB0500">
        <w:t>are</w:t>
      </w:r>
      <w:r w:rsidR="00684786">
        <w:t xml:space="preserve"> </w:t>
      </w:r>
      <w:r w:rsidR="00CB0500">
        <w:t xml:space="preserve">less frequently </w:t>
      </w:r>
      <w:r w:rsidR="00684786">
        <w:t>employed in lucrative jobs, such as those</w:t>
      </w:r>
      <w:r w:rsidR="00371286">
        <w:t xml:space="preserve"> requiring advanced science and technological expertise</w:t>
      </w:r>
      <w:r w:rsidR="00E95525">
        <w:t>,</w:t>
      </w:r>
      <w:r w:rsidR="00371286">
        <w:t xml:space="preserve"> and </w:t>
      </w:r>
      <w:r w:rsidR="00E95525">
        <w:t xml:space="preserve">they </w:t>
      </w:r>
      <w:r w:rsidR="00371286">
        <w:t xml:space="preserve">tend to </w:t>
      </w:r>
      <w:r w:rsidR="004E757B">
        <w:t xml:space="preserve">earn lower wages </w:t>
      </w:r>
      <w:r w:rsidR="004E757B">
        <w:rPr>
          <w:shd w:val="clear" w:color="auto" w:fill="FFFFFF"/>
        </w:rPr>
        <w:t>(</w:t>
      </w:r>
      <w:r w:rsidR="004E757B" w:rsidRPr="00217C60">
        <w:t>Moller &amp; Stearns,</w:t>
      </w:r>
      <w:r w:rsidR="004E757B">
        <w:t xml:space="preserve"> </w:t>
      </w:r>
      <w:r w:rsidR="004E757B" w:rsidRPr="00217C60">
        <w:t>2012)</w:t>
      </w:r>
      <w:r w:rsidR="00A87C32">
        <w:t xml:space="preserve">. </w:t>
      </w:r>
    </w:p>
    <w:p w14:paraId="3D6F8D00" w14:textId="77777777" w:rsidR="009E53B3" w:rsidRDefault="009E53B3" w:rsidP="00624B9E"/>
    <w:p w14:paraId="6ED1CC64" w14:textId="5B06EFA5" w:rsidR="00A87C32" w:rsidRPr="00624B9E" w:rsidRDefault="007C20BB" w:rsidP="00624B9E">
      <w:r>
        <w:t xml:space="preserve">Could it be that rural students have </w:t>
      </w:r>
      <w:r w:rsidR="003202A8">
        <w:t xml:space="preserve">less </w:t>
      </w:r>
      <w:r>
        <w:t xml:space="preserve">access to </w:t>
      </w:r>
      <w:r w:rsidR="003202A8">
        <w:t xml:space="preserve">the types of advanced math and science courses that would </w:t>
      </w:r>
      <w:r w:rsidR="00675813">
        <w:t>prepare them for postsecondary experiences</w:t>
      </w:r>
      <w:r w:rsidR="009E53B3">
        <w:t xml:space="preserve"> and careers</w:t>
      </w:r>
      <w:r>
        <w:t xml:space="preserve">? Could other factors such as the poverty levels and demographics of rural schools make a difference? This study addresses these questions. </w:t>
      </w:r>
    </w:p>
    <w:p w14:paraId="21025C08" w14:textId="72269FE7" w:rsidR="00CC734A" w:rsidRDefault="00CC734A" w:rsidP="00CC734A">
      <w:pPr>
        <w:pStyle w:val="Heading1"/>
      </w:pPr>
      <w:r>
        <w:t>Framework</w:t>
      </w:r>
    </w:p>
    <w:p w14:paraId="64C56220" w14:textId="46F2657A" w:rsidR="00624B9E" w:rsidRDefault="00521030" w:rsidP="00624B9E">
      <w:r>
        <w:t>M</w:t>
      </w:r>
      <w:r w:rsidR="00624B9E">
        <w:t xml:space="preserve">any studies </w:t>
      </w:r>
      <w:r>
        <w:t xml:space="preserve">show </w:t>
      </w:r>
      <w:r w:rsidR="00624B9E">
        <w:t xml:space="preserve">that students </w:t>
      </w:r>
      <w:r>
        <w:t>who</w:t>
      </w:r>
      <w:r w:rsidR="00624B9E">
        <w:t xml:space="preserve"> take </w:t>
      </w:r>
      <w:r w:rsidR="003C3D56">
        <w:t xml:space="preserve">advanced </w:t>
      </w:r>
      <w:r w:rsidR="00624B9E">
        <w:t xml:space="preserve">high school level math and science are more likely </w:t>
      </w:r>
      <w:r w:rsidR="00624B9E" w:rsidRPr="00C66431">
        <w:t>to go to college, stay in college, and complete their degrees (e.g. Long, Conger, &amp; Latarola, 2012;</w:t>
      </w:r>
      <w:r w:rsidR="00624B9E">
        <w:t xml:space="preserve"> Morgan, Zakhem, &amp; Cooper, 2018; Radunzel &amp; Noble, 2012).</w:t>
      </w:r>
      <w:r w:rsidR="007C20BB">
        <w:t xml:space="preserve"> </w:t>
      </w:r>
      <w:r w:rsidR="00624B9E">
        <w:t>Furthermore, building a high quality curriculum</w:t>
      </w:r>
      <w:r w:rsidR="00132BBC">
        <w:t>, that includes advance courses,</w:t>
      </w:r>
      <w:r w:rsidR="003B5B9C">
        <w:t xml:space="preserve"> </w:t>
      </w:r>
      <w:r w:rsidR="00624B9E">
        <w:t>is key to educational equity</w:t>
      </w:r>
      <w:r w:rsidR="00BA3633">
        <w:t xml:space="preserve">, ensuring that all students have the opportunity to learn and succeed </w:t>
      </w:r>
      <w:r w:rsidR="00624B9E">
        <w:t xml:space="preserve">(Kane, Owens, Marinell, Thal, &amp; Staiger, 2016; </w:t>
      </w:r>
      <w:r w:rsidR="00624B9E" w:rsidRPr="00624B9E">
        <w:t>Kotok, 2017</w:t>
      </w:r>
      <w:r w:rsidR="00624B9E">
        <w:t xml:space="preserve">; Steiner, 2017; </w:t>
      </w:r>
      <w:r w:rsidR="00624B9E" w:rsidRPr="00624B9E">
        <w:t>Steiner, Magee, &amp; Jensen, 2019).</w:t>
      </w:r>
      <w:r w:rsidR="00624B9E">
        <w:t xml:space="preserve"> Offering advanced courses may be particularly important for rural students</w:t>
      </w:r>
      <w:r w:rsidR="00504689">
        <w:t>,</w:t>
      </w:r>
      <w:r w:rsidR="00624B9E">
        <w:t xml:space="preserve"> </w:t>
      </w:r>
      <w:r w:rsidR="003B5B9C">
        <w:t>especially</w:t>
      </w:r>
      <w:r w:rsidR="00624B9E">
        <w:t xml:space="preserve"> those in school serving high percentages of students of color and students from </w:t>
      </w:r>
      <w:r w:rsidR="00950043">
        <w:t>low-income</w:t>
      </w:r>
      <w:r w:rsidR="00624B9E">
        <w:t xml:space="preserve"> communities.</w:t>
      </w:r>
    </w:p>
    <w:p w14:paraId="3E09300A" w14:textId="0184CA26" w:rsidR="00624B9E" w:rsidRDefault="00624B9E" w:rsidP="00624B9E"/>
    <w:p w14:paraId="4F12870A" w14:textId="3C6831CF" w:rsidR="007C20BB" w:rsidRDefault="007C20BB" w:rsidP="007C20BB">
      <w:pPr>
        <w:rPr>
          <w:shd w:val="clear" w:color="auto" w:fill="FFFFFF"/>
        </w:rPr>
      </w:pPr>
      <w:r>
        <w:t xml:space="preserve">We have some evidence that rural students simply don’t have the same access to advanced math and science courses as other students. </w:t>
      </w:r>
      <w:r w:rsidR="00E57AB1">
        <w:t xml:space="preserve">Past </w:t>
      </w:r>
      <w:r w:rsidR="003C3D56">
        <w:t xml:space="preserve">studies </w:t>
      </w:r>
      <w:r w:rsidR="00E57AB1">
        <w:t>using data from the early 2000s</w:t>
      </w:r>
      <w:r>
        <w:t xml:space="preserve"> </w:t>
      </w:r>
      <w:r w:rsidR="00615367">
        <w:t>showed</w:t>
      </w:r>
      <w:r w:rsidR="000B3498">
        <w:t xml:space="preserve"> that rural students </w:t>
      </w:r>
      <w:r w:rsidR="00615367">
        <w:t>we</w:t>
      </w:r>
      <w:r w:rsidR="000B3498">
        <w:t xml:space="preserve">re </w:t>
      </w:r>
      <w:r>
        <w:t xml:space="preserve">less likely to participate in advanced math courses than urban students even when their achievement </w:t>
      </w:r>
      <w:r w:rsidR="00615367">
        <w:t>w</w:t>
      </w:r>
      <w:r w:rsidR="00372FF1">
        <w:t>a</w:t>
      </w:r>
      <w:r>
        <w:t>s similar (</w:t>
      </w:r>
      <w:r w:rsidRPr="00CD4B4B">
        <w:t>Irvin, Byun, Smiley, W</w:t>
      </w:r>
      <w:r>
        <w:t xml:space="preserve"> </w:t>
      </w:r>
      <w:r w:rsidRPr="00CD4B4B">
        <w:t>&amp; Hutchins, 2017).</w:t>
      </w:r>
      <w:r>
        <w:t xml:space="preserve"> </w:t>
      </w:r>
      <w:r w:rsidR="00615367">
        <w:t>Rural students</w:t>
      </w:r>
      <w:r>
        <w:t xml:space="preserve"> </w:t>
      </w:r>
      <w:r w:rsidR="00125722">
        <w:t>have</w:t>
      </w:r>
      <w:r>
        <w:t xml:space="preserve"> also </w:t>
      </w:r>
      <w:r w:rsidR="00125722">
        <w:t xml:space="preserve">been </w:t>
      </w:r>
      <w:r>
        <w:t>less likely to participate in advanced science courses when compared to their peers</w:t>
      </w:r>
      <w:r w:rsidR="00DB2F10">
        <w:t xml:space="preserve"> in </w:t>
      </w:r>
      <w:r w:rsidR="00950043">
        <w:t>non-rural</w:t>
      </w:r>
      <w:r w:rsidR="00DB2F10">
        <w:t xml:space="preserve"> places</w:t>
      </w:r>
      <w:r>
        <w:t xml:space="preserve"> (</w:t>
      </w:r>
      <w:r w:rsidRPr="007C20BB">
        <w:rPr>
          <w:shd w:val="clear" w:color="auto" w:fill="FFFFFF"/>
        </w:rPr>
        <w:t>Croft</w:t>
      </w:r>
      <w:r>
        <w:rPr>
          <w:shd w:val="clear" w:color="auto" w:fill="FFFFFF"/>
        </w:rPr>
        <w:t xml:space="preserve"> &amp; </w:t>
      </w:r>
      <w:r w:rsidRPr="007C20BB">
        <w:rPr>
          <w:shd w:val="clear" w:color="auto" w:fill="FFFFFF"/>
        </w:rPr>
        <w:t>Moore, 2019).</w:t>
      </w:r>
      <w:r w:rsidR="00217C60">
        <w:rPr>
          <w:shd w:val="clear" w:color="auto" w:fill="FFFFFF"/>
        </w:rPr>
        <w:t xml:space="preserve"> These differences may have long term effects and</w:t>
      </w:r>
      <w:r w:rsidR="004E124D">
        <w:rPr>
          <w:shd w:val="clear" w:color="auto" w:fill="FFFFFF"/>
        </w:rPr>
        <w:t xml:space="preserve"> could</w:t>
      </w:r>
      <w:r w:rsidR="00217C60">
        <w:rPr>
          <w:shd w:val="clear" w:color="auto" w:fill="FFFFFF"/>
        </w:rPr>
        <w:t xml:space="preserve"> contribute to the</w:t>
      </w:r>
      <w:r w:rsidR="00CC49C6">
        <w:rPr>
          <w:shd w:val="clear" w:color="auto" w:fill="FFFFFF"/>
        </w:rPr>
        <w:t xml:space="preserve"> gaps in math knowledge </w:t>
      </w:r>
      <w:r w:rsidR="00814383">
        <w:rPr>
          <w:shd w:val="clear" w:color="auto" w:fill="FFFFFF"/>
        </w:rPr>
        <w:t xml:space="preserve">identified by </w:t>
      </w:r>
      <w:r w:rsidR="00CF59E0">
        <w:rPr>
          <w:shd w:val="clear" w:color="auto" w:fill="FFFFFF"/>
        </w:rPr>
        <w:t xml:space="preserve">rural </w:t>
      </w:r>
      <w:r w:rsidR="00814383">
        <w:rPr>
          <w:shd w:val="clear" w:color="auto" w:fill="FFFFFF"/>
        </w:rPr>
        <w:t>community college faculty (Harmon &amp; Wilborn, 20</w:t>
      </w:r>
      <w:r w:rsidR="00D92D38">
        <w:rPr>
          <w:shd w:val="clear" w:color="auto" w:fill="FFFFFF"/>
        </w:rPr>
        <w:t>16) and to</w:t>
      </w:r>
      <w:r w:rsidR="00217C60">
        <w:rPr>
          <w:shd w:val="clear" w:color="auto" w:fill="FFFFFF"/>
        </w:rPr>
        <w:t xml:space="preserve"> lower wages </w:t>
      </w:r>
      <w:r w:rsidR="00217C60">
        <w:rPr>
          <w:shd w:val="clear" w:color="auto" w:fill="FFFFFF"/>
        </w:rPr>
        <w:lastRenderedPageBreak/>
        <w:t>found among adult</w:t>
      </w:r>
      <w:r w:rsidR="00CF59E0">
        <w:rPr>
          <w:shd w:val="clear" w:color="auto" w:fill="FFFFFF"/>
        </w:rPr>
        <w:t xml:space="preserve"> graduates of</w:t>
      </w:r>
      <w:r w:rsidR="00217C60">
        <w:rPr>
          <w:shd w:val="clear" w:color="auto" w:fill="FFFFFF"/>
        </w:rPr>
        <w:t xml:space="preserve"> rural high schools (</w:t>
      </w:r>
      <w:r w:rsidR="00217C60" w:rsidRPr="00217C60">
        <w:t>Moller &amp; Stearns,</w:t>
      </w:r>
      <w:r w:rsidR="00217C60">
        <w:t xml:space="preserve"> </w:t>
      </w:r>
      <w:r w:rsidR="00217C60" w:rsidRPr="00217C60">
        <w:t>2012).</w:t>
      </w:r>
      <w:r w:rsidR="000B3498">
        <w:t xml:space="preserve"> Data on this issue needs to be updated</w:t>
      </w:r>
      <w:r w:rsidR="00643350">
        <w:t xml:space="preserve"> and explored further</w:t>
      </w:r>
      <w:r w:rsidR="000B3498">
        <w:t>.</w:t>
      </w:r>
    </w:p>
    <w:p w14:paraId="29345201" w14:textId="573AB5F8" w:rsidR="007C20BB" w:rsidRDefault="007C20BB" w:rsidP="007C20BB">
      <w:pPr>
        <w:rPr>
          <w:shd w:val="clear" w:color="auto" w:fill="FFFFFF"/>
        </w:rPr>
      </w:pPr>
    </w:p>
    <w:p w14:paraId="0263E17C" w14:textId="7D07EACC" w:rsidR="007C20BB" w:rsidRPr="00CC734A" w:rsidRDefault="007C20BB" w:rsidP="007C20BB">
      <w:r>
        <w:rPr>
          <w:shd w:val="clear" w:color="auto" w:fill="FFFFFF"/>
        </w:rPr>
        <w:t>Lack of opportunities to participate in advanced course</w:t>
      </w:r>
      <w:r w:rsidR="004E124D">
        <w:rPr>
          <w:shd w:val="clear" w:color="auto" w:fill="FFFFFF"/>
        </w:rPr>
        <w:t>s</w:t>
      </w:r>
      <w:r>
        <w:rPr>
          <w:shd w:val="clear" w:color="auto" w:fill="FFFFFF"/>
        </w:rPr>
        <w:t xml:space="preserve"> may be compounded by other factors. </w:t>
      </w:r>
      <w:r w:rsidR="00217C60">
        <w:rPr>
          <w:shd w:val="clear" w:color="auto" w:fill="FFFFFF"/>
        </w:rPr>
        <w:t xml:space="preserve">Several studies have found that schools serving students from </w:t>
      </w:r>
      <w:r w:rsidR="00950043">
        <w:rPr>
          <w:shd w:val="clear" w:color="auto" w:fill="FFFFFF"/>
        </w:rPr>
        <w:t>low-income</w:t>
      </w:r>
      <w:r w:rsidR="00217C60">
        <w:rPr>
          <w:shd w:val="clear" w:color="auto" w:fill="FFFFFF"/>
        </w:rPr>
        <w:t xml:space="preserve"> communities and communities of color also have less access to advanced math and science courses</w:t>
      </w:r>
      <w:r w:rsidR="00BE473C">
        <w:rPr>
          <w:shd w:val="clear" w:color="auto" w:fill="FFFFFF"/>
        </w:rPr>
        <w:t xml:space="preserve"> (</w:t>
      </w:r>
      <w:r w:rsidR="00BE473C" w:rsidRPr="00BE473C">
        <w:rPr>
          <w:shd w:val="clear" w:color="auto" w:fill="FFFFFF"/>
        </w:rPr>
        <w:t>Leung,</w:t>
      </w:r>
      <w:r w:rsidR="00BE473C">
        <w:rPr>
          <w:shd w:val="clear" w:color="auto" w:fill="FFFFFF"/>
        </w:rPr>
        <w:t xml:space="preserve"> </w:t>
      </w:r>
      <w:r w:rsidR="00BE473C" w:rsidRPr="00BE473C">
        <w:rPr>
          <w:shd w:val="clear" w:color="auto" w:fill="FFFFFF"/>
        </w:rPr>
        <w:t>Cardichon</w:t>
      </w:r>
      <w:r w:rsidR="00BE473C">
        <w:rPr>
          <w:shd w:val="clear" w:color="auto" w:fill="FFFFFF"/>
        </w:rPr>
        <w:t>,</w:t>
      </w:r>
      <w:r w:rsidR="00BE473C" w:rsidRPr="00BE473C">
        <w:rPr>
          <w:shd w:val="clear" w:color="auto" w:fill="FFFFFF"/>
        </w:rPr>
        <w:t xml:space="preserve"> Scott, &amp; Darling-Hammond, 2020</w:t>
      </w:r>
      <w:r w:rsidR="00BE473C">
        <w:rPr>
          <w:shd w:val="clear" w:color="auto" w:fill="FFFFFF"/>
        </w:rPr>
        <w:t xml:space="preserve">; </w:t>
      </w:r>
      <w:r w:rsidR="00BE473C" w:rsidRPr="00217C60">
        <w:t>Nowicki, 2018</w:t>
      </w:r>
      <w:r w:rsidR="00BE473C">
        <w:t xml:space="preserve">). </w:t>
      </w:r>
      <w:r w:rsidR="007018CB">
        <w:t>In general, e</w:t>
      </w:r>
      <w:r w:rsidR="0062228B">
        <w:t xml:space="preserve">xamining data </w:t>
      </w:r>
      <w:r w:rsidR="00D551E5">
        <w:t>based on the intersectionality of student</w:t>
      </w:r>
      <w:r w:rsidR="00643350">
        <w:t>s’</w:t>
      </w:r>
      <w:r w:rsidR="00D551E5">
        <w:t xml:space="preserve"> identities </w:t>
      </w:r>
      <w:r w:rsidR="007018CB">
        <w:t>provides a more nuanced and accurate</w:t>
      </w:r>
      <w:r w:rsidR="001471E4">
        <w:t xml:space="preserve"> description of social phenomena</w:t>
      </w:r>
      <w:r w:rsidR="00187290">
        <w:t xml:space="preserve"> (</w:t>
      </w:r>
      <w:r w:rsidR="00187290" w:rsidRPr="00187290">
        <w:rPr>
          <w:shd w:val="clear" w:color="auto" w:fill="FFFFFF"/>
        </w:rPr>
        <w:t>Harris &amp; Leonardo, 2018)</w:t>
      </w:r>
      <w:r w:rsidR="000F10BC">
        <w:rPr>
          <w:shd w:val="clear" w:color="auto" w:fill="FFFFFF"/>
        </w:rPr>
        <w:t>. Therefore,</w:t>
      </w:r>
      <w:r w:rsidR="00D551E5">
        <w:t xml:space="preserve"> d</w:t>
      </w:r>
      <w:r w:rsidR="000B3498">
        <w:t xml:space="preserve">ata </w:t>
      </w:r>
      <w:r w:rsidR="007D2DBE">
        <w:t xml:space="preserve">analyses need to </w:t>
      </w:r>
      <w:r w:rsidR="00F14CEF">
        <w:t>differentiate</w:t>
      </w:r>
      <w:r w:rsidR="000B3498">
        <w:t xml:space="preserve"> rural places by </w:t>
      </w:r>
      <w:r w:rsidR="00B2500A">
        <w:t>the types of students served.</w:t>
      </w:r>
      <w:r w:rsidR="00217C60">
        <w:rPr>
          <w:shd w:val="clear" w:color="auto" w:fill="FFFFFF"/>
        </w:rPr>
        <w:t xml:space="preserve"> </w:t>
      </w:r>
    </w:p>
    <w:p w14:paraId="0D634064" w14:textId="77777777" w:rsidR="007C20BB" w:rsidRDefault="007C20BB" w:rsidP="00624B9E"/>
    <w:p w14:paraId="25B419C1" w14:textId="432D7691" w:rsidR="00532858" w:rsidRDefault="00DE34B1" w:rsidP="00624B9E">
      <w:r>
        <w:t xml:space="preserve">Identifying </w:t>
      </w:r>
      <w:r w:rsidR="00F14CEF">
        <w:t xml:space="preserve">this </w:t>
      </w:r>
      <w:r w:rsidR="00362511">
        <w:t xml:space="preserve">potentially </w:t>
      </w:r>
      <w:r w:rsidR="00242CE0">
        <w:t>inequitable</w:t>
      </w:r>
      <w:r>
        <w:t xml:space="preserve"> access to</w:t>
      </w:r>
      <w:r w:rsidR="00B15EBD">
        <w:t xml:space="preserve"> </w:t>
      </w:r>
      <w:r w:rsidR="00B378EC">
        <w:t xml:space="preserve">advanced </w:t>
      </w:r>
      <w:r w:rsidR="001358EC">
        <w:t xml:space="preserve">math and science </w:t>
      </w:r>
      <w:r w:rsidR="00B378EC">
        <w:t>courses</w:t>
      </w:r>
      <w:r w:rsidR="001358EC">
        <w:t xml:space="preserve"> in rural areas</w:t>
      </w:r>
      <w:r w:rsidR="00B378EC">
        <w:t xml:space="preserve"> is particularly important, because i</w:t>
      </w:r>
      <w:r w:rsidR="004E124D">
        <w:t xml:space="preserve">mproving course offering </w:t>
      </w:r>
      <w:r w:rsidR="00B9618B">
        <w:t>may</w:t>
      </w:r>
      <w:r w:rsidR="00E32385">
        <w:t xml:space="preserve"> be</w:t>
      </w:r>
      <w:r w:rsidR="00B830AA">
        <w:t xml:space="preserve"> </w:t>
      </w:r>
      <w:r w:rsidR="00B36B46">
        <w:t>welcome</w:t>
      </w:r>
      <w:r w:rsidR="001358EC">
        <w:t xml:space="preserve"> </w:t>
      </w:r>
      <w:r w:rsidR="00B36B46">
        <w:t>in many</w:t>
      </w:r>
      <w:r w:rsidR="008A6D62">
        <w:t xml:space="preserve"> of these</w:t>
      </w:r>
      <w:r w:rsidR="00B36B46">
        <w:t xml:space="preserve"> rural places. Given the</w:t>
      </w:r>
      <w:r w:rsidR="003D76A2">
        <w:t>ir</w:t>
      </w:r>
      <w:r w:rsidR="00B36B46">
        <w:t xml:space="preserve"> natural r</w:t>
      </w:r>
      <w:r w:rsidR="003D76A2">
        <w:t>esources</w:t>
      </w:r>
      <w:r w:rsidR="00B36B46">
        <w:t xml:space="preserve"> and access </w:t>
      </w:r>
      <w:r w:rsidR="00B9618B">
        <w:t xml:space="preserve">the </w:t>
      </w:r>
      <w:r w:rsidR="003D76A2">
        <w:t>outdoors, r</w:t>
      </w:r>
      <w:r w:rsidR="00A87C32">
        <w:t xml:space="preserve">ural areas may be especially rich areas to study </w:t>
      </w:r>
      <w:r w:rsidR="00037FE0">
        <w:t>science, technology, engineering, and math</w:t>
      </w:r>
      <w:r w:rsidR="00A87C32">
        <w:t xml:space="preserve"> (Avery, 2013)</w:t>
      </w:r>
      <w:r w:rsidR="008E5FD8">
        <w:t xml:space="preserve">. </w:t>
      </w:r>
      <w:r w:rsidR="00E32385">
        <w:t>Furthermore, w</w:t>
      </w:r>
      <w:r w:rsidR="008E5FD8">
        <w:t xml:space="preserve">hen given opportunities to participate in </w:t>
      </w:r>
      <w:r w:rsidR="00C55FB9">
        <w:t xml:space="preserve">advanced </w:t>
      </w:r>
      <w:r w:rsidR="008E5FD8">
        <w:t>math and science</w:t>
      </w:r>
      <w:r w:rsidR="0000389B">
        <w:t xml:space="preserve"> </w:t>
      </w:r>
      <w:r w:rsidR="007503ED">
        <w:t>tailored to</w:t>
      </w:r>
      <w:r w:rsidR="0000389B">
        <w:t xml:space="preserve"> rural students</w:t>
      </w:r>
      <w:r w:rsidR="008E5FD8">
        <w:t xml:space="preserve">, </w:t>
      </w:r>
      <w:r w:rsidR="003D76A2">
        <w:t xml:space="preserve">researchers have found that </w:t>
      </w:r>
      <w:r w:rsidR="008E5FD8">
        <w:t xml:space="preserve">rural teachers and students </w:t>
      </w:r>
      <w:r w:rsidR="003D76A2">
        <w:t xml:space="preserve">do </w:t>
      </w:r>
      <w:r w:rsidR="008E5FD8">
        <w:t>participate and</w:t>
      </w:r>
      <w:r w:rsidR="003D76A2">
        <w:t xml:space="preserve"> that this participation</w:t>
      </w:r>
      <w:r w:rsidR="008E5FD8">
        <w:t xml:space="preserve"> increase</w:t>
      </w:r>
      <w:r w:rsidR="003D76A2">
        <w:t>s</w:t>
      </w:r>
      <w:r w:rsidR="008E5FD8">
        <w:t xml:space="preserve"> their appreciation of math and science (</w:t>
      </w:r>
      <w:r w:rsidR="000B2EE0" w:rsidRPr="005602A8">
        <w:rPr>
          <w:shd w:val="clear" w:color="auto" w:fill="FFFFFF"/>
        </w:rPr>
        <w:t>Harmon, Tate, Stevens, Wilborn, &amp; Adams, 2018</w:t>
      </w:r>
      <w:r w:rsidR="000B2EE0">
        <w:rPr>
          <w:shd w:val="clear" w:color="auto" w:fill="FFFFFF"/>
        </w:rPr>
        <w:t>;</w:t>
      </w:r>
      <w:r w:rsidR="000B2EE0" w:rsidRPr="005602A8">
        <w:rPr>
          <w:shd w:val="clear" w:color="auto" w:fill="FFFFFF"/>
        </w:rPr>
        <w:t xml:space="preserve"> </w:t>
      </w:r>
      <w:r w:rsidR="008E5FD8">
        <w:rPr>
          <w:shd w:val="clear" w:color="auto" w:fill="FFFFFF"/>
        </w:rPr>
        <w:t>Ihrig, Lane, Mahatmya, &amp; Assouline, 2018</w:t>
      </w:r>
      <w:r w:rsidR="00532858">
        <w:rPr>
          <w:shd w:val="clear" w:color="auto" w:fill="FFFFFF"/>
        </w:rPr>
        <w:t xml:space="preserve">). </w:t>
      </w:r>
      <w:r w:rsidR="00C63383">
        <w:rPr>
          <w:shd w:val="clear" w:color="auto" w:fill="FFFFFF"/>
        </w:rPr>
        <w:t xml:space="preserve">Designing </w:t>
      </w:r>
      <w:r w:rsidR="00C55FB9">
        <w:rPr>
          <w:shd w:val="clear" w:color="auto" w:fill="FFFFFF"/>
        </w:rPr>
        <w:t>advanced math and science courses</w:t>
      </w:r>
      <w:r w:rsidR="00037FE0">
        <w:rPr>
          <w:shd w:val="clear" w:color="auto" w:fill="FFFFFF"/>
        </w:rPr>
        <w:t xml:space="preserve"> around the needs and strengths of rural communities has been found to </w:t>
      </w:r>
      <w:r w:rsidR="00E62618">
        <w:rPr>
          <w:shd w:val="clear" w:color="auto" w:fill="FFFFFF"/>
        </w:rPr>
        <w:t>contribute to</w:t>
      </w:r>
      <w:r w:rsidR="005010D3">
        <w:rPr>
          <w:shd w:val="clear" w:color="auto" w:fill="FFFFFF"/>
        </w:rPr>
        <w:t xml:space="preserve"> increas</w:t>
      </w:r>
      <w:r w:rsidR="00E62618">
        <w:rPr>
          <w:shd w:val="clear" w:color="auto" w:fill="FFFFFF"/>
        </w:rPr>
        <w:t xml:space="preserve">ed </w:t>
      </w:r>
      <w:r w:rsidR="005010D3">
        <w:rPr>
          <w:shd w:val="clear" w:color="auto" w:fill="FFFFFF"/>
        </w:rPr>
        <w:t>math and science course taking</w:t>
      </w:r>
      <w:r w:rsidR="00E62618">
        <w:rPr>
          <w:shd w:val="clear" w:color="auto" w:fill="FFFFFF"/>
        </w:rPr>
        <w:t>, as well as</w:t>
      </w:r>
      <w:r w:rsidR="005010D3">
        <w:rPr>
          <w:shd w:val="clear" w:color="auto" w:fill="FFFFFF"/>
        </w:rPr>
        <w:t xml:space="preserve"> college going</w:t>
      </w:r>
      <w:r w:rsidR="00B8772A">
        <w:rPr>
          <w:shd w:val="clear" w:color="auto" w:fill="FFFFFF"/>
        </w:rPr>
        <w:t xml:space="preserve"> and persistence</w:t>
      </w:r>
      <w:r w:rsidR="00037FE0">
        <w:rPr>
          <w:shd w:val="clear" w:color="auto" w:fill="FFFFFF"/>
        </w:rPr>
        <w:t xml:space="preserve"> </w:t>
      </w:r>
      <w:r w:rsidR="00E25A26">
        <w:rPr>
          <w:shd w:val="clear" w:color="auto" w:fill="FFFFFF"/>
        </w:rPr>
        <w:t>(</w:t>
      </w:r>
      <w:r w:rsidR="00065526" w:rsidRPr="00065526">
        <w:t>Peters Burton, Kaminsky, Lynch, Behrend, Han, Ross, &amp; House, 2014</w:t>
      </w:r>
      <w:r w:rsidR="00A40070">
        <w:t xml:space="preserve">; </w:t>
      </w:r>
      <w:r w:rsidR="00EF3601" w:rsidRPr="00A40070">
        <w:t>Peterson, Bornemann, Lydon, &amp; West,</w:t>
      </w:r>
      <w:r w:rsidR="00EF3601">
        <w:t xml:space="preserve"> </w:t>
      </w:r>
      <w:r w:rsidR="00EF3601" w:rsidRPr="00A40070">
        <w:t>2015).</w:t>
      </w:r>
    </w:p>
    <w:p w14:paraId="37AFA3E5" w14:textId="682F6853" w:rsidR="00D87CAB" w:rsidRDefault="00D87CAB" w:rsidP="00624B9E"/>
    <w:p w14:paraId="7DC213B6" w14:textId="49F24455" w:rsidR="00D87CAB" w:rsidRDefault="002E7969" w:rsidP="00624B9E">
      <w:r>
        <w:t xml:space="preserve">Given the </w:t>
      </w:r>
      <w:r w:rsidR="000D200F">
        <w:t xml:space="preserve">potential </w:t>
      </w:r>
      <w:r>
        <w:t xml:space="preserve">benefits of </w:t>
      </w:r>
      <w:r w:rsidR="002D58E5">
        <w:t>advance math and science learning in rural places, t</w:t>
      </w:r>
      <w:r w:rsidR="00D87CAB">
        <w:t xml:space="preserve">his study </w:t>
      </w:r>
      <w:r w:rsidR="002D58E5">
        <w:t xml:space="preserve">seeks to </w:t>
      </w:r>
      <w:r w:rsidR="00A944E6">
        <w:t>document equitable access</w:t>
      </w:r>
      <w:r w:rsidR="00D87CAB">
        <w:t xml:space="preserve"> to advanced math and science courses </w:t>
      </w:r>
      <w:r w:rsidR="00F9597E">
        <w:t xml:space="preserve">in rural </w:t>
      </w:r>
      <w:r w:rsidR="00BA1543">
        <w:t>schools</w:t>
      </w:r>
      <w:r w:rsidR="002D58E5">
        <w:t xml:space="preserve">. It does this by </w:t>
      </w:r>
      <w:r w:rsidR="00F9597E">
        <w:t xml:space="preserve">exploring current </w:t>
      </w:r>
      <w:r w:rsidR="00A944E6">
        <w:t xml:space="preserve">advance math and science </w:t>
      </w:r>
      <w:r w:rsidR="00F9597E">
        <w:t>course offerings in rural schools and by examining ho</w:t>
      </w:r>
      <w:r w:rsidR="00832211">
        <w:t xml:space="preserve">w these offerings differ for rural schools serving higher than average proportions of </w:t>
      </w:r>
      <w:r w:rsidR="00F35EBC">
        <w:t xml:space="preserve">students of color and students from </w:t>
      </w:r>
      <w:r w:rsidR="00950043">
        <w:t>low-income</w:t>
      </w:r>
      <w:r w:rsidR="00F35EBC">
        <w:t xml:space="preserve"> families. </w:t>
      </w:r>
      <w:r w:rsidR="002D58E5">
        <w:t>The study</w:t>
      </w:r>
      <w:r w:rsidR="00F35EBC">
        <w:t xml:space="preserve"> address</w:t>
      </w:r>
      <w:r w:rsidR="002D58E5">
        <w:t>es</w:t>
      </w:r>
      <w:r w:rsidR="00F35EBC">
        <w:t xml:space="preserve"> the following questions:</w:t>
      </w:r>
    </w:p>
    <w:p w14:paraId="0E49DA84" w14:textId="5A18FF9C" w:rsidR="00F35EBC" w:rsidRDefault="00F35EBC" w:rsidP="00624B9E"/>
    <w:p w14:paraId="19CA5AE3" w14:textId="6FC5A029" w:rsidR="00EF36BD" w:rsidRDefault="008A358B" w:rsidP="00624B9E">
      <w:pPr>
        <w:pStyle w:val="ListParagraph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How do </w:t>
      </w:r>
      <w:r w:rsidR="00530245">
        <w:rPr>
          <w:shd w:val="clear" w:color="auto" w:fill="FFFFFF"/>
        </w:rPr>
        <w:t xml:space="preserve">course offerings in advanced math and science differ in </w:t>
      </w:r>
      <w:r w:rsidR="00EF36BD">
        <w:rPr>
          <w:shd w:val="clear" w:color="auto" w:fill="FFFFFF"/>
        </w:rPr>
        <w:t xml:space="preserve">rural and </w:t>
      </w:r>
      <w:r w:rsidR="00950043">
        <w:rPr>
          <w:shd w:val="clear" w:color="auto" w:fill="FFFFFF"/>
        </w:rPr>
        <w:t>non-rural</w:t>
      </w:r>
      <w:r w:rsidR="00EF36BD">
        <w:rPr>
          <w:shd w:val="clear" w:color="auto" w:fill="FFFFFF"/>
        </w:rPr>
        <w:t xml:space="preserve"> areas?</w:t>
      </w:r>
    </w:p>
    <w:p w14:paraId="0E3BE9F7" w14:textId="1FC42A5B" w:rsidR="00294AF2" w:rsidRPr="00294AF2" w:rsidRDefault="00EF36BD" w:rsidP="00294AF2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EF36BD">
        <w:rPr>
          <w:shd w:val="clear" w:color="auto" w:fill="FFFFFF"/>
        </w:rPr>
        <w:t>How do course offerings in advanced math and science differ</w:t>
      </w:r>
      <w:r w:rsidR="00294AF2">
        <w:rPr>
          <w:shd w:val="clear" w:color="auto" w:fill="FFFFFF"/>
        </w:rPr>
        <w:t xml:space="preserve"> in rural and </w:t>
      </w:r>
      <w:r w:rsidR="00950043">
        <w:rPr>
          <w:shd w:val="clear" w:color="auto" w:fill="FFFFFF"/>
        </w:rPr>
        <w:t>non-rural</w:t>
      </w:r>
      <w:r w:rsidR="00294AF2">
        <w:rPr>
          <w:shd w:val="clear" w:color="auto" w:fill="FFFFFF"/>
        </w:rPr>
        <w:t xml:space="preserve"> areas</w:t>
      </w:r>
      <w:r w:rsidR="006B5E42">
        <w:rPr>
          <w:shd w:val="clear" w:color="auto" w:fill="FFFFFF"/>
        </w:rPr>
        <w:t xml:space="preserve"> particularly</w:t>
      </w:r>
      <w:r w:rsidR="00294AF2">
        <w:rPr>
          <w:shd w:val="clear" w:color="auto" w:fill="FFFFFF"/>
        </w:rPr>
        <w:t xml:space="preserve"> for </w:t>
      </w:r>
      <w:r w:rsidR="00850084">
        <w:rPr>
          <w:shd w:val="clear" w:color="auto" w:fill="FFFFFF"/>
        </w:rPr>
        <w:t xml:space="preserve">(a) </w:t>
      </w:r>
      <w:r w:rsidR="00294AF2">
        <w:rPr>
          <w:shd w:val="clear" w:color="auto" w:fill="FFFFFF"/>
        </w:rPr>
        <w:t>s</w:t>
      </w:r>
      <w:r w:rsidR="00294AF2" w:rsidRPr="00294AF2">
        <w:rPr>
          <w:shd w:val="clear" w:color="auto" w:fill="FFFFFF"/>
        </w:rPr>
        <w:t xml:space="preserve">chools serving </w:t>
      </w:r>
      <w:r w:rsidR="00294AF2">
        <w:rPr>
          <w:shd w:val="clear" w:color="auto" w:fill="FFFFFF"/>
        </w:rPr>
        <w:t xml:space="preserve">higher than average percentages of students of color and </w:t>
      </w:r>
      <w:r w:rsidR="00850084">
        <w:rPr>
          <w:shd w:val="clear" w:color="auto" w:fill="FFFFFF"/>
        </w:rPr>
        <w:t>(b)</w:t>
      </w:r>
      <w:r w:rsidR="00294AF2">
        <w:rPr>
          <w:shd w:val="clear" w:color="auto" w:fill="FFFFFF"/>
        </w:rPr>
        <w:t xml:space="preserve"> schools serving higher than average percentages of students from </w:t>
      </w:r>
      <w:r w:rsidR="00950043">
        <w:rPr>
          <w:shd w:val="clear" w:color="auto" w:fill="FFFFFF"/>
        </w:rPr>
        <w:t>low-income</w:t>
      </w:r>
      <w:r w:rsidR="00294AF2">
        <w:rPr>
          <w:shd w:val="clear" w:color="auto" w:fill="FFFFFF"/>
        </w:rPr>
        <w:t xml:space="preserve"> communities</w:t>
      </w:r>
      <w:r w:rsidR="006B5E42">
        <w:rPr>
          <w:shd w:val="clear" w:color="auto" w:fill="FFFFFF"/>
        </w:rPr>
        <w:t>?</w:t>
      </w:r>
    </w:p>
    <w:p w14:paraId="4ED16162" w14:textId="610FF2A2" w:rsidR="00CC734A" w:rsidRDefault="00CC734A" w:rsidP="00CC734A">
      <w:pPr>
        <w:pStyle w:val="Heading1"/>
      </w:pPr>
      <w:r>
        <w:t>Data Source</w:t>
      </w:r>
      <w:r w:rsidR="00AA6E1F" w:rsidRPr="00AA6E1F">
        <w:t xml:space="preserve"> </w:t>
      </w:r>
      <w:r w:rsidR="00AA6E1F">
        <w:t xml:space="preserve">and Methods </w:t>
      </w:r>
    </w:p>
    <w:p w14:paraId="34C57419" w14:textId="0134E1E6" w:rsidR="00473242" w:rsidRDefault="00C911C9" w:rsidP="00854792">
      <w:r>
        <w:t>Within the 2017</w:t>
      </w:r>
      <w:r w:rsidR="00854792">
        <w:t>–18 Civil Rights Data Collection (CRDC)</w:t>
      </w:r>
      <w:r w:rsidR="00634DEC">
        <w:t>,</w:t>
      </w:r>
      <w:r>
        <w:t xml:space="preserve"> </w:t>
      </w:r>
      <w:r w:rsidR="00854792">
        <w:t>14,823 schools met our definition of a high school—that</w:t>
      </w:r>
      <w:r>
        <w:t xml:space="preserve"> </w:t>
      </w:r>
      <w:r w:rsidR="00854792">
        <w:t>is, a school that offers</w:t>
      </w:r>
      <w:r>
        <w:t xml:space="preserve"> </w:t>
      </w:r>
      <w:r w:rsidR="00854792">
        <w:t>all four grade levels from grade 9 through 12, does not offer grades 8 or below, has 10 or more</w:t>
      </w:r>
      <w:r>
        <w:t xml:space="preserve"> </w:t>
      </w:r>
      <w:r w:rsidR="00854792">
        <w:t>students, and is not a juvenile justice facility.</w:t>
      </w:r>
      <w:r w:rsidR="00A1023F">
        <w:t xml:space="preserve"> </w:t>
      </w:r>
      <w:r w:rsidR="00473242">
        <w:t>We combined thi</w:t>
      </w:r>
      <w:r w:rsidR="00325E0B">
        <w:t xml:space="preserve">s dataset with the “locale codes”—city, </w:t>
      </w:r>
      <w:r w:rsidR="00074E6D">
        <w:t>rural, suburb, town—</w:t>
      </w:r>
      <w:r w:rsidR="00F25C7E">
        <w:t xml:space="preserve"> and </w:t>
      </w:r>
      <w:r w:rsidR="00CD5051">
        <w:t xml:space="preserve">with </w:t>
      </w:r>
      <w:r w:rsidR="00F8577B">
        <w:t>“free and reduced</w:t>
      </w:r>
      <w:r w:rsidR="00D66993">
        <w:t>-</w:t>
      </w:r>
      <w:r w:rsidR="00F8577B">
        <w:t>price lunch</w:t>
      </w:r>
      <w:r w:rsidR="00422079">
        <w:t xml:space="preserve"> (FRPL)</w:t>
      </w:r>
      <w:r w:rsidR="00F8577B">
        <w:t>”</w:t>
      </w:r>
      <w:r w:rsidR="00422079">
        <w:t xml:space="preserve">—an </w:t>
      </w:r>
      <w:r w:rsidR="00CD5051">
        <w:t>indicat</w:t>
      </w:r>
      <w:r w:rsidR="00D37DFF">
        <w:t>or</w:t>
      </w:r>
      <w:r w:rsidR="00CD5051">
        <w:t xml:space="preserve"> of poverty</w:t>
      </w:r>
      <w:r w:rsidR="00422079">
        <w:t>—</w:t>
      </w:r>
      <w:r w:rsidR="00074E6D">
        <w:t xml:space="preserve">in the National </w:t>
      </w:r>
      <w:r w:rsidR="007601F0">
        <w:t xml:space="preserve">Center for </w:t>
      </w:r>
      <w:r w:rsidR="00074E6D">
        <w:t xml:space="preserve">Education </w:t>
      </w:r>
      <w:r w:rsidR="007601F0">
        <w:t>Statistics Common Core Data.</w:t>
      </w:r>
      <w:r w:rsidR="00F70647" w:rsidRPr="00F70647">
        <w:t xml:space="preserve"> </w:t>
      </w:r>
      <w:r w:rsidR="00F70647">
        <w:t>Of the original set of schools, 14,576 high schools had data</w:t>
      </w:r>
      <w:r w:rsidR="00145E61">
        <w:t xml:space="preserve"> for </w:t>
      </w:r>
      <w:r w:rsidR="00570F05">
        <w:t xml:space="preserve">locale code and </w:t>
      </w:r>
      <w:r w:rsidR="00F8577B">
        <w:t xml:space="preserve">14,287 </w:t>
      </w:r>
      <w:r w:rsidR="00BC1A00">
        <w:t xml:space="preserve">also </w:t>
      </w:r>
      <w:r w:rsidR="00F8577B">
        <w:t xml:space="preserve">had data for </w:t>
      </w:r>
      <w:r w:rsidR="00422079">
        <w:t>FR</w:t>
      </w:r>
      <w:r w:rsidR="008953ED">
        <w:t>PL</w:t>
      </w:r>
      <w:r w:rsidR="00145E61">
        <w:t>.</w:t>
      </w:r>
    </w:p>
    <w:p w14:paraId="26A1D05C" w14:textId="77777777" w:rsidR="00473242" w:rsidRDefault="00473242" w:rsidP="00854792"/>
    <w:p w14:paraId="45E2A185" w14:textId="4B67F15F" w:rsidR="00854792" w:rsidRDefault="00A1023F" w:rsidP="00854792">
      <w:r>
        <w:t xml:space="preserve">Using these data, we first examined </w:t>
      </w:r>
      <w:r w:rsidR="00B409C1">
        <w:t>the percentages of</w:t>
      </w:r>
      <w:r w:rsidR="00473242">
        <w:t xml:space="preserve"> schools </w:t>
      </w:r>
      <w:r w:rsidR="00707A96">
        <w:t>offer</w:t>
      </w:r>
      <w:r w:rsidR="00B409C1">
        <w:t>ing</w:t>
      </w:r>
      <w:r w:rsidR="00707A96">
        <w:t xml:space="preserve"> </w:t>
      </w:r>
      <w:r w:rsidR="00460822">
        <w:t xml:space="preserve">algebra 2, </w:t>
      </w:r>
      <w:r w:rsidR="00707A96">
        <w:t>advanced math</w:t>
      </w:r>
      <w:r w:rsidR="003C1F51">
        <w:t xml:space="preserve">, calculus, </w:t>
      </w:r>
      <w:r w:rsidR="00C0225A">
        <w:t>chemistry, and physics by locale code. Next</w:t>
      </w:r>
      <w:r w:rsidR="00B409C1">
        <w:t xml:space="preserve">, we explore these percentages </w:t>
      </w:r>
      <w:r w:rsidR="00F25C7E">
        <w:t xml:space="preserve">when we limited the dataset to schools </w:t>
      </w:r>
      <w:r w:rsidR="00CD5051">
        <w:t xml:space="preserve">that served higher than average percentages of students of color </w:t>
      </w:r>
      <w:r w:rsidR="009967A2">
        <w:t>(</w:t>
      </w:r>
      <w:r w:rsidR="00A50259">
        <w:t xml:space="preserve">i.e., all students who were not identified as white) </w:t>
      </w:r>
      <w:r w:rsidR="00CD5051">
        <w:t xml:space="preserve">and higher than average </w:t>
      </w:r>
      <w:r w:rsidR="003E7A3F">
        <w:t>percentages of students f</w:t>
      </w:r>
      <w:r w:rsidR="00EB13F9">
        <w:t>ro</w:t>
      </w:r>
      <w:r w:rsidR="003E7A3F">
        <w:t>m low-income families.</w:t>
      </w:r>
      <w:r w:rsidR="002C70F1">
        <w:t xml:space="preserve"> </w:t>
      </w:r>
    </w:p>
    <w:p w14:paraId="411ABA1D" w14:textId="3962BFF4" w:rsidR="002C70F1" w:rsidRDefault="002C70F1" w:rsidP="00854792"/>
    <w:p w14:paraId="1C6AD02E" w14:textId="1DCDD3E8" w:rsidR="002C70F1" w:rsidRDefault="002C70F1" w:rsidP="00854792">
      <w:r>
        <w:lastRenderedPageBreak/>
        <w:t xml:space="preserve">In all analyses, we used chi squares to examine the statistical significance of </w:t>
      </w:r>
      <w:r w:rsidR="00EB13F9">
        <w:t>differences in course offerings across groups.</w:t>
      </w:r>
    </w:p>
    <w:p w14:paraId="51EC38CF" w14:textId="478D185D" w:rsidR="00CC734A" w:rsidRDefault="00CC734A" w:rsidP="00CC734A">
      <w:pPr>
        <w:pStyle w:val="Heading1"/>
      </w:pPr>
      <w:r>
        <w:t>Results</w:t>
      </w:r>
    </w:p>
    <w:p w14:paraId="0AEC85C0" w14:textId="1A9A255E" w:rsidR="00D83959" w:rsidRDefault="007F67C6" w:rsidP="00D83959">
      <w:r>
        <w:t>We</w:t>
      </w:r>
      <w:r w:rsidR="00D83959">
        <w:t xml:space="preserve"> found that </w:t>
      </w:r>
      <w:r w:rsidR="00FC5CB4">
        <w:t xml:space="preserve">overall rural schools were sometimes at an advantage for offering advanced courses </w:t>
      </w:r>
      <w:r w:rsidR="0033245D">
        <w:t>and sometimes at a disadvantage</w:t>
      </w:r>
      <w:r w:rsidR="00D4072E">
        <w:t xml:space="preserve"> (Figure 1)</w:t>
      </w:r>
      <w:r w:rsidR="0033245D">
        <w:t xml:space="preserve">. </w:t>
      </w:r>
      <w:r w:rsidR="008F73A7">
        <w:t>Significantly m</w:t>
      </w:r>
      <w:r w:rsidR="00D60234">
        <w:t xml:space="preserve">ore rural schools (95%) </w:t>
      </w:r>
      <w:r w:rsidR="00166680">
        <w:t>offered Algebra 2 in 2017-18</w:t>
      </w:r>
      <w:r w:rsidR="00D60234">
        <w:t xml:space="preserve">, compared to </w:t>
      </w:r>
      <w:r w:rsidR="00166680">
        <w:t>non-rural</w:t>
      </w:r>
      <w:r w:rsidR="00D60234">
        <w:t xml:space="preserve"> schools (92%). </w:t>
      </w:r>
      <w:r w:rsidR="008F73A7">
        <w:t>Similarly, significantly more rural schools (91%) offered chemistry</w:t>
      </w:r>
      <w:r w:rsidR="005B7F6A">
        <w:t xml:space="preserve">, compared to </w:t>
      </w:r>
      <w:r w:rsidR="00E5354C">
        <w:t>non-rural schools (89%)</w:t>
      </w:r>
      <w:r w:rsidR="008F73A7">
        <w:t xml:space="preserve">. </w:t>
      </w:r>
      <w:r w:rsidR="004D1E7A">
        <w:t>However, r</w:t>
      </w:r>
      <w:r w:rsidR="00D60234">
        <w:t>ural schools were at a</w:t>
      </w:r>
      <w:r w:rsidR="0050367B">
        <w:t xml:space="preserve"> </w:t>
      </w:r>
      <w:r w:rsidR="00B524D9">
        <w:t>significant</w:t>
      </w:r>
      <w:r w:rsidR="00D60234">
        <w:t xml:space="preserve"> disadvantage in offering </w:t>
      </w:r>
      <w:r w:rsidR="00095CB9">
        <w:t>calculus</w:t>
      </w:r>
      <w:r w:rsidR="006B71B9">
        <w:t xml:space="preserve"> (64% in rural schools and 71% in </w:t>
      </w:r>
      <w:r w:rsidR="00950043">
        <w:t>non-rural</w:t>
      </w:r>
      <w:r w:rsidR="006B71B9">
        <w:t xml:space="preserve"> schools)</w:t>
      </w:r>
      <w:r w:rsidR="0084728A">
        <w:t xml:space="preserve"> and were at a similar disadvantage in physics (73% in rural schools and 80% in </w:t>
      </w:r>
      <w:r w:rsidR="00950043">
        <w:t>non-rural</w:t>
      </w:r>
      <w:r w:rsidR="0084728A">
        <w:t xml:space="preserve"> schools</w:t>
      </w:r>
      <w:r w:rsidR="00F44F57">
        <w:t>)</w:t>
      </w:r>
      <w:r w:rsidR="0084728A">
        <w:t>.</w:t>
      </w:r>
    </w:p>
    <w:p w14:paraId="4A21BC5C" w14:textId="0B4403B8" w:rsidR="0084728A" w:rsidRDefault="0084728A" w:rsidP="00D83959"/>
    <w:p w14:paraId="4B4F6BB5" w14:textId="6000C371" w:rsidR="0084728A" w:rsidRDefault="0084728A" w:rsidP="00D83959">
      <w:r>
        <w:t xml:space="preserve">Examination of data for rural </w:t>
      </w:r>
      <w:r w:rsidR="00FF6349">
        <w:t xml:space="preserve">and </w:t>
      </w:r>
      <w:r w:rsidR="00950043">
        <w:t>non-rural</w:t>
      </w:r>
      <w:r w:rsidR="00FF6349">
        <w:t xml:space="preserve"> schools serving </w:t>
      </w:r>
      <w:r w:rsidR="00780DED">
        <w:t>higher than average percentages of students</w:t>
      </w:r>
      <w:r w:rsidR="00FF6349">
        <w:t xml:space="preserve"> of color told a different story</w:t>
      </w:r>
      <w:r w:rsidR="00D4072E">
        <w:t xml:space="preserve"> (Figure 2)</w:t>
      </w:r>
      <w:r w:rsidR="00FF6349">
        <w:t xml:space="preserve">. </w:t>
      </w:r>
      <w:r w:rsidR="00166680">
        <w:t>For</w:t>
      </w:r>
      <w:r w:rsidR="00255DCF">
        <w:t xml:space="preserve"> Algebra 2</w:t>
      </w:r>
      <w:r w:rsidR="00166680">
        <w:t>,</w:t>
      </w:r>
      <w:r w:rsidR="00255DCF">
        <w:t xml:space="preserve"> </w:t>
      </w:r>
      <w:r w:rsidR="00F0602B">
        <w:t xml:space="preserve">these </w:t>
      </w:r>
      <w:r w:rsidR="00255DCF">
        <w:t xml:space="preserve">rural schools </w:t>
      </w:r>
      <w:r w:rsidR="004935A6">
        <w:t xml:space="preserve">maintained </w:t>
      </w:r>
      <w:r w:rsidR="00166680">
        <w:t>a slight but non-significant advantage</w:t>
      </w:r>
      <w:r w:rsidR="00255DCF">
        <w:t>. Disadvantages for rural schools re</w:t>
      </w:r>
      <w:r w:rsidR="009B13FC">
        <w:t>mained</w:t>
      </w:r>
      <w:r w:rsidR="00255DCF">
        <w:t xml:space="preserve"> significan</w:t>
      </w:r>
      <w:r w:rsidR="00166680">
        <w:t>t</w:t>
      </w:r>
      <w:r w:rsidR="00255DCF">
        <w:t xml:space="preserve"> </w:t>
      </w:r>
      <w:r w:rsidR="00166680">
        <w:t xml:space="preserve">for </w:t>
      </w:r>
      <w:r w:rsidR="003F2FA5">
        <w:t>c</w:t>
      </w:r>
      <w:r w:rsidR="00255DCF">
        <w:t>alcul</w:t>
      </w:r>
      <w:r w:rsidR="003F2FA5">
        <w:t>u</w:t>
      </w:r>
      <w:r w:rsidR="00255DCF">
        <w:t>s</w:t>
      </w:r>
      <w:r w:rsidR="003F2FA5">
        <w:t xml:space="preserve"> (only </w:t>
      </w:r>
      <w:r w:rsidR="00CA5AF5">
        <w:t xml:space="preserve">49% of rural schools offered the course compared to 62% of </w:t>
      </w:r>
      <w:r w:rsidR="00950043">
        <w:t>non-rural</w:t>
      </w:r>
      <w:r w:rsidR="00CA5AF5">
        <w:t xml:space="preserve"> schools) </w:t>
      </w:r>
      <w:r w:rsidR="001029C5">
        <w:t>and in physics (only 61% of rural schools offered the course compared to 74% of other school).</w:t>
      </w:r>
      <w:r w:rsidR="00217310">
        <w:t xml:space="preserve"> </w:t>
      </w:r>
      <w:r w:rsidR="00DA664F">
        <w:t xml:space="preserve">Interestingly, </w:t>
      </w:r>
      <w:r w:rsidR="00744BEB">
        <w:t xml:space="preserve">the rural school </w:t>
      </w:r>
      <w:r w:rsidR="00FA7D47">
        <w:t>advantage in chemistry disappeared: 85% of rural schools serving higher than average per</w:t>
      </w:r>
      <w:r w:rsidR="008E7657">
        <w:t>centages of student of color offered this course whi</w:t>
      </w:r>
      <w:r w:rsidR="00DA664F">
        <w:t>le</w:t>
      </w:r>
      <w:r w:rsidR="008E7657">
        <w:t xml:space="preserve"> 87% of similar non-rural schools offered it.</w:t>
      </w:r>
      <w:r w:rsidR="00217310">
        <w:t xml:space="preserve"> </w:t>
      </w:r>
    </w:p>
    <w:p w14:paraId="0FB790C5" w14:textId="10398A3F" w:rsidR="003B0F8A" w:rsidRDefault="003B0F8A" w:rsidP="00D83959"/>
    <w:p w14:paraId="0A793A9A" w14:textId="36E27BFE" w:rsidR="003B0F8A" w:rsidRDefault="009A6729" w:rsidP="00D83959">
      <w:r>
        <w:t>R</w:t>
      </w:r>
      <w:r w:rsidR="003B0F8A">
        <w:t xml:space="preserve">esults for rural and </w:t>
      </w:r>
      <w:r w:rsidR="00950043">
        <w:t>non-rural</w:t>
      </w:r>
      <w:r w:rsidR="003B0F8A">
        <w:t xml:space="preserve"> schools serving students from </w:t>
      </w:r>
      <w:r w:rsidR="00950043">
        <w:t>low-income</w:t>
      </w:r>
      <w:r w:rsidR="003B0F8A">
        <w:t xml:space="preserve"> communities</w:t>
      </w:r>
      <w:r>
        <w:t xml:space="preserve"> were similar to the results o</w:t>
      </w:r>
      <w:r w:rsidR="00D4072E">
        <w:t xml:space="preserve">verall (Figure 3). Rural </w:t>
      </w:r>
      <w:r w:rsidR="00950043">
        <w:t>low-income</w:t>
      </w:r>
      <w:r w:rsidR="00D4072E">
        <w:t xml:space="preserve"> schools (93%) were </w:t>
      </w:r>
      <w:r w:rsidR="009E42F7">
        <w:t xml:space="preserve">significantly </w:t>
      </w:r>
      <w:r w:rsidR="00D4072E">
        <w:t>more likely to o</w:t>
      </w:r>
      <w:r w:rsidR="001D4078">
        <w:t>ff</w:t>
      </w:r>
      <w:r w:rsidR="00D4072E">
        <w:t xml:space="preserve">er </w:t>
      </w:r>
      <w:r w:rsidR="009E42F7">
        <w:t xml:space="preserve">algebra 2 than </w:t>
      </w:r>
      <w:r w:rsidR="00950043">
        <w:t>non-rural</w:t>
      </w:r>
      <w:r w:rsidR="009E42F7">
        <w:t xml:space="preserve"> schools (90%). </w:t>
      </w:r>
      <w:r w:rsidR="00E27A75">
        <w:t xml:space="preserve">In </w:t>
      </w:r>
      <w:r w:rsidR="00634E49">
        <w:t>contrast</w:t>
      </w:r>
      <w:r w:rsidR="0065255E">
        <w:t>, smaller percentages of rural schools</w:t>
      </w:r>
      <w:r w:rsidR="007E3380">
        <w:t xml:space="preserve"> (47%) offered calculus compared to </w:t>
      </w:r>
      <w:r w:rsidR="00950043">
        <w:t>non-rural</w:t>
      </w:r>
      <w:r w:rsidR="007E3380">
        <w:t xml:space="preserve"> schools (59%). Similarly, smaller percentages of rural schools (61%) offered calculus compared to </w:t>
      </w:r>
      <w:r w:rsidR="00950043">
        <w:t>non-rural</w:t>
      </w:r>
      <w:r w:rsidR="007E3380">
        <w:t xml:space="preserve"> schools (72%).</w:t>
      </w:r>
    </w:p>
    <w:p w14:paraId="272EF670" w14:textId="4FB0FE94" w:rsidR="00203FD6" w:rsidRDefault="00203FD6" w:rsidP="00D83959"/>
    <w:p w14:paraId="54235014" w14:textId="2FCD09DD" w:rsidR="00203FD6" w:rsidRPr="00203FD6" w:rsidRDefault="00842512" w:rsidP="00D83959">
      <w:r>
        <w:t>Another way to look at these data is to compare</w:t>
      </w:r>
      <w:r w:rsidR="00A40758">
        <w:t xml:space="preserve"> the data across rural schools</w:t>
      </w:r>
      <w:r w:rsidR="00FB3A65">
        <w:t>. This</w:t>
      </w:r>
      <w:r w:rsidR="00516293">
        <w:t xml:space="preserve"> comparison</w:t>
      </w:r>
      <w:r w:rsidR="00FB3A65">
        <w:t xml:space="preserve"> shows</w:t>
      </w:r>
      <w:r w:rsidR="00A40758">
        <w:t xml:space="preserve"> </w:t>
      </w:r>
      <w:r w:rsidR="006C1901">
        <w:t xml:space="preserve">that </w:t>
      </w:r>
      <w:r w:rsidR="005C0E8A">
        <w:t>those</w:t>
      </w:r>
      <w:r w:rsidR="00616E7E">
        <w:t xml:space="preserve"> </w:t>
      </w:r>
      <w:r w:rsidR="00FB3A65">
        <w:t xml:space="preserve">rural </w:t>
      </w:r>
      <w:r w:rsidR="00616E7E">
        <w:t>schools</w:t>
      </w:r>
      <w:r w:rsidR="00A46F0D">
        <w:t xml:space="preserve"> serving higher than average proportions of</w:t>
      </w:r>
      <w:r w:rsidR="00616E7E">
        <w:t xml:space="preserve"> </w:t>
      </w:r>
      <w:r w:rsidR="00A46F0D">
        <w:t>students of color and students f</w:t>
      </w:r>
      <w:r w:rsidR="005C0E8A">
        <w:t>ro</w:t>
      </w:r>
      <w:r w:rsidR="00A46F0D">
        <w:t xml:space="preserve">m </w:t>
      </w:r>
      <w:r w:rsidR="00950043">
        <w:t>low-income</w:t>
      </w:r>
      <w:r w:rsidR="00A46F0D">
        <w:t xml:space="preserve"> communities</w:t>
      </w:r>
      <w:r w:rsidR="005C0E8A">
        <w:t xml:space="preserve"> are consistently less likely to offer these advanced courses (Figure </w:t>
      </w:r>
      <w:r w:rsidR="00674830">
        <w:t xml:space="preserve">4). </w:t>
      </w:r>
      <w:r w:rsidR="00062A3A">
        <w:t xml:space="preserve">The percentage point differences are </w:t>
      </w:r>
      <w:r w:rsidR="00321947">
        <w:t xml:space="preserve">largest in </w:t>
      </w:r>
      <w:r w:rsidR="004677B5">
        <w:t xml:space="preserve">the </w:t>
      </w:r>
      <w:r w:rsidR="00321947">
        <w:t>course</w:t>
      </w:r>
      <w:r w:rsidR="004677B5">
        <w:t>s</w:t>
      </w:r>
      <w:r w:rsidR="00321947">
        <w:t xml:space="preserve"> </w:t>
      </w:r>
      <w:r w:rsidR="009D2721">
        <w:t xml:space="preserve">that rural schools offer statistically less frequently than </w:t>
      </w:r>
      <w:r w:rsidR="00950043">
        <w:t>non-rural</w:t>
      </w:r>
      <w:r w:rsidR="006E6AA3">
        <w:t xml:space="preserve"> schools: calculus and physics.</w:t>
      </w:r>
      <w:r w:rsidR="004677B5">
        <w:t xml:space="preserve"> For example, </w:t>
      </w:r>
      <w:r w:rsidR="0030639E">
        <w:t xml:space="preserve">among </w:t>
      </w:r>
      <w:r w:rsidR="004677B5">
        <w:t>rural schools serving higher than average percentages</w:t>
      </w:r>
      <w:r w:rsidR="00C918ED">
        <w:t xml:space="preserve"> </w:t>
      </w:r>
      <w:r w:rsidR="00630A08">
        <w:t xml:space="preserve">of </w:t>
      </w:r>
      <w:r w:rsidR="0030639E">
        <w:t xml:space="preserve">students of color and among those serving students from low-income, only 61% </w:t>
      </w:r>
      <w:r w:rsidR="00C918ED">
        <w:t>offer</w:t>
      </w:r>
      <w:r w:rsidR="002C6B76">
        <w:t>ed</w:t>
      </w:r>
      <w:r w:rsidR="00C918ED">
        <w:t xml:space="preserve"> calculus compare</w:t>
      </w:r>
      <w:r w:rsidR="00DC5906">
        <w:t>d</w:t>
      </w:r>
      <w:r w:rsidR="00C918ED">
        <w:t xml:space="preserve"> to 73% of all rural schools and 80% of all </w:t>
      </w:r>
      <w:r w:rsidR="00950043">
        <w:t>non-rural</w:t>
      </w:r>
      <w:r w:rsidR="00C918ED">
        <w:t xml:space="preserve"> schools.</w:t>
      </w:r>
    </w:p>
    <w:p w14:paraId="2831CFF0" w14:textId="419AA661" w:rsidR="00CC734A" w:rsidRPr="009D2721" w:rsidRDefault="00CC734A" w:rsidP="00CC734A">
      <w:pPr>
        <w:pStyle w:val="Heading1"/>
      </w:pPr>
      <w:r w:rsidRPr="009D2721">
        <w:t>Significance</w:t>
      </w:r>
    </w:p>
    <w:p w14:paraId="6BA3AC47" w14:textId="15BAEB53" w:rsidR="0076716B" w:rsidRDefault="00DA3616">
      <w:pPr>
        <w:spacing w:after="160" w:line="259" w:lineRule="auto"/>
      </w:pPr>
      <w:r>
        <w:t>Using the most recent year of the CRDC, we found that</w:t>
      </w:r>
      <w:r w:rsidR="00A06DF8">
        <w:t xml:space="preserve">, overall, </w:t>
      </w:r>
      <w:r w:rsidR="00CA5B90">
        <w:t>rural school</w:t>
      </w:r>
      <w:r w:rsidR="00A06DF8">
        <w:t xml:space="preserve"> </w:t>
      </w:r>
      <w:r w:rsidR="00CA5B90">
        <w:t xml:space="preserve">were sometimes at an advantage for offering advanced math and science courses and sometimes at a disadvantage. However, </w:t>
      </w:r>
      <w:r w:rsidR="00107965">
        <w:t xml:space="preserve">when </w:t>
      </w:r>
      <w:r w:rsidR="00301C09">
        <w:t xml:space="preserve">our analyses </w:t>
      </w:r>
      <w:r w:rsidR="00526E24">
        <w:t>focus</w:t>
      </w:r>
      <w:r w:rsidR="00301C09">
        <w:t>ed</w:t>
      </w:r>
      <w:r w:rsidR="00526E24">
        <w:t xml:space="preserve"> on schools serving</w:t>
      </w:r>
      <w:r w:rsidR="0076716B">
        <w:t xml:space="preserve"> higher than average proportions of</w:t>
      </w:r>
      <w:r w:rsidR="00526E24">
        <w:t xml:space="preserve"> students of color and </w:t>
      </w:r>
      <w:r w:rsidR="00301C09">
        <w:t xml:space="preserve">on </w:t>
      </w:r>
      <w:r w:rsidR="00DC2F29">
        <w:t>schools serving</w:t>
      </w:r>
      <w:r w:rsidR="00346B51">
        <w:t xml:space="preserve"> higher percentages of</w:t>
      </w:r>
      <w:r w:rsidR="00DC2F29">
        <w:t xml:space="preserve"> </w:t>
      </w:r>
      <w:r w:rsidR="00526E24">
        <w:t xml:space="preserve">students from </w:t>
      </w:r>
      <w:r w:rsidR="00950043">
        <w:t>low-income</w:t>
      </w:r>
      <w:r w:rsidR="00526E24">
        <w:t xml:space="preserve"> families</w:t>
      </w:r>
      <w:r w:rsidR="00346B51">
        <w:t>, the data</w:t>
      </w:r>
      <w:r w:rsidR="00A06DF8">
        <w:t xml:space="preserve"> </w:t>
      </w:r>
      <w:r w:rsidR="000A6902">
        <w:t>revealed a different pattern. These analyses</w:t>
      </w:r>
      <w:r w:rsidR="00526E24">
        <w:t xml:space="preserve"> </w:t>
      </w:r>
      <w:r w:rsidR="00591946">
        <w:t xml:space="preserve">both </w:t>
      </w:r>
      <w:r w:rsidR="009A3D10">
        <w:t xml:space="preserve">showed that the percentages of these rural school </w:t>
      </w:r>
      <w:r w:rsidR="007075DA">
        <w:t xml:space="preserve">offering these courses </w:t>
      </w:r>
      <w:r w:rsidR="000A6902">
        <w:t>were consistently lower</w:t>
      </w:r>
      <w:r w:rsidR="007075DA">
        <w:t xml:space="preserve">. This was particularly concerning for </w:t>
      </w:r>
      <w:r w:rsidR="00C544B2">
        <w:t xml:space="preserve">school serving </w:t>
      </w:r>
      <w:r w:rsidR="0076716B">
        <w:t xml:space="preserve">higher than average proportions of </w:t>
      </w:r>
      <w:r w:rsidR="00C544B2">
        <w:t>students of color</w:t>
      </w:r>
      <w:r w:rsidR="0076716B">
        <w:t>. These schools</w:t>
      </w:r>
      <w:r w:rsidR="00C544B2">
        <w:t xml:space="preserve"> were consistently less likely to offer </w:t>
      </w:r>
      <w:r w:rsidR="0076716B">
        <w:t xml:space="preserve">advanced math and science compared to their </w:t>
      </w:r>
      <w:r w:rsidR="00950043">
        <w:t>non-rural</w:t>
      </w:r>
      <w:r w:rsidR="0076716B">
        <w:t xml:space="preserve"> school counterparts</w:t>
      </w:r>
      <w:r w:rsidR="00591946">
        <w:t xml:space="preserve"> that also served </w:t>
      </w:r>
      <w:r w:rsidR="001D4734">
        <w:t>higher than average proportions of students of color</w:t>
      </w:r>
      <w:r w:rsidR="0076716B">
        <w:t>.</w:t>
      </w:r>
    </w:p>
    <w:p w14:paraId="68DFCD9B" w14:textId="77777777" w:rsidR="001D4734" w:rsidRDefault="005A1B5B">
      <w:pPr>
        <w:spacing w:after="160" w:line="259" w:lineRule="auto"/>
      </w:pPr>
      <w:r>
        <w:t xml:space="preserve">More research is needed to understand the mechanisms behind these data. </w:t>
      </w:r>
      <w:r w:rsidR="000616B4">
        <w:t>For example</w:t>
      </w:r>
      <w:r w:rsidR="00AD4E81">
        <w:t>,</w:t>
      </w:r>
      <w:r w:rsidR="00634E49">
        <w:t xml:space="preserve"> we</w:t>
      </w:r>
      <w:r w:rsidR="00AD4E81">
        <w:t xml:space="preserve"> </w:t>
      </w:r>
      <w:r w:rsidR="000616B4">
        <w:t xml:space="preserve">know that </w:t>
      </w:r>
      <w:r w:rsidR="00882F0C">
        <w:t xml:space="preserve">both </w:t>
      </w:r>
      <w:r w:rsidR="000616B4">
        <w:t xml:space="preserve">rural schools </w:t>
      </w:r>
      <w:r w:rsidR="00882F0C">
        <w:t xml:space="preserve">and school </w:t>
      </w:r>
      <w:r w:rsidR="00AD4E81">
        <w:t>serving</w:t>
      </w:r>
      <w:r w:rsidR="000616B4">
        <w:t xml:space="preserve"> high prop</w:t>
      </w:r>
      <w:r w:rsidR="00AD4E81">
        <w:t xml:space="preserve">ortions of student of color and students from </w:t>
      </w:r>
      <w:r w:rsidR="00950043">
        <w:t>low-income</w:t>
      </w:r>
      <w:r w:rsidR="00AD4E81">
        <w:t xml:space="preserve"> families are less likely to have experienced and fully certified teachers</w:t>
      </w:r>
      <w:r w:rsidR="00F44F57">
        <w:t xml:space="preserve"> (</w:t>
      </w:r>
      <w:r w:rsidR="00F44F57" w:rsidRPr="00F44F57">
        <w:t>Cardichon, Darling-</w:t>
      </w:r>
      <w:r w:rsidR="00F44F57" w:rsidRPr="00F44F57">
        <w:lastRenderedPageBreak/>
        <w:t>Hammond,</w:t>
      </w:r>
      <w:r w:rsidR="00F44F57">
        <w:t xml:space="preserve"> </w:t>
      </w:r>
      <w:r w:rsidR="00F44F57" w:rsidRPr="00F44F57">
        <w:t xml:space="preserve">Yang, Scott, Shields, &amp; Burns, 2020). </w:t>
      </w:r>
      <w:r w:rsidR="00F44F57">
        <w:t xml:space="preserve">Could </w:t>
      </w:r>
      <w:r w:rsidR="00BD79D6">
        <w:t xml:space="preserve">a shortage of qualified teachers be a factor in </w:t>
      </w:r>
      <w:r w:rsidR="00882F0C">
        <w:t>course offerings in rural schools</w:t>
      </w:r>
      <w:r w:rsidR="001A26C4">
        <w:t xml:space="preserve">? </w:t>
      </w:r>
    </w:p>
    <w:p w14:paraId="5E1B42E6" w14:textId="2B72F796" w:rsidR="001A26C4" w:rsidRDefault="001D4734">
      <w:pPr>
        <w:spacing w:after="160" w:line="259" w:lineRule="auto"/>
      </w:pPr>
      <w:r>
        <w:t>Furthermore</w:t>
      </w:r>
      <w:r w:rsidR="009979E5">
        <w:t>,</w:t>
      </w:r>
      <w:r>
        <w:t xml:space="preserve"> the CRDC data allow o</w:t>
      </w:r>
      <w:r w:rsidR="00237437">
        <w:t xml:space="preserve">nly limited understanding of school context and course content. </w:t>
      </w:r>
      <w:r w:rsidR="0004425C">
        <w:t xml:space="preserve">Aspects </w:t>
      </w:r>
      <w:r w:rsidR="00594857">
        <w:t xml:space="preserve">of the rural experience not represented in these </w:t>
      </w:r>
      <w:r w:rsidR="0004425C">
        <w:t xml:space="preserve">quantitative </w:t>
      </w:r>
      <w:r w:rsidR="00594857">
        <w:t>data</w:t>
      </w:r>
      <w:r w:rsidR="00460C09">
        <w:t>, such as p</w:t>
      </w:r>
      <w:r w:rsidR="003D7A04">
        <w:t>arental aspirations for their children and students’ interests,</w:t>
      </w:r>
      <w:r w:rsidR="00594857">
        <w:t xml:space="preserve"> likely influence </w:t>
      </w:r>
      <w:r w:rsidR="00460C09">
        <w:t xml:space="preserve">the courses rural schools offer. </w:t>
      </w:r>
      <w:r w:rsidR="001A26C4">
        <w:t xml:space="preserve">What could </w:t>
      </w:r>
      <w:r w:rsidR="00C74350">
        <w:t>qualitative studies of rural school</w:t>
      </w:r>
      <w:r w:rsidR="0004425C">
        <w:t>s</w:t>
      </w:r>
      <w:r w:rsidR="00C74350">
        <w:t xml:space="preserve"> tell us by</w:t>
      </w:r>
      <w:r w:rsidR="009979E5">
        <w:t xml:space="preserve"> exploring the experiences of students in rural classrooms and</w:t>
      </w:r>
      <w:r w:rsidR="00C74350">
        <w:t xml:space="preserve"> </w:t>
      </w:r>
      <w:r w:rsidR="006747DE">
        <w:t xml:space="preserve">by </w:t>
      </w:r>
      <w:r w:rsidR="00C74350">
        <w:t>gathering the insights of educat</w:t>
      </w:r>
      <w:r w:rsidR="006747DE">
        <w:t>ors</w:t>
      </w:r>
      <w:r w:rsidR="003D7A04">
        <w:t xml:space="preserve">, </w:t>
      </w:r>
      <w:r w:rsidR="00C74350">
        <w:t>community leaders</w:t>
      </w:r>
      <w:r w:rsidR="003D7A04">
        <w:t>, and parents</w:t>
      </w:r>
      <w:r w:rsidR="000268D4">
        <w:t>?</w:t>
      </w:r>
    </w:p>
    <w:p w14:paraId="5FC4C364" w14:textId="01EE7A63" w:rsidR="00E1302E" w:rsidRPr="009D2721" w:rsidRDefault="001A26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Despite the</w:t>
      </w:r>
      <w:r w:rsidR="006747DE">
        <w:t>se</w:t>
      </w:r>
      <w:r>
        <w:t xml:space="preserve"> opportunit</w:t>
      </w:r>
      <w:r w:rsidR="00C74350">
        <w:t xml:space="preserve">ies for future research, we have enough data to know that action is needed. </w:t>
      </w:r>
      <w:r w:rsidR="003B6ACF">
        <w:t>Students</w:t>
      </w:r>
      <w:r w:rsidR="00C74350">
        <w:t xml:space="preserve"> in rural school</w:t>
      </w:r>
      <w:r w:rsidR="006747DE">
        <w:t>s</w:t>
      </w:r>
      <w:r w:rsidR="00C74350">
        <w:t xml:space="preserve">, regardless of </w:t>
      </w:r>
      <w:r w:rsidR="008F3B81">
        <w:t xml:space="preserve">ethnicity or family income, need equitable opportunities to take </w:t>
      </w:r>
      <w:r w:rsidR="003B6ACF">
        <w:t>advance</w:t>
      </w:r>
      <w:r w:rsidR="00A36FDB">
        <w:t>d</w:t>
      </w:r>
      <w:r w:rsidR="003B6ACF">
        <w:t xml:space="preserve"> math and science courses. </w:t>
      </w:r>
      <w:r w:rsidR="00A1509D">
        <w:t xml:space="preserve">Increased course offerings could be supported </w:t>
      </w:r>
      <w:r w:rsidR="00A36FDB">
        <w:t>by</w:t>
      </w:r>
      <w:r w:rsidR="00A1509D">
        <w:t xml:space="preserve"> increase</w:t>
      </w:r>
      <w:r w:rsidR="00A36FDB">
        <w:t>d</w:t>
      </w:r>
      <w:r w:rsidR="00A1509D">
        <w:t xml:space="preserve"> funding to rural schools through </w:t>
      </w:r>
      <w:r w:rsidR="00E118E9">
        <w:t xml:space="preserve">federal grants such as </w:t>
      </w:r>
      <w:r w:rsidR="009F06B5">
        <w:t>the Rural</w:t>
      </w:r>
      <w:r w:rsidR="00756EB4">
        <w:t xml:space="preserve">, Low-Income Schools program and the Rural Education Achievement Program. State </w:t>
      </w:r>
      <w:r w:rsidR="00EB4E34">
        <w:t>leaders c</w:t>
      </w:r>
      <w:r w:rsidR="00676E7A">
        <w:t>ould</w:t>
      </w:r>
      <w:r w:rsidR="00EB4E34">
        <w:t xml:space="preserve"> also </w:t>
      </w:r>
      <w:r w:rsidR="00676E7A">
        <w:t>reexamine</w:t>
      </w:r>
      <w:r w:rsidR="00EB4E34">
        <w:t xml:space="preserve"> their funding formulas to help ensure that funds are distributed in ways that support rural schools, especially those serving </w:t>
      </w:r>
      <w:r w:rsidR="004006F5">
        <w:t xml:space="preserve">students of color and students </w:t>
      </w:r>
      <w:r w:rsidR="007222FD">
        <w:t>f</w:t>
      </w:r>
      <w:r w:rsidR="004006F5">
        <w:t xml:space="preserve">rom low-income communities. </w:t>
      </w:r>
      <w:r w:rsidR="00E1302E" w:rsidRPr="009D2721">
        <w:br w:type="page"/>
      </w:r>
    </w:p>
    <w:p w14:paraId="6E1974B9" w14:textId="5476771F" w:rsidR="00CC734A" w:rsidRDefault="002C4DA4" w:rsidP="002C4DA4">
      <w:pPr>
        <w:pStyle w:val="Heading1"/>
      </w:pPr>
      <w:r>
        <w:lastRenderedPageBreak/>
        <w:t>Figures</w:t>
      </w:r>
    </w:p>
    <w:p w14:paraId="14315410" w14:textId="1D1D87D0" w:rsidR="00071B30" w:rsidRDefault="00071B30" w:rsidP="00071B30"/>
    <w:p w14:paraId="249386B0" w14:textId="2A39D331" w:rsidR="00E1302E" w:rsidRPr="00071B30" w:rsidRDefault="0009076D" w:rsidP="00071B30">
      <w:r w:rsidRPr="0009285C">
        <w:rPr>
          <w:sz w:val="28"/>
          <w:szCs w:val="28"/>
        </w:rPr>
        <w:t>Figure 1. Percentages of Rural and Non</w:t>
      </w:r>
      <w:r w:rsidR="00385A3B">
        <w:rPr>
          <w:sz w:val="28"/>
          <w:szCs w:val="28"/>
        </w:rPr>
        <w:t>-</w:t>
      </w:r>
      <w:r w:rsidRPr="0009285C">
        <w:rPr>
          <w:sz w:val="28"/>
          <w:szCs w:val="28"/>
        </w:rPr>
        <w:t>Rural Schools Offering Advanced Math and Science Courses, 2017</w:t>
      </w:r>
      <w:r w:rsidR="00E1302E" w:rsidRPr="0009285C">
        <w:rPr>
          <w:sz w:val="28"/>
          <w:szCs w:val="28"/>
        </w:rPr>
        <w:t>-18</w:t>
      </w:r>
      <w:r w:rsidR="00FB186F">
        <w:rPr>
          <w:sz w:val="28"/>
          <w:szCs w:val="28"/>
        </w:rPr>
        <w:t xml:space="preserve"> (n = </w:t>
      </w:r>
      <w:r w:rsidR="004A71CF" w:rsidRPr="004A71CF">
        <w:rPr>
          <w:sz w:val="28"/>
          <w:szCs w:val="28"/>
        </w:rPr>
        <w:t>14,</w:t>
      </w:r>
      <w:r w:rsidR="00B36B86">
        <w:rPr>
          <w:sz w:val="28"/>
          <w:szCs w:val="28"/>
        </w:rPr>
        <w:t>576</w:t>
      </w:r>
      <w:r w:rsidR="004A71CF">
        <w:rPr>
          <w:sz w:val="28"/>
          <w:szCs w:val="28"/>
        </w:rPr>
        <w:t>)</w:t>
      </w:r>
      <w:r w:rsidR="00981E04">
        <w:rPr>
          <w:noProof/>
        </w:rPr>
        <w:drawing>
          <wp:inline distT="0" distB="0" distL="0" distR="0" wp14:anchorId="557AAD93" wp14:editId="4B10C424">
            <wp:extent cx="5915025" cy="4533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59288D-D0C2-4584-8887-F0FB7884A9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3CBB03" w14:textId="77777777" w:rsidR="00D6488C" w:rsidRDefault="00F3478A" w:rsidP="00D6488C">
      <w:r>
        <w:t xml:space="preserve">* </w:t>
      </w:r>
      <w:r>
        <w:rPr>
          <w:i/>
          <w:iCs/>
        </w:rPr>
        <w:t xml:space="preserve">p </w:t>
      </w:r>
      <w:r w:rsidR="00D6488C">
        <w:t>&lt; 0.05</w:t>
      </w:r>
    </w:p>
    <w:p w14:paraId="31C5A86F" w14:textId="77777777" w:rsidR="00D6488C" w:rsidRDefault="00D6488C" w:rsidP="00D6488C">
      <w:r>
        <w:t xml:space="preserve">** </w:t>
      </w:r>
      <w:r>
        <w:rPr>
          <w:i/>
          <w:iCs/>
        </w:rPr>
        <w:t xml:space="preserve">p </w:t>
      </w:r>
      <w:r w:rsidRPr="00D6488C">
        <w:t>&lt; 0.001</w:t>
      </w:r>
    </w:p>
    <w:p w14:paraId="00297562" w14:textId="77777777" w:rsidR="0009285C" w:rsidRDefault="00D6488C" w:rsidP="00D6488C">
      <w:r w:rsidRPr="00D6488C">
        <w:t>Data sources: U.S. Department of Education, Office for Civil Rights. (n.d.). Civil Rights Data Collection (public-use</w:t>
      </w:r>
      <w:r>
        <w:t xml:space="preserve"> </w:t>
      </w:r>
      <w:r w:rsidRPr="00D6488C">
        <w:t>data</w:t>
      </w:r>
      <w:r>
        <w:t xml:space="preserve"> </w:t>
      </w:r>
      <w:r w:rsidRPr="00D6488C">
        <w:t>files for 2018). https://ocrdata.ed.gov/;</w:t>
      </w:r>
      <w:r>
        <w:t xml:space="preserve"> </w:t>
      </w:r>
      <w:r w:rsidRPr="00D6488C">
        <w:t>National Center for Education Statistics. (2018). Common Core of Data.</w:t>
      </w:r>
      <w:r>
        <w:t xml:space="preserve"> </w:t>
      </w:r>
      <w:r w:rsidRPr="00D6488C">
        <w:t xml:space="preserve">https://nces.ed.gov/ccd/ccddata.asp (accessed 11/20/20). </w:t>
      </w:r>
    </w:p>
    <w:p w14:paraId="0CD916FA" w14:textId="77777777" w:rsidR="0009285C" w:rsidRDefault="0009285C" w:rsidP="00D6488C"/>
    <w:p w14:paraId="32DF0D0F" w14:textId="77777777" w:rsidR="0009285C" w:rsidRDefault="0009285C">
      <w:pPr>
        <w:spacing w:after="160" w:line="259" w:lineRule="auto"/>
      </w:pPr>
      <w:r>
        <w:br w:type="page"/>
      </w:r>
    </w:p>
    <w:p w14:paraId="7695B77B" w14:textId="38DA9F0E" w:rsidR="007C3033" w:rsidRPr="00973A2F" w:rsidRDefault="00FF48C9" w:rsidP="00D6488C">
      <w:pPr>
        <w:rPr>
          <w:sz w:val="28"/>
          <w:szCs w:val="28"/>
        </w:rPr>
      </w:pPr>
      <w:bookmarkStart w:id="0" w:name="_Hlk77499343"/>
      <w:r w:rsidRPr="0009285C">
        <w:rPr>
          <w:sz w:val="28"/>
          <w:szCs w:val="28"/>
        </w:rPr>
        <w:lastRenderedPageBreak/>
        <w:t xml:space="preserve">Figure </w:t>
      </w:r>
      <w:r>
        <w:rPr>
          <w:sz w:val="28"/>
          <w:szCs w:val="28"/>
        </w:rPr>
        <w:t>2</w:t>
      </w:r>
      <w:r w:rsidRPr="0009285C">
        <w:rPr>
          <w:sz w:val="28"/>
          <w:szCs w:val="28"/>
        </w:rPr>
        <w:t xml:space="preserve">. </w:t>
      </w:r>
      <w:r w:rsidR="001878C9">
        <w:rPr>
          <w:sz w:val="28"/>
          <w:szCs w:val="28"/>
        </w:rPr>
        <w:t xml:space="preserve">Among Schools Serving Higher than Average </w:t>
      </w:r>
      <w:r w:rsidR="00DF67FF">
        <w:rPr>
          <w:sz w:val="28"/>
          <w:szCs w:val="28"/>
        </w:rPr>
        <w:t>Percentages of Students of Color</w:t>
      </w:r>
      <w:r w:rsidR="007C3033">
        <w:rPr>
          <w:sz w:val="28"/>
          <w:szCs w:val="28"/>
        </w:rPr>
        <w:t xml:space="preserve"> - </w:t>
      </w:r>
      <w:r w:rsidRPr="0009285C">
        <w:rPr>
          <w:sz w:val="28"/>
          <w:szCs w:val="28"/>
        </w:rPr>
        <w:t>Percentages of Rural and Non</w:t>
      </w:r>
      <w:r w:rsidR="00385A3B">
        <w:rPr>
          <w:sz w:val="28"/>
          <w:szCs w:val="28"/>
        </w:rPr>
        <w:t>-</w:t>
      </w:r>
      <w:r w:rsidRPr="0009285C">
        <w:rPr>
          <w:sz w:val="28"/>
          <w:szCs w:val="28"/>
        </w:rPr>
        <w:t>Rural Schools Offering Advanced Math and Science Courses, 2017-18</w:t>
      </w:r>
      <w:r w:rsidR="00FB186F">
        <w:rPr>
          <w:sz w:val="28"/>
          <w:szCs w:val="28"/>
        </w:rPr>
        <w:t xml:space="preserve"> (n = </w:t>
      </w:r>
      <w:r w:rsidR="00F933CC">
        <w:rPr>
          <w:sz w:val="28"/>
          <w:szCs w:val="28"/>
        </w:rPr>
        <w:t>6084</w:t>
      </w:r>
      <w:r w:rsidR="00FB186F">
        <w:rPr>
          <w:sz w:val="28"/>
          <w:szCs w:val="28"/>
        </w:rPr>
        <w:t>)</w:t>
      </w:r>
      <w:bookmarkEnd w:id="0"/>
    </w:p>
    <w:p w14:paraId="26965795" w14:textId="6C533E70" w:rsidR="007C3033" w:rsidRDefault="00385A3B" w:rsidP="00D6488C">
      <w:r>
        <w:rPr>
          <w:noProof/>
        </w:rPr>
        <w:drawing>
          <wp:inline distT="0" distB="0" distL="0" distR="0" wp14:anchorId="3041C012" wp14:editId="6AE8495C">
            <wp:extent cx="5829300" cy="4524375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92A1C2-BEC6-4634-9FE9-4BC09FE95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1A6E89" w14:textId="77777777" w:rsidR="00F933CC" w:rsidRDefault="00F933CC" w:rsidP="00F933CC">
      <w:r>
        <w:t xml:space="preserve">** </w:t>
      </w:r>
      <w:r>
        <w:rPr>
          <w:i/>
          <w:iCs/>
        </w:rPr>
        <w:t xml:space="preserve">p </w:t>
      </w:r>
      <w:r w:rsidRPr="00D6488C">
        <w:t>&lt; 0.001</w:t>
      </w:r>
    </w:p>
    <w:p w14:paraId="040F35D2" w14:textId="77777777" w:rsidR="00F933CC" w:rsidRDefault="00F933CC" w:rsidP="00F933CC">
      <w:r w:rsidRPr="00D6488C">
        <w:t>Data sources: U.S. Department of Education, Office for Civil Rights. (n.d.). Civil Rights Data Collection (public-use</w:t>
      </w:r>
      <w:r>
        <w:t xml:space="preserve"> </w:t>
      </w:r>
      <w:r w:rsidRPr="00D6488C">
        <w:t>data</w:t>
      </w:r>
      <w:r>
        <w:t xml:space="preserve"> </w:t>
      </w:r>
      <w:r w:rsidRPr="00D6488C">
        <w:t>files for 2018). https://ocrdata.ed.gov/;</w:t>
      </w:r>
      <w:r>
        <w:t xml:space="preserve"> </w:t>
      </w:r>
      <w:r w:rsidRPr="00D6488C">
        <w:t>National Center for Education Statistics. (2018). Common Core of Data.</w:t>
      </w:r>
      <w:r>
        <w:t xml:space="preserve"> </w:t>
      </w:r>
      <w:r w:rsidRPr="00D6488C">
        <w:t xml:space="preserve">https://nces.ed.gov/ccd/ccddata.asp (accessed 11/20/20). </w:t>
      </w:r>
    </w:p>
    <w:p w14:paraId="5FCAB63B" w14:textId="77777777" w:rsidR="007C3033" w:rsidRDefault="007C3033">
      <w:pPr>
        <w:spacing w:after="160" w:line="259" w:lineRule="auto"/>
      </w:pPr>
      <w:r>
        <w:br w:type="page"/>
      </w:r>
    </w:p>
    <w:p w14:paraId="5BD60230" w14:textId="2242F010" w:rsidR="007C3033" w:rsidRPr="0009285C" w:rsidRDefault="007C3033" w:rsidP="007C3033">
      <w:pPr>
        <w:rPr>
          <w:sz w:val="28"/>
          <w:szCs w:val="28"/>
        </w:rPr>
      </w:pPr>
      <w:r w:rsidRPr="0009285C">
        <w:rPr>
          <w:sz w:val="28"/>
          <w:szCs w:val="28"/>
        </w:rPr>
        <w:lastRenderedPageBreak/>
        <w:t xml:space="preserve">Figure </w:t>
      </w:r>
      <w:r>
        <w:rPr>
          <w:sz w:val="28"/>
          <w:szCs w:val="28"/>
        </w:rPr>
        <w:t>3</w:t>
      </w:r>
      <w:r w:rsidRPr="000928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Among Schools Serving Higher than Average Percentages of Students of </w:t>
      </w:r>
      <w:r w:rsidR="00FB186F">
        <w:rPr>
          <w:sz w:val="28"/>
          <w:szCs w:val="28"/>
        </w:rPr>
        <w:t>Eligible for Free or Reduced Price Lunch</w:t>
      </w:r>
      <w:r>
        <w:rPr>
          <w:sz w:val="28"/>
          <w:szCs w:val="28"/>
        </w:rPr>
        <w:t xml:space="preserve"> - </w:t>
      </w:r>
      <w:r w:rsidRPr="0009285C">
        <w:rPr>
          <w:sz w:val="28"/>
          <w:szCs w:val="28"/>
        </w:rPr>
        <w:t>Percentages of Rural and Non</w:t>
      </w:r>
      <w:r w:rsidR="00385A3B">
        <w:rPr>
          <w:sz w:val="28"/>
          <w:szCs w:val="28"/>
        </w:rPr>
        <w:t>-</w:t>
      </w:r>
      <w:r w:rsidRPr="0009285C">
        <w:rPr>
          <w:sz w:val="28"/>
          <w:szCs w:val="28"/>
        </w:rPr>
        <w:t>Rural Schools Offering Advanced Math and Science Courses, 2017-18</w:t>
      </w:r>
      <w:r w:rsidR="00FB186F">
        <w:rPr>
          <w:sz w:val="28"/>
          <w:szCs w:val="28"/>
        </w:rPr>
        <w:t xml:space="preserve"> (n = </w:t>
      </w:r>
      <w:r w:rsidR="00A914E6">
        <w:rPr>
          <w:sz w:val="28"/>
          <w:szCs w:val="28"/>
        </w:rPr>
        <w:t>6584</w:t>
      </w:r>
      <w:r w:rsidR="00FB186F">
        <w:rPr>
          <w:sz w:val="28"/>
          <w:szCs w:val="28"/>
        </w:rPr>
        <w:t>)</w:t>
      </w:r>
    </w:p>
    <w:p w14:paraId="087CED29" w14:textId="154A2572" w:rsidR="00E12AE7" w:rsidRDefault="00385A3B" w:rsidP="00D6488C">
      <w:r>
        <w:rPr>
          <w:noProof/>
        </w:rPr>
        <w:drawing>
          <wp:inline distT="0" distB="0" distL="0" distR="0" wp14:anchorId="588B4C2C" wp14:editId="307A2B7D">
            <wp:extent cx="5829300" cy="437134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504202C-8038-4F00-B5F8-1607F6A42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A2E48F" w14:textId="77777777" w:rsidR="00E12AE7" w:rsidRDefault="00E12AE7" w:rsidP="00E12AE7">
      <w:r>
        <w:t xml:space="preserve">** </w:t>
      </w:r>
      <w:r>
        <w:rPr>
          <w:i/>
          <w:iCs/>
        </w:rPr>
        <w:t xml:space="preserve">p </w:t>
      </w:r>
      <w:r w:rsidRPr="00D6488C">
        <w:t>&lt; 0.001</w:t>
      </w:r>
    </w:p>
    <w:p w14:paraId="7327114C" w14:textId="77777777" w:rsidR="00E12AE7" w:rsidRDefault="00E12AE7" w:rsidP="00E12AE7">
      <w:r w:rsidRPr="00D6488C">
        <w:t>Data sources: U.S. Department of Education, Office for Civil Rights. (n.d.). Civil Rights Data Collection (public-use</w:t>
      </w:r>
      <w:r>
        <w:t xml:space="preserve"> </w:t>
      </w:r>
      <w:r w:rsidRPr="00D6488C">
        <w:t>data</w:t>
      </w:r>
      <w:r>
        <w:t xml:space="preserve"> </w:t>
      </w:r>
      <w:r w:rsidRPr="00D6488C">
        <w:t>files for 2018). https://ocrdata.ed.gov/;</w:t>
      </w:r>
      <w:r>
        <w:t xml:space="preserve"> </w:t>
      </w:r>
      <w:r w:rsidRPr="00D6488C">
        <w:t>National Center for Education Statistics. (2018). Common Core of Data.</w:t>
      </w:r>
      <w:r>
        <w:t xml:space="preserve"> </w:t>
      </w:r>
      <w:r w:rsidRPr="00D6488C">
        <w:t xml:space="preserve">https://nces.ed.gov/ccd/ccddata.asp (accessed 11/20/20). </w:t>
      </w:r>
    </w:p>
    <w:p w14:paraId="6227F1B5" w14:textId="77777777" w:rsidR="00B6386E" w:rsidRDefault="00F8285B">
      <w:pPr>
        <w:spacing w:after="160" w:line="259" w:lineRule="auto"/>
      </w:pPr>
      <w:r>
        <w:br w:type="page"/>
      </w:r>
    </w:p>
    <w:p w14:paraId="171FB381" w14:textId="202DF175" w:rsidR="00C4071A" w:rsidRDefault="00C4071A" w:rsidP="00C4071A">
      <w:pPr>
        <w:rPr>
          <w:sz w:val="28"/>
          <w:szCs w:val="28"/>
        </w:rPr>
      </w:pPr>
      <w:r w:rsidRPr="0009285C">
        <w:rPr>
          <w:sz w:val="28"/>
          <w:szCs w:val="28"/>
        </w:rPr>
        <w:lastRenderedPageBreak/>
        <w:t xml:space="preserve">Figure </w:t>
      </w:r>
      <w:r w:rsidR="006E6AA3">
        <w:rPr>
          <w:sz w:val="28"/>
          <w:szCs w:val="28"/>
        </w:rPr>
        <w:t>4</w:t>
      </w:r>
      <w:r w:rsidRPr="0009285C">
        <w:rPr>
          <w:sz w:val="28"/>
          <w:szCs w:val="28"/>
        </w:rPr>
        <w:t xml:space="preserve">. Percentages </w:t>
      </w:r>
      <w:r w:rsidR="006C67B9">
        <w:rPr>
          <w:sz w:val="28"/>
          <w:szCs w:val="28"/>
        </w:rPr>
        <w:t xml:space="preserve">Among Types of </w:t>
      </w:r>
      <w:r w:rsidRPr="0009285C">
        <w:rPr>
          <w:sz w:val="28"/>
          <w:szCs w:val="28"/>
        </w:rPr>
        <w:t xml:space="preserve">Rural </w:t>
      </w:r>
      <w:r w:rsidR="006C67B9">
        <w:rPr>
          <w:sz w:val="28"/>
          <w:szCs w:val="28"/>
        </w:rPr>
        <w:t xml:space="preserve">School </w:t>
      </w:r>
      <w:r w:rsidRPr="0009285C">
        <w:rPr>
          <w:sz w:val="28"/>
          <w:szCs w:val="28"/>
        </w:rPr>
        <w:t xml:space="preserve">and </w:t>
      </w:r>
      <w:r w:rsidR="006C67B9">
        <w:rPr>
          <w:sz w:val="28"/>
          <w:szCs w:val="28"/>
        </w:rPr>
        <w:t xml:space="preserve">Among </w:t>
      </w:r>
      <w:r w:rsidRPr="0009285C">
        <w:rPr>
          <w:sz w:val="28"/>
          <w:szCs w:val="28"/>
        </w:rPr>
        <w:t>Non</w:t>
      </w:r>
      <w:r w:rsidR="00385A3B">
        <w:rPr>
          <w:sz w:val="28"/>
          <w:szCs w:val="28"/>
        </w:rPr>
        <w:t>-</w:t>
      </w:r>
      <w:r w:rsidRPr="0009285C">
        <w:rPr>
          <w:sz w:val="28"/>
          <w:szCs w:val="28"/>
        </w:rPr>
        <w:t xml:space="preserve">Rural Schools </w:t>
      </w:r>
      <w:r w:rsidR="006C67B9">
        <w:rPr>
          <w:sz w:val="28"/>
          <w:szCs w:val="28"/>
        </w:rPr>
        <w:t xml:space="preserve">Overall </w:t>
      </w:r>
      <w:r w:rsidRPr="0009285C">
        <w:rPr>
          <w:sz w:val="28"/>
          <w:szCs w:val="28"/>
        </w:rPr>
        <w:t>Offering Advanced Math and Science Courses, 2017-18</w:t>
      </w:r>
      <w:r>
        <w:rPr>
          <w:sz w:val="28"/>
          <w:szCs w:val="28"/>
        </w:rPr>
        <w:t xml:space="preserve"> </w:t>
      </w:r>
    </w:p>
    <w:p w14:paraId="33FD318A" w14:textId="0C6D393C" w:rsidR="006C67B9" w:rsidRPr="0009285C" w:rsidRDefault="00385A3B" w:rsidP="00C407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395929" wp14:editId="2E0DA1EB">
            <wp:extent cx="5924550" cy="557149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CDA5076-AEEA-4ABA-8EAD-A8CB85B843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8F0075" w14:textId="77777777" w:rsidR="00E27750" w:rsidRDefault="00E27750" w:rsidP="00E27750">
      <w:r w:rsidRPr="00D6488C">
        <w:t>Data sources: U.S. Department of Education, Office for Civil Rights. (n.d.). Civil Rights Data Collection (public-use</w:t>
      </w:r>
      <w:r>
        <w:t xml:space="preserve"> </w:t>
      </w:r>
      <w:r w:rsidRPr="00D6488C">
        <w:t>data</w:t>
      </w:r>
      <w:r>
        <w:t xml:space="preserve"> </w:t>
      </w:r>
      <w:r w:rsidRPr="00D6488C">
        <w:t>files for 2018). https://ocrdata.ed.gov/;</w:t>
      </w:r>
      <w:r>
        <w:t xml:space="preserve"> </w:t>
      </w:r>
      <w:r w:rsidRPr="00D6488C">
        <w:t>National Center for Education Statistics. (2018). Common Core of Data.</w:t>
      </w:r>
      <w:r>
        <w:t xml:space="preserve"> </w:t>
      </w:r>
      <w:r w:rsidRPr="00D6488C">
        <w:t xml:space="preserve">https://nces.ed.gov/ccd/ccddata.asp (accessed 11/20/20). </w:t>
      </w:r>
    </w:p>
    <w:p w14:paraId="478328E3" w14:textId="77777777" w:rsidR="00B6386E" w:rsidRDefault="00B6386E">
      <w:pPr>
        <w:spacing w:after="160" w:line="259" w:lineRule="auto"/>
      </w:pPr>
    </w:p>
    <w:p w14:paraId="195FAB7D" w14:textId="317097FA" w:rsidR="00B6386E" w:rsidRDefault="00B6386E">
      <w:pPr>
        <w:spacing w:after="160" w:line="259" w:lineRule="auto"/>
      </w:pPr>
      <w:r>
        <w:br w:type="page"/>
      </w:r>
    </w:p>
    <w:p w14:paraId="637FDE6A" w14:textId="77777777" w:rsidR="00F8285B" w:rsidRPr="00D6488C" w:rsidRDefault="00F8285B" w:rsidP="00D6488C"/>
    <w:p w14:paraId="53287C29" w14:textId="57B36CBE" w:rsidR="002C4DA4" w:rsidRDefault="002C4DA4" w:rsidP="002C4DA4">
      <w:pPr>
        <w:pStyle w:val="Heading1"/>
      </w:pPr>
      <w:r>
        <w:t>References</w:t>
      </w:r>
    </w:p>
    <w:p w14:paraId="1ED59DE7" w14:textId="1B3DF016" w:rsidR="00436CB6" w:rsidRDefault="00436CB6" w:rsidP="00624B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36CB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Aud, S., Wilkinson-Flicker, S., Kristapovich, P., Rathbun, A., Wang, X., &amp; Zhang, J. (2013). </w:t>
      </w:r>
      <w:r w:rsidRPr="00436CB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The condition of education 2013 </w:t>
      </w:r>
      <w:r w:rsidRPr="00436CB6">
        <w:rPr>
          <w:rFonts w:ascii="Arial" w:hAnsi="Arial" w:cs="Arial"/>
          <w:color w:val="222222"/>
          <w:sz w:val="20"/>
          <w:szCs w:val="20"/>
          <w:shd w:val="clear" w:color="auto" w:fill="FFFFFF"/>
        </w:rPr>
        <w:t>(NCES No. 2013–037). U.S. Department of Education, Institute of Education Sciences, National Center for Education Sta-tistics. https://nces.ed.gov/pubsearch/pubsinfo.asp?pubid=2013037.</w:t>
      </w:r>
    </w:p>
    <w:p w14:paraId="1354B3EE" w14:textId="77777777" w:rsidR="00436CB6" w:rsidRDefault="00436CB6" w:rsidP="00624B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DA84DF4" w14:textId="0417779F" w:rsidR="00A87C32" w:rsidRDefault="00A87C32" w:rsidP="00624B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Avery, L. M. (2013). Rural science education: Valuing local knowledge.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Theory Into Practice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28-35.</w:t>
      </w:r>
    </w:p>
    <w:p w14:paraId="03C16E39" w14:textId="0B669BD6" w:rsidR="00A87C32" w:rsidRDefault="00A87C32" w:rsidP="00624B9E"/>
    <w:p w14:paraId="14C5BE1B" w14:textId="267CA36E" w:rsidR="00F44F57" w:rsidRPr="00F44F57" w:rsidRDefault="00F44F57" w:rsidP="00F44F57">
      <w:r w:rsidRPr="00F44F57">
        <w:t>Cardichon, J., Darling-Hammond,</w:t>
      </w:r>
      <w:r>
        <w:t xml:space="preserve"> </w:t>
      </w:r>
      <w:r w:rsidRPr="00F44F57">
        <w:t xml:space="preserve">L., Yang, M., Scott, C., Shields, P. M., &amp; Burns, D. (2020). </w:t>
      </w:r>
      <w:r w:rsidRPr="00F44F57">
        <w:rPr>
          <w:i/>
          <w:iCs/>
        </w:rPr>
        <w:t>Inequitable</w:t>
      </w:r>
    </w:p>
    <w:p w14:paraId="7A750A40" w14:textId="011AC464" w:rsidR="00F44F57" w:rsidRDefault="00F44F57" w:rsidP="00F44F57">
      <w:r w:rsidRPr="00F44F57">
        <w:rPr>
          <w:i/>
          <w:iCs/>
        </w:rPr>
        <w:t>opportunity to learn: Student access to certified and experienced teachers</w:t>
      </w:r>
      <w:r w:rsidRPr="00F44F57">
        <w:t>. Learning Policy Institute;</w:t>
      </w:r>
    </w:p>
    <w:p w14:paraId="10AE57AF" w14:textId="77777777" w:rsidR="00F44F57" w:rsidRDefault="00F44F57" w:rsidP="008E5FD8">
      <w:pPr>
        <w:rPr>
          <w:shd w:val="clear" w:color="auto" w:fill="FFFFFF"/>
        </w:rPr>
      </w:pPr>
    </w:p>
    <w:p w14:paraId="59CF7794" w14:textId="084315F7" w:rsidR="007C20BB" w:rsidRDefault="007C20BB" w:rsidP="008E5FD8">
      <w:pPr>
        <w:rPr>
          <w:i/>
          <w:iCs/>
          <w:shd w:val="clear" w:color="auto" w:fill="FFFFFF"/>
        </w:rPr>
      </w:pPr>
      <w:r w:rsidRPr="007C20BB">
        <w:rPr>
          <w:shd w:val="clear" w:color="auto" w:fill="FFFFFF"/>
        </w:rPr>
        <w:t>Croft, M., &amp; Moore, R. (2019). Rural Students: Technology, Coursework, and Extracurricular Activities. Insights in Education and Work. </w:t>
      </w:r>
      <w:r w:rsidRPr="007C20BB">
        <w:rPr>
          <w:i/>
          <w:iCs/>
          <w:shd w:val="clear" w:color="auto" w:fill="FFFFFF"/>
        </w:rPr>
        <w:t>ACT, Inc.</w:t>
      </w:r>
    </w:p>
    <w:p w14:paraId="052A7A2F" w14:textId="7276CC54" w:rsidR="007C20BB" w:rsidRDefault="007C20BB" w:rsidP="008E5FD8">
      <w:pPr>
        <w:rPr>
          <w:shd w:val="clear" w:color="auto" w:fill="FFFFFF"/>
        </w:rPr>
      </w:pPr>
    </w:p>
    <w:p w14:paraId="32B1019D" w14:textId="4CB16802" w:rsidR="004D2ED8" w:rsidRPr="00165934" w:rsidRDefault="004D2ED8" w:rsidP="008E5FD8">
      <w:pPr>
        <w:rPr>
          <w:shd w:val="clear" w:color="auto" w:fill="FFFFFF"/>
        </w:rPr>
      </w:pPr>
      <w:r>
        <w:rPr>
          <w:shd w:val="clear" w:color="auto" w:fill="FFFFFF"/>
        </w:rPr>
        <w:t xml:space="preserve">Gagnon, </w:t>
      </w:r>
      <w:r w:rsidR="00165934">
        <w:rPr>
          <w:shd w:val="clear" w:color="auto" w:fill="FFFFFF"/>
        </w:rPr>
        <w:t xml:space="preserve">D.L., &amp; Mattingly, M.J. (2018). Racial/ethnic test score gaps and the urban rural continuum. </w:t>
      </w:r>
      <w:r w:rsidR="00165934">
        <w:rPr>
          <w:i/>
          <w:iCs/>
          <w:shd w:val="clear" w:color="auto" w:fill="FFFFFF"/>
        </w:rPr>
        <w:t>Journal of Research in Rural Eduaiton, 33</w:t>
      </w:r>
      <w:r w:rsidR="00165934">
        <w:rPr>
          <w:shd w:val="clear" w:color="auto" w:fill="FFFFFF"/>
        </w:rPr>
        <w:t xml:space="preserve">(2), 1-16. </w:t>
      </w:r>
      <w:r w:rsidR="000023FA">
        <w:rPr>
          <w:shd w:val="clear" w:color="auto" w:fill="FFFFFF"/>
        </w:rPr>
        <w:t>http://jrre.psu.edu/sites/default/files/2019-08/33-2.pdf</w:t>
      </w:r>
      <w:r w:rsidR="004B11D8">
        <w:rPr>
          <w:shd w:val="clear" w:color="auto" w:fill="FFFFFF"/>
        </w:rPr>
        <w:t>.</w:t>
      </w:r>
    </w:p>
    <w:p w14:paraId="152E6524" w14:textId="77777777" w:rsidR="004D2ED8" w:rsidRDefault="004D2ED8" w:rsidP="008E5FD8">
      <w:pPr>
        <w:rPr>
          <w:shd w:val="clear" w:color="auto" w:fill="FFFFFF"/>
        </w:rPr>
      </w:pPr>
    </w:p>
    <w:p w14:paraId="513751A1" w14:textId="2DEC90A0" w:rsidR="00187290" w:rsidRDefault="00187290" w:rsidP="008E5FD8">
      <w:pPr>
        <w:rPr>
          <w:shd w:val="clear" w:color="auto" w:fill="FFFFFF"/>
        </w:rPr>
      </w:pPr>
      <w:r w:rsidRPr="00187290">
        <w:rPr>
          <w:shd w:val="clear" w:color="auto" w:fill="FFFFFF"/>
        </w:rPr>
        <w:t xml:space="preserve">Harris, A., &amp; Leonardo, Z. (2018). Intersectionality, race-gender subordination, and education. </w:t>
      </w:r>
      <w:r w:rsidRPr="00187290">
        <w:rPr>
          <w:i/>
          <w:iCs/>
          <w:shd w:val="clear" w:color="auto" w:fill="FFFFFF"/>
        </w:rPr>
        <w:t>Review of Research in Education, 42</w:t>
      </w:r>
      <w:r w:rsidRPr="00187290">
        <w:rPr>
          <w:shd w:val="clear" w:color="auto" w:fill="FFFFFF"/>
        </w:rPr>
        <w:t>(1), 1-27.</w:t>
      </w:r>
    </w:p>
    <w:p w14:paraId="018ED448" w14:textId="77777777" w:rsidR="00187290" w:rsidRDefault="00187290" w:rsidP="008E5FD8">
      <w:pPr>
        <w:rPr>
          <w:shd w:val="clear" w:color="auto" w:fill="FFFFFF"/>
        </w:rPr>
      </w:pPr>
    </w:p>
    <w:p w14:paraId="5289B125" w14:textId="5243793C" w:rsidR="005602A8" w:rsidRDefault="005602A8" w:rsidP="008E5FD8">
      <w:pPr>
        <w:rPr>
          <w:shd w:val="clear" w:color="auto" w:fill="FFFFFF"/>
        </w:rPr>
      </w:pPr>
      <w:r w:rsidRPr="005602A8">
        <w:rPr>
          <w:shd w:val="clear" w:color="auto" w:fill="FFFFFF"/>
        </w:rPr>
        <w:t>Harmon, H., Tate, V., Stevens, J., Wilborn, S., &amp; Adams, S. (2018). Rural Math Excel Partnership (RMEP) Project Final Performance Report. Grantee Submission.</w:t>
      </w:r>
    </w:p>
    <w:p w14:paraId="7FB55046" w14:textId="77777777" w:rsidR="005602A8" w:rsidRDefault="005602A8" w:rsidP="008E5FD8">
      <w:pPr>
        <w:rPr>
          <w:shd w:val="clear" w:color="auto" w:fill="FFFFFF"/>
        </w:rPr>
      </w:pPr>
    </w:p>
    <w:p w14:paraId="0F86DABB" w14:textId="3197A2B4" w:rsidR="00D92D38" w:rsidRDefault="00D92D38" w:rsidP="008E5FD8">
      <w:pPr>
        <w:rPr>
          <w:shd w:val="clear" w:color="auto" w:fill="FFFFFF"/>
        </w:rPr>
      </w:pPr>
      <w:r w:rsidRPr="00D92D38">
        <w:rPr>
          <w:shd w:val="clear" w:color="auto" w:fill="FFFFFF"/>
        </w:rPr>
        <w:t xml:space="preserve">Harmon, H. L., &amp; Wilborn, S. C. (2016). The math learning gap: Preparing STEM technicians for the new rural economy. </w:t>
      </w:r>
      <w:r w:rsidRPr="00D92D38">
        <w:rPr>
          <w:i/>
          <w:iCs/>
          <w:shd w:val="clear" w:color="auto" w:fill="FFFFFF"/>
        </w:rPr>
        <w:t>The Rural Educator,</w:t>
      </w:r>
      <w:r w:rsidRPr="00D92D38">
        <w:rPr>
          <w:shd w:val="clear" w:color="auto" w:fill="FFFFFF"/>
        </w:rPr>
        <w:t xml:space="preserve"> 37(3).</w:t>
      </w:r>
    </w:p>
    <w:p w14:paraId="68598206" w14:textId="77777777" w:rsidR="00D92D38" w:rsidRDefault="00D92D38" w:rsidP="008E5FD8">
      <w:pPr>
        <w:rPr>
          <w:shd w:val="clear" w:color="auto" w:fill="FFFFFF"/>
        </w:rPr>
      </w:pPr>
    </w:p>
    <w:p w14:paraId="0BB2AD89" w14:textId="4381DF1F" w:rsidR="008E5FD8" w:rsidRDefault="008E5FD8" w:rsidP="008E5FD8">
      <w:pPr>
        <w:rPr>
          <w:shd w:val="clear" w:color="auto" w:fill="FFFFFF"/>
        </w:rPr>
      </w:pPr>
      <w:r>
        <w:rPr>
          <w:shd w:val="clear" w:color="auto" w:fill="FFFFFF"/>
        </w:rPr>
        <w:t>Ihrig, L. M., Lane, E., Mahatmya, D., &amp; Assouline, S. G. (2018). STEM excellence and leadership program: Increasing the level of STEM challenge and engagement for high-achieving students in economically disadvantaged rural communities. </w:t>
      </w:r>
      <w:r>
        <w:rPr>
          <w:i/>
          <w:iCs/>
          <w:shd w:val="clear" w:color="auto" w:fill="FFFFFF"/>
        </w:rPr>
        <w:t>Journal for the Education of the Gifted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41</w:t>
      </w:r>
      <w:r>
        <w:rPr>
          <w:shd w:val="clear" w:color="auto" w:fill="FFFFFF"/>
        </w:rPr>
        <w:t>(1), 24-42.</w:t>
      </w:r>
    </w:p>
    <w:p w14:paraId="3C0BE7FA" w14:textId="77777777" w:rsidR="008E5FD8" w:rsidRDefault="008E5FD8" w:rsidP="008E5FD8"/>
    <w:p w14:paraId="1BBBF378" w14:textId="4B7DF6EE" w:rsidR="00CD4B4B" w:rsidRDefault="00CD4B4B" w:rsidP="008E5FD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Irvin, M., Byun, S. Y., Smiley, W. S., &amp; Hutchins, B. C. (2017). Relation of opportunity to learn advanced math to the educational attainment of rural youth.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 Journal of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475-510.</w:t>
      </w:r>
    </w:p>
    <w:p w14:paraId="591C62BA" w14:textId="77777777" w:rsidR="00CD4B4B" w:rsidRDefault="00CD4B4B" w:rsidP="008E5FD8"/>
    <w:p w14:paraId="7CADCF5D" w14:textId="1477F5C6" w:rsidR="00624B9E" w:rsidRPr="00624B9E" w:rsidRDefault="00624B9E" w:rsidP="008E5FD8">
      <w:pPr>
        <w:rPr>
          <w:i/>
          <w:iCs/>
        </w:rPr>
      </w:pPr>
      <w:r w:rsidRPr="00624B9E">
        <w:t xml:space="preserve">Kane, T. J., Owens, A. M., Marinell, W. H., Thal, D. R., &amp; Staiger, D. O. (2016). </w:t>
      </w:r>
      <w:r w:rsidRPr="00624B9E">
        <w:rPr>
          <w:i/>
          <w:iCs/>
        </w:rPr>
        <w:t>Teaching higher: Educators’</w:t>
      </w:r>
    </w:p>
    <w:p w14:paraId="32F915F3" w14:textId="77777777" w:rsidR="00624B9E" w:rsidRDefault="00624B9E" w:rsidP="00624B9E">
      <w:r w:rsidRPr="00624B9E">
        <w:rPr>
          <w:i/>
          <w:iCs/>
        </w:rPr>
        <w:t>perspectives on Common Core implementation</w:t>
      </w:r>
      <w:r w:rsidRPr="00624B9E">
        <w:t>. Center for Education Policy Research, Harvard University</w:t>
      </w:r>
      <w:r>
        <w:t xml:space="preserve">. </w:t>
      </w:r>
    </w:p>
    <w:p w14:paraId="19ED9EC4" w14:textId="77777777" w:rsidR="00624B9E" w:rsidRDefault="00624B9E" w:rsidP="00624B9E"/>
    <w:p w14:paraId="16E3092C" w14:textId="1EE38838" w:rsidR="00624B9E" w:rsidRDefault="00624B9E" w:rsidP="00624B9E">
      <w:r w:rsidRPr="00624B9E">
        <w:t>Kotok, S. (2017). Unfulfilled potential: High-achieving</w:t>
      </w:r>
      <w:r>
        <w:t xml:space="preserve"> </w:t>
      </w:r>
      <w:r w:rsidRPr="00624B9E">
        <w:t>minority students and the high school</w:t>
      </w:r>
      <w:r>
        <w:t xml:space="preserve"> </w:t>
      </w:r>
      <w:r w:rsidRPr="00624B9E">
        <w:t>achievement</w:t>
      </w:r>
      <w:r>
        <w:t xml:space="preserve"> </w:t>
      </w:r>
      <w:r w:rsidRPr="00624B9E">
        <w:t xml:space="preserve">gap in math. </w:t>
      </w:r>
      <w:r w:rsidRPr="00624B9E">
        <w:rPr>
          <w:i/>
          <w:iCs/>
        </w:rPr>
        <w:t>High School Journal</w:t>
      </w:r>
      <w:r w:rsidRPr="00624B9E">
        <w:t xml:space="preserve">, </w:t>
      </w:r>
      <w:r w:rsidRPr="00624B9E">
        <w:rPr>
          <w:i/>
          <w:iCs/>
        </w:rPr>
        <w:t>100</w:t>
      </w:r>
      <w:r w:rsidRPr="00624B9E">
        <w:t>(3), 183</w:t>
      </w:r>
      <w:r w:rsidRPr="00624B9E">
        <w:rPr>
          <w:rFonts w:hint="eastAsia"/>
        </w:rPr>
        <w:t>–</w:t>
      </w:r>
      <w:r w:rsidRPr="00624B9E">
        <w:t>202</w:t>
      </w:r>
      <w:r>
        <w:t>.</w:t>
      </w:r>
    </w:p>
    <w:p w14:paraId="5B4F7926" w14:textId="0C71B8FE" w:rsidR="00624B9E" w:rsidRDefault="00624B9E" w:rsidP="002C4DA4"/>
    <w:p w14:paraId="01D29B61" w14:textId="632E813F" w:rsidR="00BE473C" w:rsidRDefault="00BE473C" w:rsidP="00BE473C">
      <w:r w:rsidRPr="00BE473C">
        <w:t>Leung, M., Cardichon, J., Scott, C., &amp; Darling-Hammond,</w:t>
      </w:r>
      <w:r>
        <w:t xml:space="preserve"> </w:t>
      </w:r>
      <w:r w:rsidRPr="00BE473C">
        <w:t>L.</w:t>
      </w:r>
      <w:r>
        <w:t xml:space="preserve"> </w:t>
      </w:r>
      <w:r w:rsidRPr="00BE473C">
        <w:t xml:space="preserve">(2020). </w:t>
      </w:r>
      <w:r w:rsidRPr="00BE473C">
        <w:rPr>
          <w:i/>
          <w:iCs/>
        </w:rPr>
        <w:t>Inequitable opportunity to learn: Access to advanced mathematics</w:t>
      </w:r>
      <w:r>
        <w:t xml:space="preserve"> </w:t>
      </w:r>
      <w:r w:rsidRPr="00BE473C">
        <w:rPr>
          <w:i/>
          <w:iCs/>
        </w:rPr>
        <w:t>and science courses</w:t>
      </w:r>
      <w:r w:rsidRPr="00BE473C">
        <w:t>. Learning</w:t>
      </w:r>
      <w:r>
        <w:t xml:space="preserve"> </w:t>
      </w:r>
      <w:r w:rsidRPr="00BE473C">
        <w:t>Policy Institute.</w:t>
      </w:r>
    </w:p>
    <w:p w14:paraId="559D3E74" w14:textId="77777777" w:rsidR="00BE473C" w:rsidRDefault="00BE473C" w:rsidP="002C4DA4"/>
    <w:p w14:paraId="2057FAD4" w14:textId="622FB569" w:rsidR="002C4DA4" w:rsidRDefault="002C4DA4" w:rsidP="002C4DA4">
      <w:r>
        <w:t>Long, M. C., Conger, D., &amp; Latarola, P. (2012). Effects of high school course-taking on secondary</w:t>
      </w:r>
    </w:p>
    <w:p w14:paraId="2FE50C6D" w14:textId="2A5AD174" w:rsidR="002C4DA4" w:rsidRDefault="002C4DA4" w:rsidP="002C4DA4">
      <w:r>
        <w:t xml:space="preserve">and postsecondary success. </w:t>
      </w:r>
      <w:r w:rsidRPr="002C4DA4">
        <w:rPr>
          <w:i/>
          <w:iCs/>
        </w:rPr>
        <w:t>American Educational Research Journal, 49</w:t>
      </w:r>
      <w:r>
        <w:t>(2), 285–322.</w:t>
      </w:r>
    </w:p>
    <w:p w14:paraId="79221951" w14:textId="2C3231E3" w:rsidR="002C4DA4" w:rsidRDefault="002C4DA4" w:rsidP="002C4DA4"/>
    <w:p w14:paraId="1CB095E0" w14:textId="5C03FA4E" w:rsidR="002C4DA4" w:rsidRDefault="002C4DA4" w:rsidP="002C4DA4">
      <w:r>
        <w:t>Morgan, T. L., Zakhem, D., &amp; Cooper, W. L. (2018). From high school access to postsecondary success:</w:t>
      </w:r>
      <w:r w:rsidRPr="002C4DA4">
        <w:rPr>
          <w:rFonts w:ascii="PTSerifPro-Regular" w:eastAsia="PTSerifPro-Regular" w:cs="PTSerifPro-Regular"/>
          <w:color w:val="231F20"/>
          <w:sz w:val="18"/>
          <w:szCs w:val="18"/>
        </w:rPr>
        <w:t xml:space="preserve"> </w:t>
      </w:r>
      <w:r w:rsidRPr="002C4DA4">
        <w:t>An exploratory</w:t>
      </w:r>
      <w:r>
        <w:t xml:space="preserve"> </w:t>
      </w:r>
      <w:r w:rsidRPr="002C4DA4">
        <w:t>study of the impact of high-rigor</w:t>
      </w:r>
      <w:r>
        <w:t xml:space="preserve"> </w:t>
      </w:r>
      <w:r w:rsidRPr="002C4DA4">
        <w:t xml:space="preserve">coursework. </w:t>
      </w:r>
      <w:r w:rsidRPr="002C4DA4">
        <w:rPr>
          <w:i/>
          <w:iCs/>
        </w:rPr>
        <w:t>Education Sciences</w:t>
      </w:r>
      <w:r w:rsidRPr="002C4DA4">
        <w:t xml:space="preserve">, </w:t>
      </w:r>
      <w:r w:rsidRPr="002C4DA4">
        <w:rPr>
          <w:i/>
          <w:iCs/>
        </w:rPr>
        <w:t>8</w:t>
      </w:r>
      <w:r w:rsidRPr="002C4DA4">
        <w:t>(4), 191</w:t>
      </w:r>
      <w:r>
        <w:t>.</w:t>
      </w:r>
    </w:p>
    <w:p w14:paraId="1FA67B7F" w14:textId="50DC85F6" w:rsidR="002C4DA4" w:rsidRDefault="002C4DA4" w:rsidP="002C4DA4"/>
    <w:p w14:paraId="6C96B50C" w14:textId="6684E8F7" w:rsidR="00217C60" w:rsidRDefault="00217C60" w:rsidP="002C4DA4">
      <w:r w:rsidRPr="00217C60">
        <w:t>Moller, S., &amp; Stearns, E. (2012). Tracking success: High school curricula and labor market outcomes by race and gender. </w:t>
      </w:r>
      <w:r w:rsidRPr="00217C60">
        <w:rPr>
          <w:i/>
          <w:iCs/>
        </w:rPr>
        <w:t>Urban Education</w:t>
      </w:r>
      <w:r w:rsidRPr="00217C60">
        <w:t>, </w:t>
      </w:r>
      <w:r w:rsidRPr="00217C60">
        <w:rPr>
          <w:i/>
          <w:iCs/>
        </w:rPr>
        <w:t>47</w:t>
      </w:r>
      <w:r w:rsidRPr="00217C60">
        <w:t>(6), 1025-1054.</w:t>
      </w:r>
    </w:p>
    <w:p w14:paraId="13EA2F3D" w14:textId="73A53D5D" w:rsidR="00217C60" w:rsidRDefault="00217C60" w:rsidP="002C4DA4"/>
    <w:p w14:paraId="253010D2" w14:textId="6FE6756B" w:rsidR="00F808EC" w:rsidRDefault="00F808EC" w:rsidP="002C4DA4">
      <w:r w:rsidRPr="00F808EC">
        <w:t xml:space="preserve">National Rural Education Association. (n.d.). </w:t>
      </w:r>
      <w:r w:rsidRPr="00F808EC">
        <w:rPr>
          <w:i/>
          <w:iCs/>
        </w:rPr>
        <w:t>NREA research agenda 2016–2021</w:t>
      </w:r>
      <w:r w:rsidRPr="00F808EC">
        <w:t>. Retrieved August 17, 2020, from https:// www.nrea.net/Research_and_Publications.</w:t>
      </w:r>
    </w:p>
    <w:p w14:paraId="1669CB34" w14:textId="77777777" w:rsidR="00F808EC" w:rsidRDefault="00F808EC" w:rsidP="00BE473C"/>
    <w:p w14:paraId="4C752851" w14:textId="435A8B7D" w:rsidR="009D17A1" w:rsidRDefault="009D17A1" w:rsidP="00BE473C">
      <w:r w:rsidRPr="009D17A1">
        <w:t>National Student Clearinghouse Research Center. (2016). National college progression rates for high schools participating in the National Student Clearinghouse StudentTracker service. Retrieved August 17, 2020, from https://nscresearchcenter. org/hsbenchmarks2016/.</w:t>
      </w:r>
    </w:p>
    <w:p w14:paraId="065D1D77" w14:textId="77777777" w:rsidR="009D17A1" w:rsidRDefault="009D17A1" w:rsidP="00BE473C"/>
    <w:p w14:paraId="1D940B85" w14:textId="45987F6C" w:rsidR="00BE473C" w:rsidRDefault="00BE473C" w:rsidP="00BE473C">
      <w:r w:rsidRPr="00217C60">
        <w:t xml:space="preserve">Nowicki, J. M. (2018). </w:t>
      </w:r>
      <w:r w:rsidRPr="00217C60">
        <w:rPr>
          <w:i/>
          <w:iCs/>
        </w:rPr>
        <w:t>K–12 education: Public high schools with more students in poverty and smaller schools</w:t>
      </w:r>
      <w:r w:rsidR="00F808EC">
        <w:rPr>
          <w:i/>
          <w:iCs/>
        </w:rPr>
        <w:t xml:space="preserve"> </w:t>
      </w:r>
      <w:r w:rsidRPr="00217C60">
        <w:rPr>
          <w:i/>
          <w:iCs/>
        </w:rPr>
        <w:t xml:space="preserve">provide fewer academic offerings to prepare for college </w:t>
      </w:r>
      <w:r w:rsidRPr="00217C60">
        <w:t>[Report to the Ranking Member, Committee on</w:t>
      </w:r>
      <w:r>
        <w:rPr>
          <w:i/>
          <w:iCs/>
        </w:rPr>
        <w:t xml:space="preserve"> </w:t>
      </w:r>
      <w:r w:rsidRPr="00217C60">
        <w:t xml:space="preserve">Education and the Workforce, House of Representatives. GAO-19-8]. </w:t>
      </w:r>
    </w:p>
    <w:p w14:paraId="4A15491B" w14:textId="77777777" w:rsidR="00BE473C" w:rsidRDefault="00BE473C" w:rsidP="002C4DA4"/>
    <w:p w14:paraId="30093483" w14:textId="392A1441" w:rsidR="00065526" w:rsidRDefault="00065526" w:rsidP="002C4DA4">
      <w:bookmarkStart w:id="1" w:name="_Hlk77493624"/>
      <w:r w:rsidRPr="00065526">
        <w:t xml:space="preserve">Peters Burton, E., Kaminsky, S. E., Lynch, S., Behrend, T., Han, E., Ross, K., &amp; House, A. (2014). </w:t>
      </w:r>
      <w:bookmarkEnd w:id="1"/>
      <w:r w:rsidRPr="00065526">
        <w:t>Wayne School of Engineering: Case Study of a Rural Inclusive STEM‐Focused High School. School Science and Mathematics, 114(6), 280-290.</w:t>
      </w:r>
    </w:p>
    <w:p w14:paraId="3C406417" w14:textId="77777777" w:rsidR="00065526" w:rsidRDefault="00065526" w:rsidP="002C4DA4"/>
    <w:p w14:paraId="497D954F" w14:textId="4B8DA36B" w:rsidR="00A40070" w:rsidRDefault="00A40070" w:rsidP="002C4DA4">
      <w:r w:rsidRPr="00A40070">
        <w:t>Peterson, B., Bornemann, G., Lydon, C., &amp; West, K. (2015). Rural students in Washington State: STEM as a strategy for building rigor, postsecondary aspirations, and relevant career opportunities. </w:t>
      </w:r>
      <w:r w:rsidRPr="00A40070">
        <w:rPr>
          <w:i/>
          <w:iCs/>
        </w:rPr>
        <w:t>Peabody Journal of Education</w:t>
      </w:r>
      <w:r w:rsidRPr="00A40070">
        <w:t>, </w:t>
      </w:r>
      <w:r w:rsidRPr="00A40070">
        <w:rPr>
          <w:i/>
          <w:iCs/>
        </w:rPr>
        <w:t>90</w:t>
      </w:r>
      <w:r w:rsidRPr="00A40070">
        <w:t>(2), 280-293.</w:t>
      </w:r>
    </w:p>
    <w:p w14:paraId="30DA8391" w14:textId="77777777" w:rsidR="00A40070" w:rsidRDefault="00A40070" w:rsidP="002C4DA4"/>
    <w:p w14:paraId="370C0B81" w14:textId="71D5C459" w:rsidR="002C4DA4" w:rsidRDefault="002C4DA4" w:rsidP="002C4DA4">
      <w:r w:rsidRPr="002C4DA4">
        <w:t>Radunzel, J., &amp; Noble, J. (2012).</w:t>
      </w:r>
      <w:r>
        <w:t xml:space="preserve"> </w:t>
      </w:r>
      <w:r w:rsidRPr="002C4DA4">
        <w:rPr>
          <w:i/>
          <w:iCs/>
        </w:rPr>
        <w:t>Tracking 2003 ACT[R]-tested</w:t>
      </w:r>
      <w:r>
        <w:t xml:space="preserve"> </w:t>
      </w:r>
      <w:r w:rsidRPr="002C4DA4">
        <w:rPr>
          <w:i/>
          <w:iCs/>
        </w:rPr>
        <w:t>high school graduates:</w:t>
      </w:r>
      <w:r>
        <w:rPr>
          <w:i/>
          <w:iCs/>
        </w:rPr>
        <w:t xml:space="preserve"> </w:t>
      </w:r>
      <w:r w:rsidRPr="002C4DA4">
        <w:rPr>
          <w:i/>
          <w:iCs/>
        </w:rPr>
        <w:t>College readiness, enrollment, and long-term</w:t>
      </w:r>
      <w:r>
        <w:t xml:space="preserve"> </w:t>
      </w:r>
      <w:r w:rsidRPr="002C4DA4">
        <w:rPr>
          <w:i/>
          <w:iCs/>
        </w:rPr>
        <w:t>success</w:t>
      </w:r>
      <w:r>
        <w:t xml:space="preserve"> </w:t>
      </w:r>
      <w:r w:rsidRPr="002C4DA4">
        <w:t>[ACT Research Report No. 2012-2]. ACT, Inc.</w:t>
      </w:r>
    </w:p>
    <w:p w14:paraId="7010F731" w14:textId="55E7F508" w:rsidR="00624B9E" w:rsidRDefault="00624B9E" w:rsidP="002C4DA4"/>
    <w:p w14:paraId="73EC23A7" w14:textId="4C95B755" w:rsidR="00283AD7" w:rsidRDefault="00283AD7" w:rsidP="00624B9E">
      <w:r w:rsidRPr="00283AD7">
        <w:t>Showalter, D., Hartman, S. L., Johnson, J., &amp; Klein, B. (2019). Why Rural Matters 2018-2019: The Time Is Now. A Report of the Rural School and Community Trust. </w:t>
      </w:r>
      <w:r w:rsidRPr="00283AD7">
        <w:rPr>
          <w:i/>
          <w:iCs/>
        </w:rPr>
        <w:t>Rural School and Community Trust</w:t>
      </w:r>
      <w:r w:rsidRPr="00283AD7">
        <w:t>.</w:t>
      </w:r>
    </w:p>
    <w:p w14:paraId="102193CD" w14:textId="77777777" w:rsidR="00283AD7" w:rsidRDefault="00283AD7" w:rsidP="00624B9E"/>
    <w:p w14:paraId="4AE6571E" w14:textId="2D05FE85" w:rsidR="0075176C" w:rsidRDefault="0075176C" w:rsidP="00624B9E">
      <w:r w:rsidRPr="0075176C">
        <w:t>Snyder, T. D., &amp; Dillow, S. A. (2012). Digest of education statistics 2011 (NCES No. 2012–001). U.S. Department of Education, Institute of Education Sciences, National Center for Education Statistics. https://eric.ed.gov/?id=ED544580.</w:t>
      </w:r>
    </w:p>
    <w:p w14:paraId="49003251" w14:textId="77777777" w:rsidR="0075176C" w:rsidRDefault="0075176C" w:rsidP="00624B9E"/>
    <w:p w14:paraId="606338BC" w14:textId="01A8EFB2" w:rsidR="00624B9E" w:rsidRDefault="00624B9E" w:rsidP="00624B9E">
      <w:r w:rsidRPr="00624B9E">
        <w:t>Steiner, D. (2017). Curriculum research: What we know</w:t>
      </w:r>
      <w:r>
        <w:t xml:space="preserve"> </w:t>
      </w:r>
      <w:r w:rsidRPr="00624B9E">
        <w:t xml:space="preserve">and where we need to go. </w:t>
      </w:r>
      <w:r w:rsidRPr="00624B9E">
        <w:rPr>
          <w:i/>
          <w:iCs/>
        </w:rPr>
        <w:t>Standards Work</w:t>
      </w:r>
      <w:r w:rsidRPr="00624B9E">
        <w:t>, 1</w:t>
      </w:r>
      <w:r w:rsidRPr="00624B9E">
        <w:rPr>
          <w:rFonts w:hint="eastAsia"/>
        </w:rPr>
        <w:t>–</w:t>
      </w:r>
      <w:r w:rsidRPr="00624B9E">
        <w:t>13</w:t>
      </w:r>
      <w:r>
        <w:t>.</w:t>
      </w:r>
    </w:p>
    <w:p w14:paraId="27DA3FE3" w14:textId="77777777" w:rsidR="007C20BB" w:rsidRDefault="007C20BB" w:rsidP="00624B9E"/>
    <w:p w14:paraId="3EB012D7" w14:textId="6B4B2405" w:rsidR="00624B9E" w:rsidRDefault="00624B9E" w:rsidP="00624B9E">
      <w:r w:rsidRPr="00624B9E">
        <w:t xml:space="preserve">Steiner, D., Magee, J., &amp; Jensen, B. (2019). </w:t>
      </w:r>
      <w:r w:rsidRPr="00624B9E">
        <w:rPr>
          <w:i/>
          <w:iCs/>
        </w:rPr>
        <w:t>High-quality</w:t>
      </w:r>
      <w:r>
        <w:t xml:space="preserve"> </w:t>
      </w:r>
      <w:r w:rsidRPr="00624B9E">
        <w:rPr>
          <w:i/>
          <w:iCs/>
        </w:rPr>
        <w:t>curriculum and system improvement</w:t>
      </w:r>
      <w:r w:rsidRPr="00624B9E">
        <w:t>. Learning First and the Johns Hopkins Institute for Education Policy.</w:t>
      </w:r>
      <w:r>
        <w:t xml:space="preserve"> </w:t>
      </w:r>
      <w:hyperlink r:id="rId14" w:history="1">
        <w:r w:rsidRPr="00624B9E">
          <w:rPr>
            <w:rStyle w:val="Hyperlink"/>
          </w:rPr>
          <w:t>https://learningfirst.com/wp-content/uploads/2019/01/Quality-curriculum-and-system-improvement.pdf</w:t>
        </w:r>
      </w:hyperlink>
      <w:r>
        <w:t xml:space="preserve"> </w:t>
      </w:r>
      <w:r w:rsidRPr="00624B9E">
        <w:t>(accessed 06/30/2020).</w:t>
      </w:r>
    </w:p>
    <w:p w14:paraId="56FA658E" w14:textId="2322DACC" w:rsidR="00217C60" w:rsidRPr="00BE473C" w:rsidRDefault="00217C60" w:rsidP="00217C60">
      <w:pPr>
        <w:rPr>
          <w:i/>
          <w:iCs/>
        </w:rPr>
      </w:pPr>
    </w:p>
    <w:sectPr w:rsidR="00217C60" w:rsidRPr="00BE473C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8B01" w14:textId="77777777" w:rsidR="00013786" w:rsidRDefault="00013786" w:rsidP="007C3033">
      <w:r>
        <w:separator/>
      </w:r>
    </w:p>
  </w:endnote>
  <w:endnote w:type="continuationSeparator" w:id="0">
    <w:p w14:paraId="0AB432A2" w14:textId="77777777" w:rsidR="00013786" w:rsidRDefault="00013786" w:rsidP="007C3033">
      <w:r>
        <w:continuationSeparator/>
      </w:r>
    </w:p>
  </w:endnote>
  <w:endnote w:type="continuationNotice" w:id="1">
    <w:p w14:paraId="3473ABE5" w14:textId="77777777" w:rsidR="00013786" w:rsidRDefault="000137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erif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9346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31F69" w14:textId="2944971B" w:rsidR="007C3033" w:rsidRDefault="007C30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295620" w14:textId="77777777" w:rsidR="007C3033" w:rsidRDefault="007C3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1DE1" w14:textId="77777777" w:rsidR="00013786" w:rsidRDefault="00013786" w:rsidP="007C3033">
      <w:r>
        <w:separator/>
      </w:r>
    </w:p>
  </w:footnote>
  <w:footnote w:type="continuationSeparator" w:id="0">
    <w:p w14:paraId="0EF991A0" w14:textId="77777777" w:rsidR="00013786" w:rsidRDefault="00013786" w:rsidP="007C3033">
      <w:r>
        <w:continuationSeparator/>
      </w:r>
    </w:p>
  </w:footnote>
  <w:footnote w:type="continuationNotice" w:id="1">
    <w:p w14:paraId="1D607260" w14:textId="77777777" w:rsidR="00013786" w:rsidRDefault="0001378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5E19"/>
    <w:multiLevelType w:val="hybridMultilevel"/>
    <w:tmpl w:val="8454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F3942"/>
    <w:multiLevelType w:val="hybridMultilevel"/>
    <w:tmpl w:val="6846B81A"/>
    <w:lvl w:ilvl="0" w:tplc="F3AEEC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A"/>
    <w:rsid w:val="000023FA"/>
    <w:rsid w:val="0000389B"/>
    <w:rsid w:val="00013786"/>
    <w:rsid w:val="000268D4"/>
    <w:rsid w:val="000274E5"/>
    <w:rsid w:val="00037FE0"/>
    <w:rsid w:val="0004425C"/>
    <w:rsid w:val="000616B4"/>
    <w:rsid w:val="00062A3A"/>
    <w:rsid w:val="00062E1D"/>
    <w:rsid w:val="00063A50"/>
    <w:rsid w:val="00065526"/>
    <w:rsid w:val="00071B30"/>
    <w:rsid w:val="00074E6D"/>
    <w:rsid w:val="0009076D"/>
    <w:rsid w:val="0009285C"/>
    <w:rsid w:val="00093D13"/>
    <w:rsid w:val="00095CB9"/>
    <w:rsid w:val="000A6902"/>
    <w:rsid w:val="000B2EE0"/>
    <w:rsid w:val="000B3498"/>
    <w:rsid w:val="000D200F"/>
    <w:rsid w:val="000D3A36"/>
    <w:rsid w:val="000F10BC"/>
    <w:rsid w:val="001029C5"/>
    <w:rsid w:val="00107965"/>
    <w:rsid w:val="00114A4F"/>
    <w:rsid w:val="00123B85"/>
    <w:rsid w:val="00124EAB"/>
    <w:rsid w:val="00125722"/>
    <w:rsid w:val="00132598"/>
    <w:rsid w:val="00132BBC"/>
    <w:rsid w:val="00133235"/>
    <w:rsid w:val="001358EC"/>
    <w:rsid w:val="00145E61"/>
    <w:rsid w:val="001471E4"/>
    <w:rsid w:val="001528B0"/>
    <w:rsid w:val="0016342A"/>
    <w:rsid w:val="00165934"/>
    <w:rsid w:val="00166680"/>
    <w:rsid w:val="00187290"/>
    <w:rsid w:val="001878C9"/>
    <w:rsid w:val="00192405"/>
    <w:rsid w:val="001A26C4"/>
    <w:rsid w:val="001B38BC"/>
    <w:rsid w:val="001D4078"/>
    <w:rsid w:val="001D4734"/>
    <w:rsid w:val="00203FD6"/>
    <w:rsid w:val="00205C80"/>
    <w:rsid w:val="00210E0D"/>
    <w:rsid w:val="00217310"/>
    <w:rsid w:val="00217C60"/>
    <w:rsid w:val="00220282"/>
    <w:rsid w:val="002277EC"/>
    <w:rsid w:val="00237437"/>
    <w:rsid w:val="00242CE0"/>
    <w:rsid w:val="0024537B"/>
    <w:rsid w:val="00250730"/>
    <w:rsid w:val="00255DCF"/>
    <w:rsid w:val="00282BBA"/>
    <w:rsid w:val="00283AD7"/>
    <w:rsid w:val="00290AB8"/>
    <w:rsid w:val="00294AF2"/>
    <w:rsid w:val="00295CA9"/>
    <w:rsid w:val="002A251C"/>
    <w:rsid w:val="002A2CB8"/>
    <w:rsid w:val="002C4DA4"/>
    <w:rsid w:val="002C6B76"/>
    <w:rsid w:val="002C70F1"/>
    <w:rsid w:val="002D2E81"/>
    <w:rsid w:val="002D48EA"/>
    <w:rsid w:val="002D58E5"/>
    <w:rsid w:val="002D6D98"/>
    <w:rsid w:val="002E7969"/>
    <w:rsid w:val="00301C09"/>
    <w:rsid w:val="0030639E"/>
    <w:rsid w:val="003202A8"/>
    <w:rsid w:val="00321947"/>
    <w:rsid w:val="00325E0B"/>
    <w:rsid w:val="0033245D"/>
    <w:rsid w:val="00346B51"/>
    <w:rsid w:val="00362511"/>
    <w:rsid w:val="00371286"/>
    <w:rsid w:val="00372583"/>
    <w:rsid w:val="00372FF1"/>
    <w:rsid w:val="00377118"/>
    <w:rsid w:val="00385A3B"/>
    <w:rsid w:val="003B0F8A"/>
    <w:rsid w:val="003B1BDF"/>
    <w:rsid w:val="003B5B9C"/>
    <w:rsid w:val="003B6ACF"/>
    <w:rsid w:val="003C1F51"/>
    <w:rsid w:val="003C3D56"/>
    <w:rsid w:val="003D5056"/>
    <w:rsid w:val="003D76A2"/>
    <w:rsid w:val="003D7A04"/>
    <w:rsid w:val="003E7A3F"/>
    <w:rsid w:val="003F2FA5"/>
    <w:rsid w:val="004006F5"/>
    <w:rsid w:val="00410562"/>
    <w:rsid w:val="00411969"/>
    <w:rsid w:val="00422079"/>
    <w:rsid w:val="00423F02"/>
    <w:rsid w:val="00436CB6"/>
    <w:rsid w:val="004458EB"/>
    <w:rsid w:val="0045099B"/>
    <w:rsid w:val="00454C71"/>
    <w:rsid w:val="00460822"/>
    <w:rsid w:val="00460C09"/>
    <w:rsid w:val="004677B5"/>
    <w:rsid w:val="00473242"/>
    <w:rsid w:val="004828F8"/>
    <w:rsid w:val="004911A2"/>
    <w:rsid w:val="004935A6"/>
    <w:rsid w:val="004944B3"/>
    <w:rsid w:val="004A4F07"/>
    <w:rsid w:val="004A71CF"/>
    <w:rsid w:val="004B11D8"/>
    <w:rsid w:val="004C0486"/>
    <w:rsid w:val="004C1C68"/>
    <w:rsid w:val="004C5945"/>
    <w:rsid w:val="004D1E7A"/>
    <w:rsid w:val="004D2ED8"/>
    <w:rsid w:val="004E0A58"/>
    <w:rsid w:val="004E124D"/>
    <w:rsid w:val="004E757B"/>
    <w:rsid w:val="005010D3"/>
    <w:rsid w:val="0050367B"/>
    <w:rsid w:val="00504689"/>
    <w:rsid w:val="00507ACC"/>
    <w:rsid w:val="00516293"/>
    <w:rsid w:val="00521030"/>
    <w:rsid w:val="00526E24"/>
    <w:rsid w:val="00530245"/>
    <w:rsid w:val="00532858"/>
    <w:rsid w:val="00536967"/>
    <w:rsid w:val="00547FF6"/>
    <w:rsid w:val="00556506"/>
    <w:rsid w:val="005602A8"/>
    <w:rsid w:val="00570F05"/>
    <w:rsid w:val="0057448C"/>
    <w:rsid w:val="00591946"/>
    <w:rsid w:val="00594857"/>
    <w:rsid w:val="005A1B5B"/>
    <w:rsid w:val="005B7F6A"/>
    <w:rsid w:val="005C0E8A"/>
    <w:rsid w:val="00615367"/>
    <w:rsid w:val="00616E7E"/>
    <w:rsid w:val="0062228B"/>
    <w:rsid w:val="00624B9E"/>
    <w:rsid w:val="006251BF"/>
    <w:rsid w:val="0063058E"/>
    <w:rsid w:val="00630A08"/>
    <w:rsid w:val="00634DEC"/>
    <w:rsid w:val="00634E49"/>
    <w:rsid w:val="00643350"/>
    <w:rsid w:val="0065255E"/>
    <w:rsid w:val="00656226"/>
    <w:rsid w:val="00673138"/>
    <w:rsid w:val="006747DE"/>
    <w:rsid w:val="00674830"/>
    <w:rsid w:val="00675813"/>
    <w:rsid w:val="00676E7A"/>
    <w:rsid w:val="00684786"/>
    <w:rsid w:val="00691E30"/>
    <w:rsid w:val="006A1830"/>
    <w:rsid w:val="006B5E42"/>
    <w:rsid w:val="006B71B9"/>
    <w:rsid w:val="006C1901"/>
    <w:rsid w:val="006C67B9"/>
    <w:rsid w:val="006E6AA3"/>
    <w:rsid w:val="006F3A49"/>
    <w:rsid w:val="006F5BDF"/>
    <w:rsid w:val="007018CB"/>
    <w:rsid w:val="007075DA"/>
    <w:rsid w:val="00707A96"/>
    <w:rsid w:val="007163E7"/>
    <w:rsid w:val="007222FD"/>
    <w:rsid w:val="00741331"/>
    <w:rsid w:val="00744BEB"/>
    <w:rsid w:val="007503ED"/>
    <w:rsid w:val="0075176C"/>
    <w:rsid w:val="00756EB4"/>
    <w:rsid w:val="007601F0"/>
    <w:rsid w:val="0076716B"/>
    <w:rsid w:val="0077759B"/>
    <w:rsid w:val="00780DED"/>
    <w:rsid w:val="00787458"/>
    <w:rsid w:val="007918B1"/>
    <w:rsid w:val="007951E5"/>
    <w:rsid w:val="007B1F2D"/>
    <w:rsid w:val="007B2423"/>
    <w:rsid w:val="007B425C"/>
    <w:rsid w:val="007B4974"/>
    <w:rsid w:val="007C20BB"/>
    <w:rsid w:val="007C2B33"/>
    <w:rsid w:val="007C3033"/>
    <w:rsid w:val="007C4ED6"/>
    <w:rsid w:val="007D2DBE"/>
    <w:rsid w:val="007E3380"/>
    <w:rsid w:val="007F67C6"/>
    <w:rsid w:val="00807B1B"/>
    <w:rsid w:val="00811739"/>
    <w:rsid w:val="00814383"/>
    <w:rsid w:val="00825DCA"/>
    <w:rsid w:val="00832211"/>
    <w:rsid w:val="0083478E"/>
    <w:rsid w:val="0084013C"/>
    <w:rsid w:val="008413C8"/>
    <w:rsid w:val="00842512"/>
    <w:rsid w:val="0084481E"/>
    <w:rsid w:val="00845E03"/>
    <w:rsid w:val="0084728A"/>
    <w:rsid w:val="00850084"/>
    <w:rsid w:val="008524FC"/>
    <w:rsid w:val="00854792"/>
    <w:rsid w:val="00881BC0"/>
    <w:rsid w:val="00882F0C"/>
    <w:rsid w:val="008916A1"/>
    <w:rsid w:val="008953ED"/>
    <w:rsid w:val="008A358B"/>
    <w:rsid w:val="008A6D62"/>
    <w:rsid w:val="008B0D2C"/>
    <w:rsid w:val="008B2579"/>
    <w:rsid w:val="008C2116"/>
    <w:rsid w:val="008D5483"/>
    <w:rsid w:val="008E5FD8"/>
    <w:rsid w:val="008E7657"/>
    <w:rsid w:val="008F3B81"/>
    <w:rsid w:val="008F73A7"/>
    <w:rsid w:val="00907365"/>
    <w:rsid w:val="0093628F"/>
    <w:rsid w:val="00950043"/>
    <w:rsid w:val="00971A58"/>
    <w:rsid w:val="00973A2F"/>
    <w:rsid w:val="00973CE5"/>
    <w:rsid w:val="00981E04"/>
    <w:rsid w:val="009967A2"/>
    <w:rsid w:val="009979E5"/>
    <w:rsid w:val="009A3D10"/>
    <w:rsid w:val="009A6729"/>
    <w:rsid w:val="009A7365"/>
    <w:rsid w:val="009B13FC"/>
    <w:rsid w:val="009B1E6A"/>
    <w:rsid w:val="009B698B"/>
    <w:rsid w:val="009D17A1"/>
    <w:rsid w:val="009D2721"/>
    <w:rsid w:val="009E42F7"/>
    <w:rsid w:val="009E53B3"/>
    <w:rsid w:val="009F06B5"/>
    <w:rsid w:val="00A06DF8"/>
    <w:rsid w:val="00A1023F"/>
    <w:rsid w:val="00A1509D"/>
    <w:rsid w:val="00A26CCF"/>
    <w:rsid w:val="00A36978"/>
    <w:rsid w:val="00A36FDB"/>
    <w:rsid w:val="00A40070"/>
    <w:rsid w:val="00A40758"/>
    <w:rsid w:val="00A46F0D"/>
    <w:rsid w:val="00A50259"/>
    <w:rsid w:val="00A539B5"/>
    <w:rsid w:val="00A541D2"/>
    <w:rsid w:val="00A67883"/>
    <w:rsid w:val="00A7371F"/>
    <w:rsid w:val="00A87C32"/>
    <w:rsid w:val="00A914E6"/>
    <w:rsid w:val="00A944E6"/>
    <w:rsid w:val="00AA0B8F"/>
    <w:rsid w:val="00AA0E20"/>
    <w:rsid w:val="00AA596A"/>
    <w:rsid w:val="00AA6E1F"/>
    <w:rsid w:val="00AC2EA5"/>
    <w:rsid w:val="00AD4E81"/>
    <w:rsid w:val="00AE787A"/>
    <w:rsid w:val="00B04C70"/>
    <w:rsid w:val="00B15EBD"/>
    <w:rsid w:val="00B16785"/>
    <w:rsid w:val="00B2500A"/>
    <w:rsid w:val="00B2784B"/>
    <w:rsid w:val="00B36B46"/>
    <w:rsid w:val="00B36B86"/>
    <w:rsid w:val="00B378EC"/>
    <w:rsid w:val="00B409C1"/>
    <w:rsid w:val="00B424BE"/>
    <w:rsid w:val="00B524D9"/>
    <w:rsid w:val="00B52780"/>
    <w:rsid w:val="00B6386E"/>
    <w:rsid w:val="00B712D3"/>
    <w:rsid w:val="00B75E38"/>
    <w:rsid w:val="00B830AA"/>
    <w:rsid w:val="00B85A00"/>
    <w:rsid w:val="00B8772A"/>
    <w:rsid w:val="00B9361B"/>
    <w:rsid w:val="00B9618B"/>
    <w:rsid w:val="00BA1543"/>
    <w:rsid w:val="00BA3633"/>
    <w:rsid w:val="00BA7F01"/>
    <w:rsid w:val="00BC1A00"/>
    <w:rsid w:val="00BD5A92"/>
    <w:rsid w:val="00BD79D6"/>
    <w:rsid w:val="00BE3D45"/>
    <w:rsid w:val="00BE473C"/>
    <w:rsid w:val="00C0225A"/>
    <w:rsid w:val="00C21A9A"/>
    <w:rsid w:val="00C21F47"/>
    <w:rsid w:val="00C300A4"/>
    <w:rsid w:val="00C308C1"/>
    <w:rsid w:val="00C4071A"/>
    <w:rsid w:val="00C544B2"/>
    <w:rsid w:val="00C55FB9"/>
    <w:rsid w:val="00C60623"/>
    <w:rsid w:val="00C63383"/>
    <w:rsid w:val="00C6411A"/>
    <w:rsid w:val="00C66431"/>
    <w:rsid w:val="00C71AE8"/>
    <w:rsid w:val="00C74350"/>
    <w:rsid w:val="00C869E1"/>
    <w:rsid w:val="00C87043"/>
    <w:rsid w:val="00C911C9"/>
    <w:rsid w:val="00C918ED"/>
    <w:rsid w:val="00CA5AF5"/>
    <w:rsid w:val="00CA5B90"/>
    <w:rsid w:val="00CB0500"/>
    <w:rsid w:val="00CC0996"/>
    <w:rsid w:val="00CC49C6"/>
    <w:rsid w:val="00CC734A"/>
    <w:rsid w:val="00CD4B4B"/>
    <w:rsid w:val="00CD5051"/>
    <w:rsid w:val="00CD6260"/>
    <w:rsid w:val="00CF59E0"/>
    <w:rsid w:val="00D01523"/>
    <w:rsid w:val="00D05201"/>
    <w:rsid w:val="00D06ECC"/>
    <w:rsid w:val="00D37DFF"/>
    <w:rsid w:val="00D4072E"/>
    <w:rsid w:val="00D46286"/>
    <w:rsid w:val="00D551E5"/>
    <w:rsid w:val="00D60234"/>
    <w:rsid w:val="00D6488C"/>
    <w:rsid w:val="00D66993"/>
    <w:rsid w:val="00D83959"/>
    <w:rsid w:val="00D87CAB"/>
    <w:rsid w:val="00D92D38"/>
    <w:rsid w:val="00D945EC"/>
    <w:rsid w:val="00DA3616"/>
    <w:rsid w:val="00DA664F"/>
    <w:rsid w:val="00DB2F10"/>
    <w:rsid w:val="00DC124E"/>
    <w:rsid w:val="00DC2F29"/>
    <w:rsid w:val="00DC5906"/>
    <w:rsid w:val="00DD7239"/>
    <w:rsid w:val="00DD76EE"/>
    <w:rsid w:val="00DE34B1"/>
    <w:rsid w:val="00DF67FF"/>
    <w:rsid w:val="00E118E9"/>
    <w:rsid w:val="00E12AE7"/>
    <w:rsid w:val="00E1302E"/>
    <w:rsid w:val="00E24F10"/>
    <w:rsid w:val="00E25A26"/>
    <w:rsid w:val="00E27750"/>
    <w:rsid w:val="00E27A75"/>
    <w:rsid w:val="00E32385"/>
    <w:rsid w:val="00E5354C"/>
    <w:rsid w:val="00E57AB1"/>
    <w:rsid w:val="00E62618"/>
    <w:rsid w:val="00E72CA3"/>
    <w:rsid w:val="00E85BB1"/>
    <w:rsid w:val="00E94442"/>
    <w:rsid w:val="00E95525"/>
    <w:rsid w:val="00E97485"/>
    <w:rsid w:val="00EB13F9"/>
    <w:rsid w:val="00EB4E34"/>
    <w:rsid w:val="00EC1F0E"/>
    <w:rsid w:val="00EC3DAE"/>
    <w:rsid w:val="00EC6CC2"/>
    <w:rsid w:val="00EF01F1"/>
    <w:rsid w:val="00EF3601"/>
    <w:rsid w:val="00EF36BD"/>
    <w:rsid w:val="00F0602B"/>
    <w:rsid w:val="00F14CEF"/>
    <w:rsid w:val="00F25C7E"/>
    <w:rsid w:val="00F3478A"/>
    <w:rsid w:val="00F35EBC"/>
    <w:rsid w:val="00F44F57"/>
    <w:rsid w:val="00F63B69"/>
    <w:rsid w:val="00F70647"/>
    <w:rsid w:val="00F808EC"/>
    <w:rsid w:val="00F8285B"/>
    <w:rsid w:val="00F8577B"/>
    <w:rsid w:val="00F91095"/>
    <w:rsid w:val="00F933CC"/>
    <w:rsid w:val="00F9597E"/>
    <w:rsid w:val="00FA7D47"/>
    <w:rsid w:val="00FB186F"/>
    <w:rsid w:val="00FB3A65"/>
    <w:rsid w:val="00FB6B24"/>
    <w:rsid w:val="00FC5CB4"/>
    <w:rsid w:val="00FF48C9"/>
    <w:rsid w:val="00FF6349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8052"/>
  <w15:chartTrackingRefBased/>
  <w15:docId w15:val="{FE8314AD-7A19-486E-B9AC-E594738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A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3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4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B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35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F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F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F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F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F4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30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33"/>
  </w:style>
  <w:style w:type="paragraph" w:styleId="Footer">
    <w:name w:val="footer"/>
    <w:basedOn w:val="Normal"/>
    <w:link w:val="FooterChar"/>
    <w:uiPriority w:val="99"/>
    <w:unhideWhenUsed/>
    <w:rsid w:val="007C30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33"/>
  </w:style>
  <w:style w:type="paragraph" w:styleId="Title">
    <w:name w:val="Title"/>
    <w:basedOn w:val="Normal"/>
    <w:next w:val="Normal"/>
    <w:link w:val="TitleChar"/>
    <w:uiPriority w:val="10"/>
    <w:qFormat/>
    <w:rsid w:val="004828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132B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ingfirst.com/wp-content/uploads/2019/01/Quality-curriculum-and-system-improvement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Overall!$B$1</c:f>
              <c:strCache>
                <c:ptCount val="1"/>
                <c:pt idx="0">
                  <c:v>Non-rural (n = 10,095)</c:v>
                </c:pt>
              </c:strCache>
            </c:strRef>
          </c:tx>
          <c:spPr>
            <a:solidFill>
              <a:schemeClr val="bg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Overall!$A$2:$A$7</c:f>
              <c:strCache>
                <c:ptCount val="6"/>
                <c:pt idx="0">
                  <c:v>Physics**</c:v>
                </c:pt>
                <c:pt idx="1">
                  <c:v>Chemistry*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2**</c:v>
                </c:pt>
              </c:strCache>
            </c:strRef>
          </c:cat>
          <c:val>
            <c:numRef>
              <c:f>Overall!$B$2:$B$7</c:f>
              <c:numCache>
                <c:formatCode>0%</c:formatCode>
                <c:ptCount val="6"/>
                <c:pt idx="0">
                  <c:v>0.8</c:v>
                </c:pt>
                <c:pt idx="1">
                  <c:v>0.89</c:v>
                </c:pt>
                <c:pt idx="3">
                  <c:v>0.71</c:v>
                </c:pt>
                <c:pt idx="4">
                  <c:v>0.83</c:v>
                </c:pt>
                <c:pt idx="5">
                  <c:v>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D-4161-AB2D-DE5C7BE464AB}"/>
            </c:ext>
          </c:extLst>
        </c:ser>
        <c:ser>
          <c:idx val="1"/>
          <c:order val="1"/>
          <c:tx>
            <c:strRef>
              <c:f>Overall!$C$1</c:f>
              <c:strCache>
                <c:ptCount val="1"/>
                <c:pt idx="0">
                  <c:v>Rural (n =  4481)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Overall!$A$2:$A$7</c:f>
              <c:strCache>
                <c:ptCount val="6"/>
                <c:pt idx="0">
                  <c:v>Physics**</c:v>
                </c:pt>
                <c:pt idx="1">
                  <c:v>Chemistry*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2**</c:v>
                </c:pt>
              </c:strCache>
            </c:strRef>
          </c:cat>
          <c:val>
            <c:numRef>
              <c:f>Overall!$C$2:$C$7</c:f>
              <c:numCache>
                <c:formatCode>0%</c:formatCode>
                <c:ptCount val="6"/>
                <c:pt idx="0">
                  <c:v>0.73</c:v>
                </c:pt>
                <c:pt idx="1">
                  <c:v>0.91</c:v>
                </c:pt>
                <c:pt idx="3">
                  <c:v>0.64</c:v>
                </c:pt>
                <c:pt idx="4">
                  <c:v>0.84</c:v>
                </c:pt>
                <c:pt idx="5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D-4161-AB2D-DE5C7BE464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849749151"/>
        <c:axId val="849744575"/>
      </c:barChart>
      <c:catAx>
        <c:axId val="84974915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44575"/>
        <c:crosses val="autoZero"/>
        <c:auto val="1"/>
        <c:lblAlgn val="ctr"/>
        <c:lblOffset val="100"/>
        <c:noMultiLvlLbl val="0"/>
      </c:catAx>
      <c:valAx>
        <c:axId val="8497445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49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'High SOC'!$B$1</c:f>
              <c:strCache>
                <c:ptCount val="1"/>
                <c:pt idx="0">
                  <c:v>Non-rural (n = 5204)</c:v>
                </c:pt>
              </c:strCache>
            </c:strRef>
          </c:tx>
          <c:spPr>
            <a:solidFill>
              <a:schemeClr val="bg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'High SOC'!$A$2:$A$7</c:f>
              <c:strCache>
                <c:ptCount val="6"/>
                <c:pt idx="0">
                  <c:v>Physics**</c:v>
                </c:pt>
                <c:pt idx="1">
                  <c:v>Chemistry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'High SOC'!$B$2:$B$7</c:f>
              <c:numCache>
                <c:formatCode>0%</c:formatCode>
                <c:ptCount val="6"/>
                <c:pt idx="0">
                  <c:v>0.74</c:v>
                </c:pt>
                <c:pt idx="1">
                  <c:v>0.87</c:v>
                </c:pt>
                <c:pt idx="3">
                  <c:v>0.62</c:v>
                </c:pt>
                <c:pt idx="4">
                  <c:v>0.8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8BF-47F6-BFCA-3368475D7C73}"/>
            </c:ext>
          </c:extLst>
        </c:ser>
        <c:ser>
          <c:idx val="1"/>
          <c:order val="1"/>
          <c:tx>
            <c:strRef>
              <c:f>'High SOC'!$C$1</c:f>
              <c:strCache>
                <c:ptCount val="1"/>
                <c:pt idx="0">
                  <c:v>Rural (n =  880)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'High SOC'!$A$2:$A$7</c:f>
              <c:strCache>
                <c:ptCount val="6"/>
                <c:pt idx="0">
                  <c:v>Physics**</c:v>
                </c:pt>
                <c:pt idx="1">
                  <c:v>Chemistry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'High SOC'!$C$2:$C$7</c:f>
              <c:numCache>
                <c:formatCode>0%</c:formatCode>
                <c:ptCount val="6"/>
                <c:pt idx="0">
                  <c:v>0.61</c:v>
                </c:pt>
                <c:pt idx="1">
                  <c:v>0.85</c:v>
                </c:pt>
                <c:pt idx="3">
                  <c:v>0.49</c:v>
                </c:pt>
                <c:pt idx="4">
                  <c:v>0.77</c:v>
                </c:pt>
                <c:pt idx="5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8BF-47F6-BFCA-3368475D7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3035279"/>
        <c:axId val="793034031"/>
      </c:barChart>
      <c:catAx>
        <c:axId val="7930352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4031"/>
        <c:crosses val="autoZero"/>
        <c:auto val="1"/>
        <c:lblAlgn val="ctr"/>
        <c:lblOffset val="100"/>
        <c:noMultiLvlLbl val="0"/>
      </c:catAx>
      <c:valAx>
        <c:axId val="793034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0352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'High FRPL'!$B$1</c:f>
              <c:strCache>
                <c:ptCount val="1"/>
                <c:pt idx="0">
                  <c:v>Non rural (n = 4911)</c:v>
                </c:pt>
              </c:strCache>
            </c:strRef>
          </c:tx>
          <c:spPr>
            <a:solidFill>
              <a:sysClr val="window" lastClr="FFFFFF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'High FRPL'!$A$2:$A$7</c:f>
              <c:strCache>
                <c:ptCount val="6"/>
                <c:pt idx="0">
                  <c:v>Physics**</c:v>
                </c:pt>
                <c:pt idx="1">
                  <c:v>Chemistry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2**</c:v>
                </c:pt>
              </c:strCache>
            </c:strRef>
          </c:cat>
          <c:val>
            <c:numRef>
              <c:f>'High FRPL'!$B$2:$B$7</c:f>
              <c:numCache>
                <c:formatCode>0%</c:formatCode>
                <c:ptCount val="6"/>
                <c:pt idx="0">
                  <c:v>0.72</c:v>
                </c:pt>
                <c:pt idx="1">
                  <c:v>0.86</c:v>
                </c:pt>
                <c:pt idx="3">
                  <c:v>0.59</c:v>
                </c:pt>
                <c:pt idx="4">
                  <c:v>0.77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10-47BA-BF9C-50D3640B8289}"/>
            </c:ext>
          </c:extLst>
        </c:ser>
        <c:ser>
          <c:idx val="1"/>
          <c:order val="1"/>
          <c:tx>
            <c:strRef>
              <c:f>'High FRPL'!$C$1</c:f>
              <c:strCache>
                <c:ptCount val="1"/>
                <c:pt idx="0">
                  <c:v>Rural (n =  1673)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'High FRPL'!$A$2:$A$7</c:f>
              <c:strCache>
                <c:ptCount val="6"/>
                <c:pt idx="0">
                  <c:v>Physics**</c:v>
                </c:pt>
                <c:pt idx="1">
                  <c:v>Chemistry</c:v>
                </c:pt>
                <c:pt idx="3">
                  <c:v>Calculus**</c:v>
                </c:pt>
                <c:pt idx="4">
                  <c:v>Advanced math</c:v>
                </c:pt>
                <c:pt idx="5">
                  <c:v>Algebra 2**</c:v>
                </c:pt>
              </c:strCache>
            </c:strRef>
          </c:cat>
          <c:val>
            <c:numRef>
              <c:f>'High FRPL'!$C$2:$C$7</c:f>
              <c:numCache>
                <c:formatCode>0%</c:formatCode>
                <c:ptCount val="6"/>
                <c:pt idx="0">
                  <c:v>0.61</c:v>
                </c:pt>
                <c:pt idx="1">
                  <c:v>0.85</c:v>
                </c:pt>
                <c:pt idx="3">
                  <c:v>0.47</c:v>
                </c:pt>
                <c:pt idx="4">
                  <c:v>0.76</c:v>
                </c:pt>
                <c:pt idx="5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10-47BA-BF9C-50D3640B8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23197071"/>
        <c:axId val="722302223"/>
      </c:barChart>
      <c:catAx>
        <c:axId val="723197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02223"/>
        <c:crosses val="autoZero"/>
        <c:auto val="1"/>
        <c:lblAlgn val="ctr"/>
        <c:lblOffset val="100"/>
        <c:noMultiLvlLbl val="0"/>
      </c:catAx>
      <c:valAx>
        <c:axId val="722302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197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Combination!$B$2</c:f>
              <c:strCache>
                <c:ptCount val="1"/>
                <c:pt idx="0">
                  <c:v>Overall non-rural (n = 10,095)</c:v>
                </c:pt>
              </c:strCache>
            </c:strRef>
          </c:tx>
          <c:spPr>
            <a:solidFill>
              <a:schemeClr val="bg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Combination!$A$3:$A$8</c:f>
              <c:strCache>
                <c:ptCount val="6"/>
                <c:pt idx="0">
                  <c:v>Physics</c:v>
                </c:pt>
                <c:pt idx="1">
                  <c:v>Chemistry</c:v>
                </c:pt>
                <c:pt idx="3">
                  <c:v>Calculus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Combination!$B$3:$B$8</c:f>
              <c:numCache>
                <c:formatCode>0%</c:formatCode>
                <c:ptCount val="6"/>
                <c:pt idx="0">
                  <c:v>0.8</c:v>
                </c:pt>
                <c:pt idx="1">
                  <c:v>0.89</c:v>
                </c:pt>
                <c:pt idx="3">
                  <c:v>0.71</c:v>
                </c:pt>
                <c:pt idx="4">
                  <c:v>0.83</c:v>
                </c:pt>
                <c:pt idx="5">
                  <c:v>0.92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99-4D66-B5B5-F60A13821101}"/>
            </c:ext>
          </c:extLst>
        </c:ser>
        <c:ser>
          <c:idx val="1"/>
          <c:order val="1"/>
          <c:tx>
            <c:strRef>
              <c:f>Combination!$C$2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Combination!$A$3:$A$8</c:f>
              <c:strCache>
                <c:ptCount val="6"/>
                <c:pt idx="0">
                  <c:v>Physics</c:v>
                </c:pt>
                <c:pt idx="1">
                  <c:v>Chemistry</c:v>
                </c:pt>
                <c:pt idx="3">
                  <c:v>Calculus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Combination!$C$3:$C$8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A099-4D66-B5B5-F60A13821101}"/>
            </c:ext>
          </c:extLst>
        </c:ser>
        <c:ser>
          <c:idx val="2"/>
          <c:order val="2"/>
          <c:tx>
            <c:strRef>
              <c:f>Combination!$D$2</c:f>
              <c:strCache>
                <c:ptCount val="1"/>
                <c:pt idx="0">
                  <c:v>Overall rural (n =  4481)</c:v>
                </c:pt>
              </c:strCache>
            </c:strRef>
          </c:tx>
          <c:spPr>
            <a:solidFill>
              <a:schemeClr val="tx1"/>
            </a:solid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Combination!$A$3:$A$8</c:f>
              <c:strCache>
                <c:ptCount val="6"/>
                <c:pt idx="0">
                  <c:v>Physics</c:v>
                </c:pt>
                <c:pt idx="1">
                  <c:v>Chemistry</c:v>
                </c:pt>
                <c:pt idx="3">
                  <c:v>Calculus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Combination!$D$3:$D$8</c:f>
              <c:numCache>
                <c:formatCode>0%</c:formatCode>
                <c:ptCount val="6"/>
                <c:pt idx="0">
                  <c:v>0.73</c:v>
                </c:pt>
                <c:pt idx="1">
                  <c:v>0.91</c:v>
                </c:pt>
                <c:pt idx="3">
                  <c:v>0.64</c:v>
                </c:pt>
                <c:pt idx="4">
                  <c:v>0.84</c:v>
                </c:pt>
                <c:pt idx="5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99-4D66-B5B5-F60A13821101}"/>
            </c:ext>
          </c:extLst>
        </c:ser>
        <c:ser>
          <c:idx val="3"/>
          <c:order val="3"/>
          <c:tx>
            <c:strRef>
              <c:f>Combination!$E$2</c:f>
              <c:strCache>
                <c:ptCount val="1"/>
                <c:pt idx="0">
                  <c:v>High student of color rural (n =  880)</c:v>
                </c:pt>
              </c:strCache>
            </c:strRef>
          </c:tx>
          <c:spPr>
            <a:pattFill prst="pct80">
              <a:fgClr>
                <a:schemeClr val="tx1"/>
              </a:fgClr>
              <a:bgClr>
                <a:schemeClr val="bg1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Combination!$A$3:$A$8</c:f>
              <c:strCache>
                <c:ptCount val="6"/>
                <c:pt idx="0">
                  <c:v>Physics</c:v>
                </c:pt>
                <c:pt idx="1">
                  <c:v>Chemistry</c:v>
                </c:pt>
                <c:pt idx="3">
                  <c:v>Calculus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Combination!$E$3:$E$8</c:f>
              <c:numCache>
                <c:formatCode>0%</c:formatCode>
                <c:ptCount val="6"/>
                <c:pt idx="0">
                  <c:v>0.61</c:v>
                </c:pt>
                <c:pt idx="1">
                  <c:v>0.85</c:v>
                </c:pt>
                <c:pt idx="3">
                  <c:v>0.49</c:v>
                </c:pt>
                <c:pt idx="4">
                  <c:v>0.77</c:v>
                </c:pt>
                <c:pt idx="5">
                  <c:v>0.91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99-4D66-B5B5-F60A13821101}"/>
            </c:ext>
          </c:extLst>
        </c:ser>
        <c:ser>
          <c:idx val="4"/>
          <c:order val="4"/>
          <c:tx>
            <c:strRef>
              <c:f>Combination!$F$2</c:f>
              <c:strCache>
                <c:ptCount val="1"/>
                <c:pt idx="0">
                  <c:v>High FRPL rural (n =  1673)</c:v>
                </c:pt>
              </c:strCache>
            </c:strRef>
          </c:tx>
          <c:spPr>
            <a:pattFill prst="narHorz">
              <a:fgClr>
                <a:schemeClr val="tx1"/>
              </a:fgClr>
              <a:bgClr>
                <a:schemeClr val="bg1"/>
              </a:bgClr>
            </a:pattFill>
            <a:ln>
              <a:solidFill>
                <a:sysClr val="windowText" lastClr="000000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Combination!$A$3:$A$8</c:f>
              <c:strCache>
                <c:ptCount val="6"/>
                <c:pt idx="0">
                  <c:v>Physics</c:v>
                </c:pt>
                <c:pt idx="1">
                  <c:v>Chemistry</c:v>
                </c:pt>
                <c:pt idx="3">
                  <c:v>Calculus</c:v>
                </c:pt>
                <c:pt idx="4">
                  <c:v>Advanced math</c:v>
                </c:pt>
                <c:pt idx="5">
                  <c:v>Algebra 2</c:v>
                </c:pt>
              </c:strCache>
            </c:strRef>
          </c:cat>
          <c:val>
            <c:numRef>
              <c:f>Combination!$F$3:$F$8</c:f>
              <c:numCache>
                <c:formatCode>0%</c:formatCode>
                <c:ptCount val="6"/>
                <c:pt idx="0">
                  <c:v>0.61</c:v>
                </c:pt>
                <c:pt idx="1">
                  <c:v>0.85</c:v>
                </c:pt>
                <c:pt idx="3">
                  <c:v>0.47</c:v>
                </c:pt>
                <c:pt idx="4">
                  <c:v>0.76</c:v>
                </c:pt>
                <c:pt idx="5">
                  <c:v>0.93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099-4D66-B5B5-F60A138211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794335055"/>
        <c:axId val="794336303"/>
      </c:barChart>
      <c:catAx>
        <c:axId val="7943350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336303"/>
        <c:crosses val="autoZero"/>
        <c:auto val="1"/>
        <c:lblAlgn val="ctr"/>
        <c:lblOffset val="100"/>
        <c:noMultiLvlLbl val="0"/>
      </c:catAx>
      <c:valAx>
        <c:axId val="79433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3350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9.4160104986876644E-2"/>
          <c:y val="0.89612968255468406"/>
          <c:w val="0.84223534558180224"/>
          <c:h val="8.75770349390413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EA5CA-A1EA-41DC-94F2-B507F3B84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22cb6-f353-4861-ab05-c89a73915a02"/>
    <ds:schemaRef ds:uri="bdbde7bf-2b06-49a8-a57f-e4caa94ca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A6B14-E006-4F7F-A1FE-581C5D225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CEBFE7-B7B4-4A0B-AA27-DC2FB6EEB5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2876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Scott</dc:creator>
  <cp:keywords/>
  <dc:description/>
  <cp:lastModifiedBy>Caitlin Scott</cp:lastModifiedBy>
  <cp:revision>121</cp:revision>
  <dcterms:created xsi:type="dcterms:W3CDTF">2021-07-20T15:53:00Z</dcterms:created>
  <dcterms:modified xsi:type="dcterms:W3CDTF">2022-03-22T21:11:00Z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0x0101008F23B11B33715E44A9540060E8771D64</vt:lpwstr>
  </property>
</Properties>
</file>