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52D" w:rsidRDefault="002D752D">
      <w:r>
        <w:t xml:space="preserve">Endogeneity explanation for </w:t>
      </w:r>
      <w:r>
        <w:t>Consumer Heterogeneity and Paid Search effectiveness: a l</w:t>
      </w:r>
      <w:r>
        <w:t>arge scale fi</w:t>
      </w:r>
      <w:r>
        <w:t>e</w:t>
      </w:r>
      <w:r>
        <w:t>l</w:t>
      </w:r>
      <w:r>
        <w:t xml:space="preserve">d </w:t>
      </w:r>
      <w:r>
        <w:t>experiment</w:t>
      </w:r>
      <w:r>
        <w:t>:</w:t>
      </w:r>
    </w:p>
    <w:p w:rsidR="00623B45" w:rsidRDefault="00D2094A">
      <w:r>
        <w:t xml:space="preserve">The authors, Blake et al, say that </w:t>
      </w:r>
      <w:r w:rsidR="00623B45">
        <w:t xml:space="preserve">typical consumers </w:t>
      </w:r>
      <w:r>
        <w:t xml:space="preserve">who click on the </w:t>
      </w:r>
      <w:proofErr w:type="spellStart"/>
      <w:r>
        <w:t>adlinks</w:t>
      </w:r>
      <w:proofErr w:type="spellEnd"/>
      <w:r>
        <w:t xml:space="preserve"> had purchase intentions so would have found a way to the </w:t>
      </w:r>
      <w:proofErr w:type="spellStart"/>
      <w:r>
        <w:t>ebay</w:t>
      </w:r>
      <w:proofErr w:type="spellEnd"/>
      <w:r>
        <w:t xml:space="preserve"> website </w:t>
      </w:r>
      <w:r>
        <w:t>regardless of</w:t>
      </w:r>
      <w:r>
        <w:t xml:space="preserve"> adverts. </w:t>
      </w:r>
      <w:r w:rsidR="00623B45">
        <w:t>The CPC model means that ad spend increases as these consumers go to purchase, hence ad spend rises along with sales, leading to the endogeneity of the independent variable, spend. Strictly speaking this is known as</w:t>
      </w:r>
      <w:r w:rsidR="00623B45">
        <w:t xml:space="preserve"> backwards causation,</w:t>
      </w:r>
      <w:r w:rsidR="00623B45">
        <w:t xml:space="preserve"> and causes</w:t>
      </w:r>
      <w:r w:rsidR="00623B45">
        <w:t xml:space="preserve"> </w:t>
      </w:r>
      <w:proofErr w:type="gramStart"/>
      <w:r w:rsidR="00623B45">
        <w:t>E(</w:t>
      </w:r>
      <w:proofErr w:type="gramEnd"/>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623B45">
        <w:t>|</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00623B45">
        <w:t xml:space="preserve">) </w:t>
      </w:r>
      <m:oMath>
        <m:r>
          <w:rPr>
            <w:rFonts w:ascii="Cambria Math" w:hAnsi="Cambria Math"/>
          </w:rPr>
          <m:t>∀ i,t</m:t>
        </m:r>
      </m:oMath>
      <w:r w:rsidR="00623B45">
        <w:t xml:space="preserve">. </w:t>
      </w:r>
      <w:r>
        <w:t xml:space="preserve">Naively regressing sales on ad spending </w:t>
      </w:r>
      <w:r w:rsidR="00623B45">
        <w:t xml:space="preserve">in OLS </w:t>
      </w:r>
      <w:r>
        <w:t xml:space="preserve">will result in biased </w:t>
      </w:r>
      <w:r w:rsidR="00623B45">
        <w:t xml:space="preserve">estimates </w:t>
      </w:r>
      <w:r>
        <w:t>of the true effect</w:t>
      </w:r>
      <w:r w:rsidR="00623B45">
        <w:t xml:space="preserve"> of ad spend.</w:t>
      </w:r>
    </w:p>
    <w:p w:rsidR="00F834A4" w:rsidRDefault="00F834A4"/>
    <w:p w:rsidR="002D752D" w:rsidRDefault="00623B45">
      <w:pPr>
        <w:rPr>
          <w:rFonts w:eastAsiaTheme="minorEastAsia"/>
        </w:rPr>
      </w:pPr>
      <w:r>
        <w:t xml:space="preserve">OLS:                     </w:t>
      </w:r>
      <w:r w:rsidR="00F834A4">
        <w:t xml:space="preserve"> </w:t>
      </w:r>
      <w:r>
        <w:t xml:space="preserve">   </w:t>
      </w:r>
      <w:r w:rsidR="00F834A4">
        <w:t xml:space="preserve"> </w:t>
      </w:r>
      <w:r>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Sales</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Spend</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623B45" w:rsidRPr="00623B45" w:rsidRDefault="00623B45"/>
    <w:p w:rsidR="00F834A4" w:rsidRDefault="00623B45" w:rsidP="002D752D">
      <w:pPr>
        <w:rPr>
          <w:rFonts w:eastAsiaTheme="minorEastAsia"/>
        </w:rPr>
      </w:pPr>
      <w:r>
        <w:rPr>
          <w:rFonts w:eastAsiaTheme="minorEastAsia"/>
        </w:rPr>
        <w:t xml:space="preserve">IV: The endogeneity of log(spend) is alleviated by estimating it using IVs. </w:t>
      </w:r>
    </w:p>
    <w:p w:rsidR="002D752D" w:rsidRDefault="00F834A4" w:rsidP="002D752D">
      <w:pPr>
        <w:rPr>
          <w:rFonts w:eastAsiaTheme="minorEastAsia"/>
        </w:rPr>
      </w:pPr>
      <w:r>
        <w:rPr>
          <w:rFonts w:eastAsiaTheme="minorEastAsia"/>
        </w:rPr>
        <w:t>F</w:t>
      </w:r>
      <w:r w:rsidR="00623B45">
        <w:rPr>
          <w:rFonts w:eastAsiaTheme="minorEastAsia"/>
        </w:rPr>
        <w:t>ir</w:t>
      </w:r>
      <w:r>
        <w:rPr>
          <w:rFonts w:eastAsiaTheme="minorEastAsia"/>
        </w:rPr>
        <w:t xml:space="preserve">st stage regression: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Spend</m:t>
                    </m:r>
                  </m:e>
                  <m:sub>
                    <m:r>
                      <w:rPr>
                        <w:rFonts w:ascii="Cambria Math" w:hAnsi="Cambria Math"/>
                      </w:rPr>
                      <m:t>it</m:t>
                    </m:r>
                  </m:sub>
                </m:sSub>
              </m:e>
            </m:d>
          </m:e>
        </m:func>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sSub>
          <m:sSubPr>
            <m:ctrlPr>
              <w:rPr>
                <w:rFonts w:ascii="Cambria Math" w:hAnsi="Cambria Math"/>
              </w:rPr>
            </m:ctrlPr>
          </m:sSubPr>
          <m:e>
            <m:r>
              <w:rPr>
                <w:rFonts w:ascii="Cambria Math" w:hAnsi="Cambria Math"/>
              </w:rPr>
              <m:t>AdsOn</m:t>
            </m:r>
          </m:e>
          <m:sub>
            <m:r>
              <w:rPr>
                <w:rFonts w:ascii="Cambria Math" w:hAnsi="Cambria Math"/>
              </w:rPr>
              <m:t>it</m:t>
            </m:r>
          </m:sub>
        </m:sSub>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2</m:t>
            </m:r>
          </m:sub>
        </m:sSub>
        <m:sSub>
          <m:sSubPr>
            <m:ctrlPr>
              <w:rPr>
                <w:rFonts w:ascii="Cambria Math" w:hAnsi="Cambria Math"/>
              </w:rPr>
            </m:ctrlPr>
          </m:sSubPr>
          <m:e>
            <m:r>
              <w:rPr>
                <w:rFonts w:ascii="Cambria Math" w:hAnsi="Cambria Math"/>
              </w:rPr>
              <m:t>Post</m:t>
            </m:r>
          </m:e>
          <m:sub>
            <m:r>
              <w:rPr>
                <w:rFonts w:ascii="Cambria Math" w:hAnsi="Cambria Math"/>
              </w:rPr>
              <m:t>t</m:t>
            </m:r>
          </m:sub>
        </m:sSub>
        <m:r>
          <w:rPr>
            <w:rFonts w:ascii="Cambria Math" w:hAnsi="Cambria Math"/>
          </w:rPr>
          <m:t>+</m:t>
        </m:r>
        <m:r>
          <w:rPr>
            <w:rFonts w:ascii="Cambria Math"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3</m:t>
            </m:r>
          </m:sub>
        </m:sSub>
        <m:sSub>
          <m:sSubPr>
            <m:ctrlPr>
              <w:rPr>
                <w:rFonts w:ascii="Cambria Math" w:hAnsi="Cambria Math"/>
              </w:rPr>
            </m:ctrlPr>
          </m:sSubPr>
          <m:e>
            <m:r>
              <w:rPr>
                <w:rFonts w:ascii="Cambria Math" w:hAnsi="Cambria Math"/>
              </w:rPr>
              <m:t>Group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623B45" w:rsidRPr="002D752D" w:rsidRDefault="00623B45" w:rsidP="002D752D">
      <w:pPr>
        <w:rPr>
          <w:rFonts w:eastAsiaTheme="minorEastAsia"/>
        </w:rPr>
      </w:pPr>
      <w:r>
        <w:rPr>
          <w:rFonts w:eastAsiaTheme="minorEastAsia"/>
        </w:rPr>
        <w:t>Second stage:</w:t>
      </w:r>
      <w:r w:rsidR="00F834A4">
        <w:rPr>
          <w:rFonts w:eastAsiaTheme="minorEastAsia"/>
        </w:rPr>
        <w:t xml:space="preserve">              </w:t>
      </w:r>
      <w:r>
        <w:rPr>
          <w:rFonts w:eastAsiaTheme="minorEastAsia"/>
        </w:rPr>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Sales</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Spend</m:t>
                        </m:r>
                      </m:e>
                    </m:acc>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2D752D" w:rsidRDefault="002D752D" w:rsidP="002D752D">
      <w:pPr>
        <w:rPr>
          <w:rFonts w:eastAsiaTheme="minorEastAsia"/>
        </w:rPr>
      </w:pPr>
    </w:p>
    <w:p w:rsidR="002D752D" w:rsidRPr="00623B45" w:rsidRDefault="00623B45" w:rsidP="002D752D">
      <w:pPr>
        <w:rPr>
          <w:rFonts w:eastAsiaTheme="minorEastAsia"/>
        </w:rPr>
      </w:pPr>
      <w:proofErr w:type="spellStart"/>
      <w:r>
        <w:rPr>
          <w:rFonts w:eastAsiaTheme="minorEastAsia"/>
        </w:rPr>
        <w:t>DnD</w:t>
      </w:r>
      <w:proofErr w:type="spellEnd"/>
      <w:r>
        <w:rPr>
          <w:rFonts w:eastAsiaTheme="minorEastAsia"/>
        </w:rPr>
        <w:t xml:space="preserve">: Differences in Differences regression can used to estimate the effect of the treatment effect of turning adverts on:  </w:t>
      </w:r>
      <w:r w:rsidR="00F834A4">
        <w:rPr>
          <w:rFonts w:eastAsiaTheme="minorEastAsia"/>
        </w:rPr>
        <w:t xml:space="preserve"> </w:t>
      </w:r>
      <w:r>
        <w:rPr>
          <w:rFonts w:eastAsiaTheme="minorEastAsia"/>
        </w:rPr>
        <w:t xml:space="preserv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Sa</m:t>
                    </m:r>
                    <m:r>
                      <w:rPr>
                        <w:rFonts w:ascii="Cambria Math" w:hAnsi="Cambria Math"/>
                      </w:rPr>
                      <m:t>les</m:t>
                    </m:r>
                  </m:e>
                  <m:sub>
                    <m:r>
                      <w:rPr>
                        <w:rFonts w:ascii="Cambria Math" w:hAnsi="Cambria Math"/>
                      </w:rPr>
                      <m:t>i</m:t>
                    </m:r>
                    <m:r>
                      <w:rPr>
                        <w:rFonts w:ascii="Cambria Math" w:hAnsi="Cambria Math"/>
                      </w:rPr>
                      <m:t>m</m:t>
                    </m:r>
                    <m:r>
                      <w:rPr>
                        <w:rFonts w:ascii="Cambria Math" w:hAnsi="Cambria Math"/>
                      </w:rPr>
                      <m:t>t</m:t>
                    </m:r>
                  </m:sub>
                </m:sSub>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sSub>
          <m:sSubPr>
            <m:ctrlPr>
              <w:rPr>
                <w:rFonts w:ascii="Cambria Math" w:hAnsi="Cambria Math"/>
              </w:rPr>
            </m:ctrlPr>
          </m:sSubPr>
          <m:e>
            <m:r>
              <w:rPr>
                <w:rFonts w:ascii="Cambria Math" w:hAnsi="Cambria Math"/>
              </w:rPr>
              <m:t>AdsOn</m:t>
            </m:r>
          </m:e>
          <m:sub>
            <m:r>
              <w:rPr>
                <w:rFonts w:ascii="Cambria Math" w:hAnsi="Cambria Math"/>
              </w:rPr>
              <m:t>i</m:t>
            </m:r>
            <m:r>
              <w:rPr>
                <w:rFonts w:ascii="Cambria Math" w:hAnsi="Cambria Math"/>
              </w:rPr>
              <m:t>m</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w:p>
    <w:p w:rsidR="002D752D" w:rsidRDefault="002D752D" w:rsidP="002D752D"/>
    <w:p w:rsidR="002D752D" w:rsidRDefault="002D752D"/>
    <w:p w:rsidR="002D752D" w:rsidRDefault="002D752D">
      <w:bookmarkStart w:id="0" w:name="_GoBack"/>
      <w:bookmarkEnd w:id="0"/>
    </w:p>
    <w:p w:rsidR="002D752D" w:rsidRDefault="002D752D"/>
    <w:p w:rsidR="00682B37" w:rsidRDefault="00682B37">
      <w:r>
        <w:t>ROI explanation for Consumer Heterogeneity and Paid Search effectiveness</w:t>
      </w:r>
      <w:r w:rsidR="002D752D">
        <w:t>: a large scale field experiment:</w:t>
      </w:r>
    </w:p>
    <w:p w:rsidR="00682B37" w:rsidRDefault="00682B37"/>
    <w:p w:rsidR="00457B6A" w:rsidRDefault="00457B6A">
      <w:r>
        <w:t>ROI was calculated as:</w:t>
      </w:r>
    </w:p>
    <w:p w:rsidR="00457B6A" w:rsidRDefault="00457B6A">
      <m:oMathPara>
        <m:oMath>
          <m:r>
            <w:rPr>
              <w:rFonts w:ascii="Cambria Math" w:hAnsi="Cambria Math"/>
            </w:rPr>
            <m:t>ROI=</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-1</m:t>
          </m:r>
        </m:oMath>
      </m:oMathPara>
    </w:p>
    <w:p w:rsidR="005D0773" w:rsidRDefault="00F93C4C">
      <w:r>
        <w:rPr>
          <w:rFonts w:eastAsiaTheme="minor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Us revenues given ad spend =$2880.64m, and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eastAsiaTheme="minorEastAsia"/>
        </w:rPr>
        <w:t xml:space="preserve"> spend on Us search adds =$51m.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682B37">
        <w:rPr>
          <w:rFonts w:eastAsiaTheme="minorEastAsia"/>
        </w:rPr>
        <w:t xml:space="preserve"> is the estimate of </w:t>
      </w:r>
      <m:oMath>
        <m:r>
          <w:rPr>
            <w:rFonts w:ascii="Cambria Math" w:hAnsi="Cambria Math"/>
          </w:rPr>
          <m:t>∆</m:t>
        </m:r>
        <m:r>
          <m:rPr>
            <m:sty m:val="p"/>
          </m:rPr>
          <w:rPr>
            <w:rFonts w:ascii="Cambria Math" w:hAnsi="Cambria Math"/>
          </w:rPr>
          <m:t>ln</m:t>
        </m:r>
        <m:r>
          <w:rPr>
            <w:rFonts w:ascii="Cambria Math" w:hAnsi="Cambria Math"/>
          </w:rPr>
          <m:t>(Revenue)</m:t>
        </m:r>
      </m:oMath>
      <w:r w:rsidR="00682B37">
        <w:rPr>
          <w:rFonts w:eastAsiaTheme="minorEastAsia"/>
        </w:rPr>
        <w:t xml:space="preserve"> from turning on Ads, (i.e. the variable of interest in the </w:t>
      </w:r>
      <w:proofErr w:type="spellStart"/>
      <w:r w:rsidR="00682B37">
        <w:rPr>
          <w:rFonts w:eastAsiaTheme="minorEastAsia"/>
        </w:rPr>
        <w:t>DnD</w:t>
      </w:r>
      <w:proofErr w:type="spellEnd"/>
      <w:r w:rsidR="00682B37">
        <w:rPr>
          <w:rFonts w:eastAsiaTheme="minorEastAsia"/>
        </w:rPr>
        <w:t xml:space="preserve"> regression). To obtain a comparable measure for OLS and IV</w:t>
      </w:r>
      <w:r w:rsidR="00457B6A">
        <w:rPr>
          <w:rFonts w:eastAsiaTheme="minorEastAsia"/>
        </w:rPr>
        <w:t>, the</w:t>
      </w:r>
      <w:r w:rsidR="00682B37">
        <w:rPr>
          <w:rFonts w:eastAsiaTheme="minorEastAsia"/>
        </w:rPr>
        <w:t>ir</w:t>
      </w:r>
      <w:r w:rsidR="00457B6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682B37">
        <w:rPr>
          <w:rFonts w:eastAsiaTheme="minorEastAsia"/>
        </w:rPr>
        <w:t>coefficient</w:t>
      </w:r>
      <w:r w:rsidR="00F43185">
        <w:rPr>
          <w:rFonts w:eastAsiaTheme="minorEastAsia"/>
        </w:rPr>
        <w:t>s</w:t>
      </w:r>
      <w:r w:rsidR="00682B37">
        <w:rPr>
          <w:rFonts w:eastAsiaTheme="minorEastAsia"/>
        </w:rPr>
        <w:t xml:space="preserve"> are</w:t>
      </w:r>
      <w:r w:rsidR="00457B6A">
        <w:rPr>
          <w:rFonts w:eastAsiaTheme="minorEastAsia"/>
        </w:rPr>
        <w:t xml:space="preserve"> multiplied by the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1</m:t>
            </m:r>
          </m:sub>
        </m:sSub>
      </m:oMath>
      <w:r w:rsidR="00457B6A">
        <w:rPr>
          <w:rFonts w:eastAsiaTheme="minorEastAsia"/>
        </w:rPr>
        <w:t>coefficient in the</w:t>
      </w:r>
      <w:r w:rsidR="00682B37">
        <w:rPr>
          <w:rFonts w:eastAsiaTheme="minorEastAsia"/>
        </w:rPr>
        <w:t xml:space="preserve"> f</w:t>
      </w:r>
      <w:r w:rsidR="00457B6A">
        <w:rPr>
          <w:rFonts w:eastAsiaTheme="minorEastAsia"/>
        </w:rPr>
        <w:t xml:space="preserve">irst stage IV equation. </w:t>
      </w:r>
    </w:p>
    <w:sectPr w:rsidR="005D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B6A"/>
    <w:rsid w:val="001701AD"/>
    <w:rsid w:val="002D752D"/>
    <w:rsid w:val="002E0006"/>
    <w:rsid w:val="00457B6A"/>
    <w:rsid w:val="00554C91"/>
    <w:rsid w:val="00623B45"/>
    <w:rsid w:val="00631B8C"/>
    <w:rsid w:val="00682B37"/>
    <w:rsid w:val="006837E0"/>
    <w:rsid w:val="006C411A"/>
    <w:rsid w:val="00733583"/>
    <w:rsid w:val="00D2094A"/>
    <w:rsid w:val="00E37B0C"/>
    <w:rsid w:val="00F43185"/>
    <w:rsid w:val="00F834A4"/>
    <w:rsid w:val="00F93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BA1E"/>
  <w15:chartTrackingRefBased/>
  <w15:docId w15:val="{CA1C2228-3C71-49B3-A1F8-771A6735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B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Jone</dc:creator>
  <cp:keywords/>
  <dc:description/>
  <cp:lastModifiedBy>Leung, Jone</cp:lastModifiedBy>
  <cp:revision>4</cp:revision>
  <dcterms:created xsi:type="dcterms:W3CDTF">2016-05-25T10:39:00Z</dcterms:created>
  <dcterms:modified xsi:type="dcterms:W3CDTF">2016-05-25T11:34:00Z</dcterms:modified>
</cp:coreProperties>
</file>