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the-poet-and-the-pauper" w:name="the-poet-and-the-pauper"/>
    <w:p>
      <w:pPr>
        <w:pStyle w:val="Heading1"/>
      </w:pPr>
      <w:r>
        <w:t xml:space="preserve">The Poet and the Pauper</w:t>
      </w:r>
    </w:p>
    <w:bookmarkEnd w:id="the-poet-and-the-pauper"/>
    <w:p>
      <w:r>
        <w:rPr>
          <w:b/>
        </w:rPr>
        <w:t xml:space="preserve">By Dorothy Day</w:t>
      </w:r>
    </w:p>
    <w:p>
      <w:r>
        <w:t xml:space="preserve">Harvard Advocate, 108 (1975):28-29.</w:t>
      </w:r>
    </w:p>
    <w:p>
      <w:r>
        <w:rPr>
          <w:i/>
        </w:rPr>
        <w:t xml:space="preserve">Summary: Depicts her encounters with W.H. Auden, and expresses her great admiration for him and his poems and also her gratitude for his help. (DDLW #140).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